
<file path=[Content_Types].xml><?xml version="1.0" encoding="utf-8"?>
<Types xmlns="http://schemas.openxmlformats.org/package/2006/content-types">
  <Default Extension="xml" ContentType="application/xml"/>
  <Default Extension="wmf" ContentType="image/x-wmf"/>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jc w:val="center"/>
        <w:rPr>
          <w:rFonts w:eastAsiaTheme="minorEastAsia"/>
          <w:w w:val="90"/>
          <w:sz w:val="44"/>
          <w:szCs w:val="44"/>
        </w:rPr>
      </w:pPr>
      <w:bookmarkStart w:id="0" w:name="_Hlk10711048"/>
      <w:bookmarkEnd w:id="0"/>
      <w:bookmarkStart w:id="1" w:name="_Toc299035529"/>
      <w:bookmarkStart w:id="2" w:name="_Toc307847855"/>
      <w:bookmarkStart w:id="3" w:name="_Toc304404184"/>
    </w:p>
    <w:p>
      <w:pPr>
        <w:ind w:firstLine="0" w:firstLineChars="0"/>
        <w:jc w:val="center"/>
        <w:rPr>
          <w:rFonts w:eastAsiaTheme="minorEastAsia"/>
          <w:w w:val="90"/>
          <w:sz w:val="44"/>
          <w:szCs w:val="44"/>
        </w:rPr>
      </w:pPr>
    </w:p>
    <w:p>
      <w:pPr>
        <w:ind w:firstLine="0" w:firstLineChars="0"/>
        <w:jc w:val="center"/>
        <w:rPr>
          <w:rFonts w:eastAsiaTheme="minorEastAsia"/>
          <w:b/>
          <w:spacing w:val="-4"/>
          <w:w w:val="90"/>
          <w:kern w:val="32"/>
          <w:sz w:val="44"/>
          <w:szCs w:val="44"/>
        </w:rPr>
      </w:pPr>
      <w:r>
        <w:rPr>
          <w:rFonts w:hint="eastAsia" w:eastAsiaTheme="minorEastAsia"/>
          <w:b/>
          <w:spacing w:val="-4"/>
          <w:w w:val="90"/>
          <w:kern w:val="32"/>
          <w:sz w:val="44"/>
          <w:szCs w:val="44"/>
        </w:rPr>
        <w:t>开平市骑达橡胶制品厂</w:t>
      </w:r>
    </w:p>
    <w:p>
      <w:pPr>
        <w:ind w:firstLine="0" w:firstLineChars="0"/>
        <w:jc w:val="center"/>
        <w:rPr>
          <w:rFonts w:eastAsiaTheme="minorEastAsia"/>
          <w:b/>
          <w:spacing w:val="-4"/>
          <w:w w:val="90"/>
          <w:kern w:val="32"/>
          <w:sz w:val="44"/>
          <w:szCs w:val="44"/>
        </w:rPr>
      </w:pPr>
      <w:r>
        <w:rPr>
          <w:rFonts w:hint="eastAsia" w:eastAsiaTheme="minorEastAsia"/>
          <w:b/>
          <w:spacing w:val="-4"/>
          <w:w w:val="90"/>
          <w:kern w:val="32"/>
          <w:sz w:val="44"/>
          <w:szCs w:val="44"/>
        </w:rPr>
        <w:t>年产</w:t>
      </w:r>
      <w:r>
        <w:rPr>
          <w:rFonts w:eastAsiaTheme="minorEastAsia"/>
          <w:b/>
          <w:spacing w:val="-4"/>
          <w:w w:val="90"/>
          <w:kern w:val="32"/>
          <w:sz w:val="44"/>
          <w:szCs w:val="44"/>
        </w:rPr>
        <w:t>8</w:t>
      </w:r>
      <w:r>
        <w:rPr>
          <w:rFonts w:hint="eastAsia" w:eastAsiaTheme="minorEastAsia"/>
          <w:b/>
          <w:spacing w:val="-4"/>
          <w:w w:val="90"/>
          <w:kern w:val="32"/>
          <w:sz w:val="44"/>
          <w:szCs w:val="44"/>
        </w:rPr>
        <w:t>00万个橡胶制品项目</w:t>
      </w:r>
    </w:p>
    <w:p>
      <w:pPr>
        <w:ind w:firstLine="0" w:firstLineChars="0"/>
        <w:jc w:val="center"/>
        <w:rPr>
          <w:rFonts w:eastAsiaTheme="minorEastAsia"/>
          <w:b/>
          <w:spacing w:val="60"/>
          <w:sz w:val="84"/>
          <w:szCs w:val="84"/>
        </w:rPr>
      </w:pPr>
      <w:r>
        <w:rPr>
          <w:rFonts w:hint="eastAsia" w:eastAsiaTheme="minorEastAsia"/>
          <w:b/>
          <w:spacing w:val="60"/>
          <w:sz w:val="84"/>
          <w:szCs w:val="84"/>
        </w:rPr>
        <w:t>环境影响报告书</w:t>
      </w:r>
    </w:p>
    <w:p>
      <w:pPr>
        <w:ind w:firstLine="0" w:firstLineChars="0"/>
        <w:jc w:val="center"/>
        <w:rPr>
          <w:rFonts w:eastAsiaTheme="minorEastAsia"/>
        </w:rPr>
      </w:pPr>
    </w:p>
    <w:p>
      <w:pPr>
        <w:ind w:firstLine="0" w:firstLineChars="0"/>
        <w:jc w:val="center"/>
        <w:rPr>
          <w:rFonts w:eastAsiaTheme="minorEastAsia"/>
          <w:b/>
          <w:sz w:val="36"/>
          <w:szCs w:val="36"/>
        </w:rPr>
      </w:pPr>
      <w:r>
        <w:rPr>
          <w:rFonts w:hint="eastAsia" w:eastAsiaTheme="minorEastAsia"/>
          <w:b/>
          <w:sz w:val="36"/>
          <w:szCs w:val="36"/>
        </w:rPr>
        <w:t>（公示稿）</w:t>
      </w: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ind w:firstLine="0" w:firstLineChars="0"/>
        <w:jc w:val="center"/>
        <w:rPr>
          <w:rFonts w:eastAsiaTheme="minorEastAsia"/>
        </w:rPr>
      </w:pPr>
    </w:p>
    <w:p>
      <w:pPr>
        <w:pBdr>
          <w:between w:val="single" w:color="auto" w:sz="4" w:space="1"/>
        </w:pBdr>
        <w:snapToGrid w:val="0"/>
        <w:ind w:firstLine="0" w:firstLineChars="0"/>
        <w:jc w:val="center"/>
        <w:rPr>
          <w:rFonts w:eastAsiaTheme="minorEastAsia"/>
          <w:b/>
          <w:bCs/>
          <w:snapToGrid w:val="0"/>
          <w:spacing w:val="24"/>
          <w:sz w:val="32"/>
          <w:szCs w:val="32"/>
        </w:rPr>
      </w:pPr>
      <w:r>
        <w:rPr>
          <w:rFonts w:hint="eastAsia" w:eastAsiaTheme="minorEastAsia"/>
          <w:b/>
          <w:bCs/>
          <w:snapToGrid w:val="0"/>
          <w:spacing w:val="24"/>
          <w:sz w:val="32"/>
          <w:szCs w:val="32"/>
        </w:rPr>
        <w:t>评价单位：</w:t>
      </w:r>
      <w:r>
        <w:rPr>
          <w:rFonts w:eastAsiaTheme="minorEastAsia"/>
          <w:b/>
          <w:bCs/>
          <w:snapToGrid w:val="0"/>
          <w:spacing w:val="24"/>
          <w:sz w:val="32"/>
          <w:szCs w:val="32"/>
        </w:rPr>
        <w:t xml:space="preserve"> </w:t>
      </w:r>
    </w:p>
    <w:p>
      <w:pPr>
        <w:ind w:firstLine="0" w:firstLineChars="0"/>
        <w:jc w:val="center"/>
        <w:rPr>
          <w:rFonts w:eastAsiaTheme="minorEastAsia"/>
          <w:b/>
          <w:sz w:val="28"/>
        </w:rPr>
      </w:pPr>
      <w:r>
        <w:rPr>
          <w:rFonts w:eastAsiaTheme="minorEastAsia"/>
          <w:b/>
          <w:sz w:val="28"/>
          <w:lang w:val="zh-CN"/>
        </w:rPr>
        <w:t>国环评证乙字</w:t>
      </w:r>
      <w:r>
        <w:rPr>
          <w:rFonts w:eastAsiaTheme="minorEastAsia"/>
          <w:b/>
          <w:sz w:val="28"/>
        </w:rPr>
        <w:t>：</w:t>
      </w:r>
      <w:r>
        <w:rPr>
          <w:rFonts w:eastAsiaTheme="minorEastAsia"/>
          <w:b/>
          <w:sz w:val="28"/>
          <w:lang w:val="zh-CN"/>
        </w:rPr>
        <w:t>第号</w:t>
      </w:r>
    </w:p>
    <w:p>
      <w:pPr>
        <w:ind w:firstLine="0" w:firstLineChars="0"/>
        <w:jc w:val="center"/>
        <w:rPr>
          <w:rFonts w:eastAsiaTheme="minorEastAsia"/>
          <w:b/>
          <w:sz w:val="28"/>
        </w:rPr>
      </w:pPr>
      <w:r>
        <w:rPr>
          <w:rFonts w:hint="eastAsia" w:eastAsiaTheme="minorEastAsia"/>
          <w:b/>
          <w:sz w:val="28"/>
        </w:rPr>
        <w:t>201</w:t>
      </w:r>
      <w:r>
        <w:rPr>
          <w:rFonts w:eastAsiaTheme="minorEastAsia"/>
          <w:b/>
          <w:sz w:val="28"/>
        </w:rPr>
        <w:t>9</w:t>
      </w:r>
      <w:r>
        <w:rPr>
          <w:rFonts w:hint="eastAsia" w:eastAsiaTheme="minorEastAsia"/>
          <w:b/>
          <w:sz w:val="28"/>
          <w:lang w:val="zh-CN"/>
        </w:rPr>
        <w:t>年</w:t>
      </w:r>
      <w:r>
        <w:rPr>
          <w:rFonts w:eastAsiaTheme="minorEastAsia"/>
          <w:b/>
          <w:sz w:val="28"/>
        </w:rPr>
        <w:t>6</w:t>
      </w:r>
      <w:r>
        <w:rPr>
          <w:rFonts w:hint="eastAsia" w:eastAsiaTheme="minorEastAsia"/>
          <w:b/>
          <w:sz w:val="28"/>
          <w:lang w:val="zh-CN"/>
        </w:rPr>
        <w:t>月</w:t>
      </w:r>
    </w:p>
    <w:p>
      <w:pPr>
        <w:ind w:firstLine="562"/>
        <w:jc w:val="center"/>
        <w:rPr>
          <w:rFonts w:eastAsiaTheme="minorEastAsia"/>
          <w:b/>
          <w:sz w:val="28"/>
        </w:rPr>
        <w:sectPr>
          <w:headerReference r:id="rId5" w:type="first"/>
          <w:footerReference r:id="rId8" w:type="first"/>
          <w:headerReference r:id="rId3" w:type="default"/>
          <w:footerReference r:id="rId6" w:type="default"/>
          <w:headerReference r:id="rId4" w:type="even"/>
          <w:footerReference r:id="rId7" w:type="even"/>
          <w:pgSz w:w="11906" w:h="16838"/>
          <w:pgMar w:top="1418" w:right="1418" w:bottom="1418" w:left="1418" w:header="851" w:footer="992" w:gutter="0"/>
          <w:cols w:space="720" w:num="1"/>
          <w:docGrid w:type="linesAndChars" w:linePitch="326" w:charSpace="0"/>
        </w:sectPr>
      </w:pPr>
    </w:p>
    <w:p>
      <w:pPr>
        <w:adjustRightInd w:val="0"/>
        <w:snapToGrid w:val="0"/>
        <w:spacing w:line="480" w:lineRule="auto"/>
        <w:ind w:firstLine="640"/>
        <w:rPr>
          <w:rFonts w:eastAsiaTheme="minorEastAsia"/>
          <w:sz w:val="32"/>
          <w:szCs w:val="32"/>
        </w:rPr>
      </w:pPr>
    </w:p>
    <w:p>
      <w:pPr>
        <w:adjustRightInd w:val="0"/>
        <w:snapToGrid w:val="0"/>
        <w:spacing w:line="480" w:lineRule="auto"/>
        <w:ind w:firstLine="640"/>
        <w:rPr>
          <w:rFonts w:eastAsiaTheme="minorEastAsia"/>
          <w:sz w:val="32"/>
          <w:szCs w:val="32"/>
        </w:rPr>
      </w:pPr>
    </w:p>
    <w:p>
      <w:pPr>
        <w:ind w:firstLine="0" w:firstLineChars="0"/>
      </w:pPr>
    </w:p>
    <w:p>
      <w:pPr>
        <w:ind w:firstLine="480"/>
      </w:pPr>
    </w:p>
    <w:p>
      <w:pPr>
        <w:ind w:firstLine="643"/>
        <w:rPr>
          <w:rFonts w:eastAsiaTheme="minorEastAsia"/>
          <w:sz w:val="32"/>
          <w:szCs w:val="32"/>
          <w:u w:val="single"/>
        </w:rPr>
      </w:pPr>
      <w:r>
        <w:rPr>
          <w:rFonts w:eastAsiaTheme="minorEastAsia"/>
          <w:b/>
          <w:sz w:val="32"/>
          <w:szCs w:val="32"/>
        </w:rPr>
        <w:t>项</w:t>
      </w:r>
      <w:r>
        <w:rPr>
          <w:rFonts w:hint="eastAsia" w:eastAsiaTheme="minorEastAsia"/>
          <w:b/>
          <w:sz w:val="32"/>
          <w:szCs w:val="32"/>
        </w:rPr>
        <w:t xml:space="preserve"> </w:t>
      </w:r>
      <w:r>
        <w:rPr>
          <w:rFonts w:eastAsiaTheme="minorEastAsia"/>
          <w:b/>
          <w:sz w:val="32"/>
          <w:szCs w:val="32"/>
        </w:rPr>
        <w:t>目</w:t>
      </w:r>
      <w:r>
        <w:rPr>
          <w:rFonts w:hint="eastAsia" w:eastAsiaTheme="minorEastAsia"/>
          <w:b/>
          <w:sz w:val="32"/>
          <w:szCs w:val="32"/>
        </w:rPr>
        <w:t xml:space="preserve"> </w:t>
      </w:r>
      <w:r>
        <w:rPr>
          <w:rFonts w:eastAsiaTheme="minorEastAsia"/>
          <w:b/>
          <w:sz w:val="32"/>
          <w:szCs w:val="32"/>
        </w:rPr>
        <w:t>名</w:t>
      </w:r>
      <w:r>
        <w:rPr>
          <w:rFonts w:hint="eastAsia" w:eastAsiaTheme="minorEastAsia"/>
          <w:b/>
          <w:sz w:val="32"/>
          <w:szCs w:val="32"/>
        </w:rPr>
        <w:t xml:space="preserve"> </w:t>
      </w:r>
      <w:r>
        <w:rPr>
          <w:rFonts w:eastAsiaTheme="minorEastAsia"/>
          <w:b/>
          <w:sz w:val="32"/>
          <w:szCs w:val="32"/>
        </w:rPr>
        <w:t>称</w:t>
      </w:r>
      <w:r>
        <w:rPr>
          <w:rFonts w:eastAsiaTheme="minorEastAsia"/>
          <w:sz w:val="32"/>
          <w:szCs w:val="32"/>
        </w:rPr>
        <w:t>：</w:t>
      </w:r>
      <w:r>
        <w:rPr>
          <w:rFonts w:hint="eastAsia" w:eastAsiaTheme="minorEastAsia"/>
          <w:sz w:val="32"/>
          <w:szCs w:val="32"/>
          <w:u w:val="single"/>
        </w:rPr>
        <w:t>开平市骑达橡胶制品厂</w:t>
      </w:r>
    </w:p>
    <w:p>
      <w:pPr>
        <w:ind w:firstLine="2240" w:firstLineChars="700"/>
        <w:rPr>
          <w:rFonts w:eastAsiaTheme="minorEastAsia"/>
          <w:sz w:val="32"/>
          <w:szCs w:val="32"/>
          <w:u w:val="single"/>
        </w:rPr>
      </w:pPr>
      <w:r>
        <w:rPr>
          <w:rFonts w:hint="eastAsia" w:eastAsiaTheme="minorEastAsia"/>
          <w:sz w:val="32"/>
          <w:szCs w:val="32"/>
          <w:u w:val="single"/>
        </w:rPr>
        <w:t>年产</w:t>
      </w:r>
      <w:r>
        <w:rPr>
          <w:rFonts w:eastAsiaTheme="minorEastAsia"/>
          <w:sz w:val="32"/>
          <w:szCs w:val="32"/>
          <w:u w:val="single"/>
        </w:rPr>
        <w:t>8</w:t>
      </w:r>
      <w:r>
        <w:rPr>
          <w:rFonts w:hint="eastAsia" w:eastAsiaTheme="minorEastAsia"/>
          <w:sz w:val="32"/>
          <w:szCs w:val="32"/>
          <w:u w:val="single"/>
        </w:rPr>
        <w:t>00万个橡胶制品项目</w:t>
      </w:r>
    </w:p>
    <w:p>
      <w:pPr>
        <w:tabs>
          <w:tab w:val="left" w:pos="3120"/>
          <w:tab w:val="left" w:pos="5040"/>
        </w:tabs>
        <w:adjustRightInd w:val="0"/>
        <w:snapToGrid w:val="0"/>
        <w:spacing w:line="480" w:lineRule="auto"/>
        <w:ind w:left="2636" w:leftChars="265" w:hanging="2000" w:hangingChars="625"/>
        <w:rPr>
          <w:rFonts w:eastAsiaTheme="minorEastAsia"/>
          <w:sz w:val="32"/>
          <w:szCs w:val="32"/>
          <w:u w:val="single"/>
        </w:rPr>
      </w:pPr>
      <w:r>
        <w:rPr>
          <w:rFonts w:hint="eastAsia" w:eastAsiaTheme="minorEastAsia"/>
          <w:sz w:val="32"/>
          <w:szCs w:val="32"/>
          <w:u w:val="single"/>
        </w:rPr>
        <w:t xml:space="preserve">       </w:t>
      </w:r>
    </w:p>
    <w:p>
      <w:pPr>
        <w:adjustRightInd w:val="0"/>
        <w:snapToGrid w:val="0"/>
        <w:spacing w:line="480" w:lineRule="auto"/>
        <w:ind w:firstLine="643"/>
        <w:rPr>
          <w:rFonts w:eastAsiaTheme="minorEastAsia"/>
          <w:sz w:val="32"/>
          <w:szCs w:val="32"/>
        </w:rPr>
      </w:pPr>
      <w:r>
        <w:rPr>
          <w:rFonts w:eastAsiaTheme="minorEastAsia"/>
          <w:b/>
          <w:sz w:val="32"/>
          <w:szCs w:val="32"/>
        </w:rPr>
        <w:t>文</w:t>
      </w:r>
      <w:r>
        <w:rPr>
          <w:rFonts w:hint="eastAsia" w:eastAsiaTheme="minorEastAsia"/>
          <w:b/>
          <w:sz w:val="32"/>
          <w:szCs w:val="32"/>
        </w:rPr>
        <w:t xml:space="preserve">  </w:t>
      </w:r>
      <w:r>
        <w:rPr>
          <w:rFonts w:eastAsiaTheme="minorEastAsia"/>
          <w:b/>
          <w:sz w:val="32"/>
          <w:szCs w:val="32"/>
        </w:rPr>
        <w:t>件</w:t>
      </w:r>
      <w:r>
        <w:rPr>
          <w:rFonts w:hint="eastAsia" w:eastAsiaTheme="minorEastAsia"/>
          <w:b/>
          <w:sz w:val="32"/>
          <w:szCs w:val="32"/>
        </w:rPr>
        <w:t xml:space="preserve">  </w:t>
      </w:r>
      <w:r>
        <w:rPr>
          <w:rFonts w:eastAsiaTheme="minorEastAsia"/>
          <w:b/>
          <w:sz w:val="32"/>
          <w:szCs w:val="32"/>
        </w:rPr>
        <w:t>类</w:t>
      </w:r>
      <w:r>
        <w:rPr>
          <w:rFonts w:hint="eastAsia" w:eastAsiaTheme="minorEastAsia"/>
          <w:b/>
          <w:sz w:val="32"/>
          <w:szCs w:val="32"/>
        </w:rPr>
        <w:t xml:space="preserve">  </w:t>
      </w:r>
      <w:r>
        <w:rPr>
          <w:rFonts w:eastAsiaTheme="minorEastAsia"/>
          <w:b/>
          <w:sz w:val="32"/>
          <w:szCs w:val="32"/>
        </w:rPr>
        <w:t>型</w:t>
      </w:r>
      <w:r>
        <w:rPr>
          <w:rFonts w:eastAsiaTheme="minorEastAsia"/>
          <w:sz w:val="32"/>
          <w:szCs w:val="32"/>
        </w:rPr>
        <w:t>：</w:t>
      </w:r>
      <w:r>
        <w:rPr>
          <w:rFonts w:hint="eastAsia" w:eastAsiaTheme="minorEastAsia"/>
          <w:sz w:val="32"/>
          <w:szCs w:val="32"/>
          <w:u w:val="single"/>
        </w:rPr>
        <w:t xml:space="preserve">环境影响报告书           </w:t>
      </w:r>
      <w:r>
        <w:rPr>
          <w:rFonts w:hint="eastAsia" w:eastAsiaTheme="minorEastAsia"/>
          <w:sz w:val="32"/>
          <w:szCs w:val="32"/>
        </w:rPr>
        <w:t xml:space="preserve"> </w:t>
      </w:r>
    </w:p>
    <w:p>
      <w:pPr>
        <w:adjustRightInd w:val="0"/>
        <w:snapToGrid w:val="0"/>
        <w:spacing w:line="480" w:lineRule="auto"/>
        <w:ind w:firstLine="643"/>
        <w:rPr>
          <w:rFonts w:eastAsiaTheme="minorEastAsia"/>
          <w:sz w:val="32"/>
          <w:szCs w:val="32"/>
          <w:u w:val="single"/>
        </w:rPr>
      </w:pPr>
      <w:r>
        <w:rPr>
          <w:rFonts w:eastAsiaTheme="minorEastAsia"/>
          <w:b/>
          <w:sz w:val="32"/>
          <w:szCs w:val="32"/>
        </w:rPr>
        <w:t>适用的评价范围</w:t>
      </w:r>
      <w:r>
        <w:rPr>
          <w:rFonts w:eastAsiaTheme="minorEastAsia"/>
          <w:sz w:val="32"/>
          <w:szCs w:val="32"/>
        </w:rPr>
        <w:t>：</w:t>
      </w:r>
      <w:r>
        <w:rPr>
          <w:rFonts w:hint="eastAsia" w:eastAsiaTheme="minorEastAsia"/>
          <w:sz w:val="32"/>
          <w:szCs w:val="32"/>
          <w:u w:val="single"/>
        </w:rPr>
        <w:t xml:space="preserve">轻工纺织化纤    </w:t>
      </w:r>
      <w:r>
        <w:rPr>
          <w:rFonts w:eastAsiaTheme="minorEastAsia"/>
          <w:sz w:val="32"/>
          <w:szCs w:val="32"/>
          <w:u w:val="single"/>
        </w:rPr>
        <w:t xml:space="preserve">     </w:t>
      </w:r>
      <w:r>
        <w:rPr>
          <w:rFonts w:hint="eastAsia" w:eastAsiaTheme="minorEastAsia"/>
          <w:sz w:val="32"/>
          <w:szCs w:val="32"/>
          <w:u w:val="single"/>
        </w:rPr>
        <w:t xml:space="preserve">           </w:t>
      </w:r>
      <w:r>
        <w:rPr>
          <w:rFonts w:eastAsiaTheme="minorEastAsia"/>
          <w:sz w:val="32"/>
          <w:szCs w:val="32"/>
          <w:u w:val="single"/>
        </w:rPr>
        <w:t xml:space="preserve">    </w:t>
      </w:r>
    </w:p>
    <w:p>
      <w:pPr>
        <w:adjustRightInd w:val="0"/>
        <w:snapToGrid w:val="0"/>
        <w:spacing w:line="480" w:lineRule="auto"/>
        <w:ind w:firstLine="643"/>
        <w:rPr>
          <w:rFonts w:eastAsiaTheme="minorEastAsia"/>
          <w:sz w:val="32"/>
          <w:szCs w:val="32"/>
          <w:u w:val="single"/>
        </w:rPr>
      </w:pPr>
      <w:r>
        <w:rPr>
          <w:rFonts w:eastAsiaTheme="minorEastAsia"/>
          <w:b/>
          <w:sz w:val="32"/>
          <w:szCs w:val="32"/>
        </w:rPr>
        <w:t>法</w:t>
      </w:r>
      <w:r>
        <w:rPr>
          <w:rFonts w:hint="eastAsia" w:eastAsiaTheme="minorEastAsia"/>
          <w:b/>
          <w:sz w:val="32"/>
          <w:szCs w:val="32"/>
        </w:rPr>
        <w:t xml:space="preserve"> </w:t>
      </w:r>
      <w:r>
        <w:rPr>
          <w:rFonts w:eastAsiaTheme="minorEastAsia"/>
          <w:b/>
          <w:sz w:val="32"/>
          <w:szCs w:val="32"/>
        </w:rPr>
        <w:t>定</w:t>
      </w:r>
      <w:r>
        <w:rPr>
          <w:rFonts w:hint="eastAsia" w:eastAsiaTheme="minorEastAsia"/>
          <w:b/>
          <w:sz w:val="32"/>
          <w:szCs w:val="32"/>
        </w:rPr>
        <w:t xml:space="preserve"> </w:t>
      </w:r>
      <w:r>
        <w:rPr>
          <w:rFonts w:eastAsiaTheme="minorEastAsia"/>
          <w:b/>
          <w:sz w:val="32"/>
          <w:szCs w:val="32"/>
        </w:rPr>
        <w:t>代</w:t>
      </w:r>
      <w:r>
        <w:rPr>
          <w:rFonts w:hint="eastAsia" w:eastAsiaTheme="minorEastAsia"/>
          <w:b/>
          <w:sz w:val="32"/>
          <w:szCs w:val="32"/>
        </w:rPr>
        <w:t xml:space="preserve"> </w:t>
      </w:r>
      <w:r>
        <w:rPr>
          <w:rFonts w:eastAsiaTheme="minorEastAsia"/>
          <w:b/>
          <w:sz w:val="32"/>
          <w:szCs w:val="32"/>
        </w:rPr>
        <w:t>表</w:t>
      </w:r>
      <w:r>
        <w:rPr>
          <w:rFonts w:hint="eastAsia" w:eastAsiaTheme="minorEastAsia"/>
          <w:b/>
          <w:sz w:val="32"/>
          <w:szCs w:val="32"/>
        </w:rPr>
        <w:t xml:space="preserve"> </w:t>
      </w:r>
      <w:r>
        <w:rPr>
          <w:rFonts w:eastAsiaTheme="minorEastAsia"/>
          <w:b/>
          <w:sz w:val="32"/>
          <w:szCs w:val="32"/>
        </w:rPr>
        <w:t>人</w:t>
      </w:r>
      <w:r>
        <w:rPr>
          <w:rFonts w:eastAsiaTheme="minorEastAsia"/>
          <w:sz w:val="32"/>
          <w:szCs w:val="32"/>
        </w:rPr>
        <w:t>：</w:t>
      </w:r>
      <w:r>
        <w:rPr>
          <w:rFonts w:eastAsiaTheme="minorEastAsia"/>
          <w:sz w:val="32"/>
          <w:szCs w:val="32"/>
          <w:u w:val="single"/>
        </w:rPr>
        <w:t xml:space="preserve">              </w:t>
      </w:r>
      <w:r>
        <w:rPr>
          <w:rFonts w:hint="eastAsia" w:eastAsiaTheme="minorEastAsia"/>
          <w:sz w:val="32"/>
          <w:szCs w:val="32"/>
          <w:u w:val="single"/>
        </w:rPr>
        <w:t xml:space="preserve">        </w:t>
      </w:r>
      <w:r>
        <w:rPr>
          <w:rFonts w:eastAsiaTheme="minorEastAsia"/>
          <w:sz w:val="32"/>
          <w:szCs w:val="32"/>
          <w:u w:val="single"/>
        </w:rPr>
        <w:t>（签章）</w:t>
      </w:r>
    </w:p>
    <w:p>
      <w:pPr>
        <w:adjustRightInd w:val="0"/>
        <w:snapToGrid w:val="0"/>
        <w:spacing w:line="480" w:lineRule="auto"/>
        <w:ind w:firstLine="643"/>
        <w:rPr>
          <w:rFonts w:eastAsiaTheme="minorEastAsia"/>
          <w:sz w:val="28"/>
          <w:szCs w:val="20"/>
        </w:rPr>
      </w:pPr>
      <w:r>
        <w:rPr>
          <w:rFonts w:eastAsiaTheme="minorEastAsia"/>
          <w:b/>
          <w:sz w:val="32"/>
          <w:szCs w:val="32"/>
        </w:rPr>
        <w:t>主持编制机构</w:t>
      </w:r>
      <w:r>
        <w:rPr>
          <w:rFonts w:eastAsiaTheme="minorEastAsia"/>
          <w:sz w:val="32"/>
          <w:szCs w:val="32"/>
        </w:rPr>
        <w:t>：</w:t>
      </w:r>
      <w:r>
        <w:rPr>
          <w:rFonts w:hint="eastAsia" w:eastAsiaTheme="minorEastAsia"/>
          <w:sz w:val="30"/>
          <w:szCs w:val="30"/>
          <w:u w:val="single"/>
        </w:rPr>
        <w:t xml:space="preserve"> </w:t>
      </w:r>
      <w:r>
        <w:rPr>
          <w:rFonts w:eastAsiaTheme="minorEastAsia"/>
          <w:sz w:val="30"/>
          <w:szCs w:val="30"/>
          <w:u w:val="single"/>
        </w:rPr>
        <w:t xml:space="preserve">                       （签章）</w:t>
      </w:r>
    </w:p>
    <w:p>
      <w:pPr>
        <w:adjustRightInd w:val="0"/>
        <w:snapToGrid w:val="0"/>
        <w:spacing w:before="312" w:beforeLines="100" w:line="480" w:lineRule="auto"/>
        <w:ind w:firstLine="560"/>
        <w:rPr>
          <w:rFonts w:eastAsiaTheme="minorEastAsia"/>
          <w:sz w:val="28"/>
          <w:szCs w:val="20"/>
        </w:rPr>
      </w:pPr>
    </w:p>
    <w:p>
      <w:pPr>
        <w:adjustRightInd w:val="0"/>
        <w:snapToGrid w:val="0"/>
        <w:spacing w:before="312" w:beforeLines="100" w:line="480" w:lineRule="auto"/>
        <w:ind w:firstLine="560"/>
        <w:rPr>
          <w:rFonts w:eastAsiaTheme="minorEastAsia"/>
          <w:sz w:val="28"/>
          <w:szCs w:val="20"/>
        </w:rPr>
        <w:sectPr>
          <w:footerReference r:id="rId9" w:type="default"/>
          <w:pgSz w:w="11906" w:h="16838"/>
          <w:pgMar w:top="1418" w:right="1418" w:bottom="1418" w:left="1418" w:header="851" w:footer="992" w:gutter="0"/>
          <w:pgNumType w:fmt="upperRoman" w:start="1"/>
          <w:cols w:space="425" w:num="1"/>
          <w:docGrid w:type="lines" w:linePitch="312" w:charSpace="0"/>
        </w:sectPr>
      </w:pPr>
    </w:p>
    <w:p>
      <w:pPr>
        <w:ind w:firstLine="0" w:firstLineChars="0"/>
        <w:rPr>
          <w:rFonts w:eastAsiaTheme="minorEastAsia"/>
        </w:rPr>
      </w:pPr>
    </w:p>
    <w:p>
      <w:pPr>
        <w:ind w:firstLine="0" w:firstLineChars="0"/>
        <w:rPr>
          <w:rFonts w:eastAsiaTheme="minorEastAsia"/>
          <w:b/>
          <w:bCs/>
          <w:sz w:val="32"/>
        </w:rPr>
      </w:pPr>
    </w:p>
    <w:p>
      <w:pPr>
        <w:ind w:firstLine="0" w:firstLineChars="0"/>
        <w:jc w:val="both"/>
        <w:rPr>
          <w:rFonts w:eastAsiaTheme="minorEastAsia"/>
          <w:b/>
          <w:sz w:val="28"/>
          <w:lang w:val="zh-CN"/>
        </w:rPr>
      </w:pPr>
    </w:p>
    <w:p>
      <w:pPr>
        <w:ind w:firstLine="1080" w:firstLineChars="450"/>
        <w:rPr>
          <w:rFonts w:cs="Times New Roman" w:eastAsiaTheme="minorEastAsia"/>
          <w:color w:val="000000"/>
        </w:rPr>
        <w:sectPr>
          <w:footerReference r:id="rId10" w:type="default"/>
          <w:pgSz w:w="11906" w:h="16838"/>
          <w:pgMar w:top="1418" w:right="1418" w:bottom="1418" w:left="1418" w:header="851" w:footer="992" w:gutter="0"/>
          <w:pgNumType w:fmt="upperRoman"/>
          <w:cols w:space="720" w:num="1"/>
          <w:docGrid w:type="linesAndChars" w:linePitch="326" w:charSpace="0"/>
        </w:sectPr>
      </w:pPr>
    </w:p>
    <w:p>
      <w:pPr>
        <w:pStyle w:val="52"/>
        <w:rPr>
          <w:rStyle w:val="59"/>
          <w:b/>
          <w:sz w:val="32"/>
        </w:rPr>
      </w:pPr>
      <w:r>
        <w:rPr>
          <w:rStyle w:val="59"/>
          <w:b/>
          <w:sz w:val="32"/>
        </w:rPr>
        <w:t>目  录</w:t>
      </w:r>
    </w:p>
    <w:p>
      <w:pPr>
        <w:pStyle w:val="38"/>
        <w:tabs>
          <w:tab w:val="right" w:leader="dot" w:pos="9060"/>
        </w:tabs>
        <w:rPr>
          <w:rFonts w:eastAsiaTheme="minorEastAsia" w:cstheme="minorBidi"/>
          <w:b w:val="0"/>
          <w:bCs w:val="0"/>
          <w:caps w:val="0"/>
          <w:kern w:val="2"/>
          <w:sz w:val="21"/>
          <w:szCs w:val="22"/>
        </w:rPr>
      </w:pPr>
      <w:r>
        <w:rPr>
          <w:rFonts w:cs="Times New Roman" w:eastAsiaTheme="minorEastAsia"/>
          <w:b w:val="0"/>
          <w:bCs w:val="0"/>
          <w:color w:val="FF0000"/>
        </w:rPr>
        <w:fldChar w:fldCharType="begin"/>
      </w:r>
      <w:r>
        <w:rPr>
          <w:rFonts w:cs="Times New Roman" w:eastAsiaTheme="minorEastAsia"/>
          <w:b w:val="0"/>
          <w:bCs w:val="0"/>
          <w:color w:val="FF0000"/>
        </w:rPr>
        <w:instrText xml:space="preserve"> TOC \o "1-1" \h \z \t "标题 2,2,Head1,2" </w:instrText>
      </w:r>
      <w:r>
        <w:rPr>
          <w:rFonts w:cs="Times New Roman" w:eastAsiaTheme="minorEastAsia"/>
          <w:b w:val="0"/>
          <w:bCs w:val="0"/>
          <w:color w:val="FF0000"/>
        </w:rPr>
        <w:fldChar w:fldCharType="separate"/>
      </w:r>
      <w:r>
        <w:fldChar w:fldCharType="begin"/>
      </w:r>
      <w:r>
        <w:instrText xml:space="preserve"> HYPERLINK \l "_Toc3538764" </w:instrText>
      </w:r>
      <w:r>
        <w:fldChar w:fldCharType="separate"/>
      </w:r>
      <w:r>
        <w:rPr>
          <w:rStyle w:val="64"/>
        </w:rPr>
        <w:t>概述</w:t>
      </w:r>
      <w:r>
        <w:tab/>
      </w:r>
      <w:r>
        <w:fldChar w:fldCharType="begin"/>
      </w:r>
      <w:r>
        <w:instrText xml:space="preserve"> PAGEREF _Toc3538764 \h </w:instrText>
      </w:r>
      <w:r>
        <w:fldChar w:fldCharType="separate"/>
      </w:r>
      <w:r>
        <w:t>1</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"_Toc3538765" </w:instrText>
      </w:r>
      <w:r>
        <w:fldChar w:fldCharType="separate"/>
      </w:r>
      <w:r>
        <w:rPr>
          <w:rStyle w:val="64"/>
        </w:rPr>
        <w:t>一、 建设项目的特点</w:t>
      </w:r>
      <w:r>
        <w:tab/>
      </w:r>
      <w:r>
        <w:fldChar w:fldCharType="begin"/>
      </w:r>
      <w:r>
        <w:instrText xml:space="preserve"> PAGEREF _Toc3538765 \h </w:instrText>
      </w:r>
      <w:r>
        <w:fldChar w:fldCharType="separate"/>
      </w:r>
      <w:r>
        <w:t>1</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"_Toc3538766" </w:instrText>
      </w:r>
      <w:r>
        <w:fldChar w:fldCharType="separate"/>
      </w:r>
      <w:r>
        <w:rPr>
          <w:rStyle w:val="64"/>
        </w:rPr>
        <w:t>二、 环境影响评价的工作过程</w:t>
      </w:r>
      <w:r>
        <w:tab/>
      </w:r>
      <w:r>
        <w:fldChar w:fldCharType="begin"/>
      </w:r>
      <w:r>
        <w:instrText xml:space="preserve"> PAGEREF _Toc3538766 \h </w:instrText>
      </w:r>
      <w:r>
        <w:fldChar w:fldCharType="separate"/>
      </w:r>
      <w:r>
        <w:t>3</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"_Toc3538767" </w:instrText>
      </w:r>
      <w:r>
        <w:fldChar w:fldCharType="separate"/>
      </w:r>
      <w:r>
        <w:rPr>
          <w:rStyle w:val="64"/>
        </w:rPr>
        <w:t>三、 分析判定相关情况</w:t>
      </w:r>
      <w:r>
        <w:tab/>
      </w:r>
      <w:r>
        <w:fldChar w:fldCharType="begin"/>
      </w:r>
      <w:r>
        <w:instrText xml:space="preserve"> PAGEREF _Toc3538767 \h </w:instrText>
      </w:r>
      <w:r>
        <w:fldChar w:fldCharType="separate"/>
      </w:r>
      <w:r>
        <w:t>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"_Toc3538768" </w:instrText>
      </w:r>
      <w:r>
        <w:fldChar w:fldCharType="separate"/>
      </w:r>
      <w:r>
        <w:rPr>
          <w:rStyle w:val="64"/>
        </w:rPr>
        <w:t>四、 关注的主要环境问题及环境影响</w:t>
      </w:r>
      <w:r>
        <w:tab/>
      </w:r>
      <w:r>
        <w:fldChar w:fldCharType="begin"/>
      </w:r>
      <w:r>
        <w:instrText xml:space="preserve"> PAGEREF _Toc3538768 \h </w:instrText>
      </w:r>
      <w:r>
        <w:fldChar w:fldCharType="separate"/>
      </w:r>
      <w:r>
        <w:t>7</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"_Toc3538769" </w:instrText>
      </w:r>
      <w:r>
        <w:fldChar w:fldCharType="separate"/>
      </w:r>
      <w:r>
        <w:rPr>
          <w:rStyle w:val="64"/>
        </w:rPr>
        <w:t>五、 环境影响评价的主要结论</w:t>
      </w:r>
      <w:r>
        <w:tab/>
      </w:r>
      <w:r>
        <w:fldChar w:fldCharType="begin"/>
      </w:r>
      <w:r>
        <w:instrText xml:space="preserve"> PAGEREF _Toc3538769 \h </w:instrText>
      </w:r>
      <w:r>
        <w:fldChar w:fldCharType="separate"/>
      </w:r>
      <w:r>
        <w:t>7</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"_Toc3538770" </w:instrText>
      </w:r>
      <w:r>
        <w:fldChar w:fldCharType="separate"/>
      </w:r>
      <w:r>
        <w:rPr>
          <w:rStyle w:val="64"/>
        </w:rPr>
        <w:t>1. 总则</w:t>
      </w:r>
      <w:r>
        <w:tab/>
      </w:r>
      <w:r>
        <w:fldChar w:fldCharType="begin"/>
      </w:r>
      <w:r>
        <w:instrText xml:space="preserve"> PAGEREF _Toc3538770 \h </w:instrText>
      </w:r>
      <w:r>
        <w:fldChar w:fldCharType="separate"/>
      </w:r>
      <w:r>
        <w:t>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"_Toc3538771" </w:instrText>
      </w:r>
      <w:r>
        <w:fldChar w:fldCharType="separate"/>
      </w:r>
      <w:r>
        <w:rPr>
          <w:rStyle w:val="64"/>
        </w:rPr>
        <w:t>1.1. 编制依据</w:t>
      </w:r>
      <w:r>
        <w:tab/>
      </w:r>
      <w:r>
        <w:fldChar w:fldCharType="begin"/>
      </w:r>
      <w:r>
        <w:instrText xml:space="preserve"> PAGEREF _Toc3538771 \h </w:instrText>
      </w:r>
      <w:r>
        <w:fldChar w:fldCharType="separate"/>
      </w:r>
      <w:r>
        <w:t>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"_Toc3538772" </w:instrText>
      </w:r>
      <w:r>
        <w:fldChar w:fldCharType="separate"/>
      </w:r>
      <w:r>
        <w:rPr>
          <w:rStyle w:val="64"/>
        </w:rPr>
        <w:t>1.2. 相关规划及环境功能区划</w:t>
      </w:r>
      <w:r>
        <w:tab/>
      </w:r>
      <w:r>
        <w:fldChar w:fldCharType="begin"/>
      </w:r>
      <w:r>
        <w:instrText xml:space="preserve"> PAGEREF _Toc3538772 \h </w:instrText>
      </w:r>
      <w:r>
        <w:fldChar w:fldCharType="separate"/>
      </w:r>
      <w:r>
        <w:t>15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"_Toc3538773" </w:instrText>
      </w:r>
      <w:r>
        <w:fldChar w:fldCharType="separate"/>
      </w:r>
      <w:r>
        <w:rPr>
          <w:rStyle w:val="64"/>
        </w:rPr>
        <w:t>1.3. 环境影响识别与评价因子筛选</w:t>
      </w:r>
      <w:r>
        <w:tab/>
      </w:r>
      <w:r>
        <w:fldChar w:fldCharType="begin"/>
      </w:r>
      <w:r>
        <w:instrText xml:space="preserve"> PAGEREF _Toc3538773 \h </w:instrText>
      </w:r>
      <w:r>
        <w:fldChar w:fldCharType="separate"/>
      </w:r>
      <w:r>
        <w:t>25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"_Toc3538774" </w:instrText>
      </w:r>
      <w:r>
        <w:fldChar w:fldCharType="separate"/>
      </w:r>
      <w:r>
        <w:rPr>
          <w:rStyle w:val="64"/>
        </w:rPr>
        <w:t>1.4. 评价标准</w:t>
      </w:r>
      <w:r>
        <w:tab/>
      </w:r>
      <w:r>
        <w:fldChar w:fldCharType="begin"/>
      </w:r>
      <w:r>
        <w:instrText xml:space="preserve"> PAGEREF _Toc3538774 \h </w:instrText>
      </w:r>
      <w:r>
        <w:fldChar w:fldCharType="separate"/>
      </w:r>
      <w:r>
        <w:t>26</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"_Toc3538775" </w:instrText>
      </w:r>
      <w:r>
        <w:fldChar w:fldCharType="separate"/>
      </w:r>
      <w:r>
        <w:rPr>
          <w:rStyle w:val="64"/>
        </w:rPr>
        <w:t>1.5. 评价工作等级和评价范围</w:t>
      </w:r>
      <w:r>
        <w:tab/>
      </w:r>
      <w:r>
        <w:fldChar w:fldCharType="begin"/>
      </w:r>
      <w:r>
        <w:instrText xml:space="preserve"> PAGEREF _Toc3538775 \h </w:instrText>
      </w:r>
      <w:r>
        <w:fldChar w:fldCharType="separate"/>
      </w:r>
      <w:r>
        <w:t>33</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"_Toc3538776" </w:instrText>
      </w:r>
      <w:r>
        <w:fldChar w:fldCharType="separate"/>
      </w:r>
      <w:r>
        <w:rPr>
          <w:rStyle w:val="64"/>
        </w:rPr>
        <w:t>1.6. 污染控制与环境保护目标</w:t>
      </w:r>
      <w:r>
        <w:tab/>
      </w:r>
      <w:r>
        <w:fldChar w:fldCharType="begin"/>
      </w:r>
      <w:r>
        <w:instrText xml:space="preserve"> PAGEREF _Toc3538776 \h </w:instrText>
      </w:r>
      <w:r>
        <w:fldChar w:fldCharType="separate"/>
      </w:r>
      <w:r>
        <w:t>41</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"_Toc3538777" </w:instrText>
      </w:r>
      <w:r>
        <w:fldChar w:fldCharType="separate"/>
      </w:r>
      <w:r>
        <w:rPr>
          <w:rStyle w:val="64"/>
        </w:rPr>
        <w:t>2. 建设项目工程分析</w:t>
      </w:r>
      <w:r>
        <w:tab/>
      </w:r>
      <w:r>
        <w:fldChar w:fldCharType="begin"/>
      </w:r>
      <w:r>
        <w:instrText xml:space="preserve"> PAGEREF _Toc3538777 \h </w:instrText>
      </w:r>
      <w:r>
        <w:fldChar w:fldCharType="separate"/>
      </w:r>
      <w:r>
        <w:t>44</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"_Toc3538778" </w:instrText>
      </w:r>
      <w:r>
        <w:fldChar w:fldCharType="separate"/>
      </w:r>
      <w:r>
        <w:rPr>
          <w:rStyle w:val="64"/>
        </w:rPr>
        <w:t>2.1. 建设项目概况</w:t>
      </w:r>
      <w:r>
        <w:tab/>
      </w:r>
      <w:r>
        <w:fldChar w:fldCharType="begin"/>
      </w:r>
      <w:r>
        <w:instrText xml:space="preserve"> PAGEREF _Toc3538778 \h </w:instrText>
      </w:r>
      <w:r>
        <w:fldChar w:fldCharType="separate"/>
      </w:r>
      <w:r>
        <w:t>44</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"_Toc3538779" </w:instrText>
      </w:r>
      <w:r>
        <w:fldChar w:fldCharType="separate"/>
      </w:r>
      <w:r>
        <w:rPr>
          <w:rStyle w:val="64"/>
        </w:rPr>
        <w:t>2.2. 主体工程</w:t>
      </w:r>
      <w:r>
        <w:tab/>
      </w:r>
      <w:r>
        <w:fldChar w:fldCharType="begin"/>
      </w:r>
      <w:r>
        <w:instrText xml:space="preserve"> PAGEREF _Toc3538779 \h </w:instrText>
      </w:r>
      <w:r>
        <w:fldChar w:fldCharType="separate"/>
      </w:r>
      <w:r>
        <w:t>53</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"_Toc3538780" </w:instrText>
      </w:r>
      <w:r>
        <w:fldChar w:fldCharType="separate"/>
      </w:r>
      <w:r>
        <w:rPr>
          <w:rStyle w:val="64"/>
        </w:rPr>
        <w:t>2.3. 储运工程</w:t>
      </w:r>
      <w:r>
        <w:tab/>
      </w:r>
      <w:r>
        <w:fldChar w:fldCharType="begin"/>
      </w:r>
      <w:r>
        <w:instrText xml:space="preserve"> PAGEREF _Toc3538780 \h </w:instrText>
      </w:r>
      <w:r>
        <w:fldChar w:fldCharType="separate"/>
      </w:r>
      <w:r>
        <w:t>55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"_Toc3538781" </w:instrText>
      </w:r>
      <w:r>
        <w:fldChar w:fldCharType="separate"/>
      </w:r>
      <w:r>
        <w:rPr>
          <w:rStyle w:val="64"/>
        </w:rPr>
        <w:t>2.4. 公用及辅助工程</w:t>
      </w:r>
      <w:r>
        <w:tab/>
      </w:r>
      <w:r>
        <w:fldChar w:fldCharType="begin"/>
      </w:r>
      <w:r>
        <w:instrText xml:space="preserve"> PAGEREF _Toc3538781 \h </w:instrText>
      </w:r>
      <w:r>
        <w:fldChar w:fldCharType="separate"/>
      </w:r>
      <w:r>
        <w:t>55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"_Toc3538782" </w:instrText>
      </w:r>
      <w:r>
        <w:fldChar w:fldCharType="separate"/>
      </w:r>
      <w:r>
        <w:rPr>
          <w:rStyle w:val="64"/>
        </w:rPr>
        <w:t>2.5. 工艺流程及产污环节</w:t>
      </w:r>
      <w:r>
        <w:tab/>
      </w:r>
      <w:r>
        <w:fldChar w:fldCharType="begin"/>
      </w:r>
      <w:r>
        <w:instrText xml:space="preserve"> PAGEREF _Toc3538782 \h </w:instrText>
      </w:r>
      <w:r>
        <w:fldChar w:fldCharType="separate"/>
      </w:r>
      <w:r>
        <w:t>58</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"_Toc3538783" </w:instrText>
      </w:r>
      <w:r>
        <w:fldChar w:fldCharType="separate"/>
      </w:r>
      <w:r>
        <w:rPr>
          <w:rStyle w:val="64"/>
        </w:rPr>
        <w:t>2.6. 水平衡与物料平衡</w:t>
      </w:r>
      <w:r>
        <w:tab/>
      </w:r>
      <w:r>
        <w:fldChar w:fldCharType="begin"/>
      </w:r>
      <w:r>
        <w:instrText xml:space="preserve"> PAGEREF _Toc3538783 \h </w:instrText>
      </w:r>
      <w:r>
        <w:fldChar w:fldCharType="separate"/>
      </w:r>
      <w:r>
        <w:t>63</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"_Toc3538784" </w:instrText>
      </w:r>
      <w:r>
        <w:fldChar w:fldCharType="separate"/>
      </w:r>
      <w:r>
        <w:rPr>
          <w:rStyle w:val="64"/>
        </w:rPr>
        <w:t>2.7. 项目存在的环境问题及“以新带老”措施</w:t>
      </w:r>
      <w:r>
        <w:tab/>
      </w:r>
      <w:r>
        <w:fldChar w:fldCharType="begin"/>
      </w:r>
      <w:r>
        <w:instrText xml:space="preserve"> PAGEREF _Toc3538784 \h </w:instrText>
      </w:r>
      <w:r>
        <w:fldChar w:fldCharType="separate"/>
      </w:r>
      <w:r>
        <w:t>66</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"_Toc3538785" </w:instrText>
      </w:r>
      <w:r>
        <w:fldChar w:fldCharType="separate"/>
      </w:r>
      <w:r>
        <w:rPr>
          <w:rStyle w:val="64"/>
        </w:rPr>
        <w:t>2.8. 污染源分析及防治措施</w:t>
      </w:r>
      <w:r>
        <w:tab/>
      </w:r>
      <w:r>
        <w:fldChar w:fldCharType="begin"/>
      </w:r>
      <w:r>
        <w:instrText xml:space="preserve"> PAGEREF _Toc3538785 \h </w:instrText>
      </w:r>
      <w:r>
        <w:fldChar w:fldCharType="separate"/>
      </w:r>
      <w:r>
        <w:t>72</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"_Toc3538786" </w:instrText>
      </w:r>
      <w:r>
        <w:fldChar w:fldCharType="separate"/>
      </w:r>
      <w:r>
        <w:rPr>
          <w:rStyle w:val="64"/>
        </w:rPr>
        <w:t>2.9. 全厂污染排放量汇总</w:t>
      </w:r>
      <w:r>
        <w:tab/>
      </w:r>
      <w:r>
        <w:fldChar w:fldCharType="begin"/>
      </w:r>
      <w:r>
        <w:instrText xml:space="preserve"> PAGEREF _Toc3538786 \h </w:instrText>
      </w:r>
      <w:r>
        <w:fldChar w:fldCharType="separate"/>
      </w:r>
      <w:r>
        <w:t>100</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"_Toc3538787" </w:instrText>
      </w:r>
      <w:r>
        <w:fldChar w:fldCharType="separate"/>
      </w:r>
      <w:r>
        <w:rPr>
          <w:rStyle w:val="64"/>
        </w:rPr>
        <w:t>2.10. 污染物总量控制因子</w:t>
      </w:r>
      <w:r>
        <w:tab/>
      </w:r>
      <w:r>
        <w:fldChar w:fldCharType="begin"/>
      </w:r>
      <w:r>
        <w:instrText xml:space="preserve"> PAGEREF _Toc3538787 \h </w:instrText>
      </w:r>
      <w:r>
        <w:fldChar w:fldCharType="separate"/>
      </w:r>
      <w:r>
        <w:t>101</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"_Toc3538788" </w:instrText>
      </w:r>
      <w:r>
        <w:fldChar w:fldCharType="separate"/>
      </w:r>
      <w:r>
        <w:rPr>
          <w:rStyle w:val="64"/>
        </w:rPr>
        <w:t>2.11. 项目清洁生产分析</w:t>
      </w:r>
      <w:r>
        <w:tab/>
      </w:r>
      <w:r>
        <w:fldChar w:fldCharType="begin"/>
      </w:r>
      <w:r>
        <w:instrText xml:space="preserve"> PAGEREF _Toc3538788 \h </w:instrText>
      </w:r>
      <w:r>
        <w:fldChar w:fldCharType="separate"/>
      </w:r>
      <w:r>
        <w:t>102</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"_Toc3538789" </w:instrText>
      </w:r>
      <w:r>
        <w:fldChar w:fldCharType="separate"/>
      </w:r>
      <w:r>
        <w:rPr>
          <w:rStyle w:val="64"/>
        </w:rPr>
        <w:t>3. 环境现状调查与评价</w:t>
      </w:r>
      <w:r>
        <w:tab/>
      </w:r>
      <w:r>
        <w:fldChar w:fldCharType="begin"/>
      </w:r>
      <w:r>
        <w:instrText xml:space="preserve"> PAGEREF _Toc3538789 \h </w:instrText>
      </w:r>
      <w:r>
        <w:fldChar w:fldCharType="separate"/>
      </w:r>
      <w:r>
        <w:t>107</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"_Toc3538790" </w:instrText>
      </w:r>
      <w:r>
        <w:fldChar w:fldCharType="separate"/>
      </w:r>
      <w:r>
        <w:rPr>
          <w:rStyle w:val="64"/>
        </w:rPr>
        <w:t>3.1. 自然环境现状调查与评价</w:t>
      </w:r>
      <w:r>
        <w:tab/>
      </w:r>
      <w:r>
        <w:fldChar w:fldCharType="begin"/>
      </w:r>
      <w:r>
        <w:instrText xml:space="preserve"> PAGEREF _Toc3538790 \h </w:instrText>
      </w:r>
      <w:r>
        <w:fldChar w:fldCharType="separate"/>
      </w:r>
      <w:r>
        <w:t>107</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"_Toc3538791" </w:instrText>
      </w:r>
      <w:r>
        <w:fldChar w:fldCharType="separate"/>
      </w:r>
      <w:r>
        <w:rPr>
          <w:rStyle w:val="64"/>
        </w:rPr>
        <w:t>3.2. 环境保护目标调查</w:t>
      </w:r>
      <w:r>
        <w:tab/>
      </w:r>
      <w:r>
        <w:fldChar w:fldCharType="begin"/>
      </w:r>
      <w:r>
        <w:instrText xml:space="preserve"> PAGEREF _Toc3538791 \h </w:instrText>
      </w:r>
      <w:r>
        <w:fldChar w:fldCharType="separate"/>
      </w:r>
      <w:r>
        <w:t>112</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"_Toc3538792" </w:instrText>
      </w:r>
      <w:r>
        <w:fldChar w:fldCharType="separate"/>
      </w:r>
      <w:r>
        <w:rPr>
          <w:rStyle w:val="64"/>
        </w:rPr>
        <w:t>3.3. 环境质量现状调查与评价</w:t>
      </w:r>
      <w:r>
        <w:tab/>
      </w:r>
      <w:r>
        <w:fldChar w:fldCharType="begin"/>
      </w:r>
      <w:r>
        <w:instrText xml:space="preserve"> PAGEREF _Toc3538792 \h </w:instrText>
      </w:r>
      <w:r>
        <w:fldChar w:fldCharType="separate"/>
      </w:r>
      <w:r>
        <w:t>112</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"_Toc3538793" </w:instrText>
      </w:r>
      <w:r>
        <w:fldChar w:fldCharType="separate"/>
      </w:r>
      <w:r>
        <w:rPr>
          <w:rStyle w:val="64"/>
        </w:rPr>
        <w:t>3.4. 生态现状调查</w:t>
      </w:r>
      <w:r>
        <w:tab/>
      </w:r>
      <w:r>
        <w:fldChar w:fldCharType="begin"/>
      </w:r>
      <w:r>
        <w:instrText xml:space="preserve"> PAGEREF _Toc3538793 \h </w:instrText>
      </w:r>
      <w:r>
        <w:fldChar w:fldCharType="separate"/>
      </w:r>
      <w:r>
        <w:t>142</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"_Toc3538794" </w:instrText>
      </w:r>
      <w:r>
        <w:fldChar w:fldCharType="separate"/>
      </w:r>
      <w:r>
        <w:rPr>
          <w:rStyle w:val="64"/>
        </w:rPr>
        <w:t>3.5. 区域污染源调查</w:t>
      </w:r>
      <w:r>
        <w:tab/>
      </w:r>
      <w:r>
        <w:fldChar w:fldCharType="begin"/>
      </w:r>
      <w:r>
        <w:instrText xml:space="preserve"> PAGEREF _Toc3538794 \h </w:instrText>
      </w:r>
      <w:r>
        <w:fldChar w:fldCharType="separate"/>
      </w:r>
      <w:r>
        <w:t>142</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"_Toc3538795" </w:instrText>
      </w:r>
      <w:r>
        <w:fldChar w:fldCharType="separate"/>
      </w:r>
      <w:r>
        <w:rPr>
          <w:rStyle w:val="64"/>
        </w:rPr>
        <w:t>4. 环境影响预测与评价</w:t>
      </w:r>
      <w:r>
        <w:tab/>
      </w:r>
      <w:r>
        <w:fldChar w:fldCharType="begin"/>
      </w:r>
      <w:r>
        <w:instrText xml:space="preserve"> PAGEREF _Toc3538795 \h </w:instrText>
      </w:r>
      <w:r>
        <w:fldChar w:fldCharType="separate"/>
      </w:r>
      <w:r>
        <w:t>144</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"_Toc3538796" </w:instrText>
      </w:r>
      <w:r>
        <w:fldChar w:fldCharType="separate"/>
      </w:r>
      <w:r>
        <w:rPr>
          <w:rStyle w:val="64"/>
        </w:rPr>
        <w:t>4.1. 施工期环境影响评价</w:t>
      </w:r>
      <w:r>
        <w:tab/>
      </w:r>
      <w:r>
        <w:fldChar w:fldCharType="begin"/>
      </w:r>
      <w:r>
        <w:instrText xml:space="preserve"> PAGEREF _Toc3538796 \h </w:instrText>
      </w:r>
      <w:r>
        <w:fldChar w:fldCharType="separate"/>
      </w:r>
      <w:r>
        <w:t>144</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"_Toc3538797" </w:instrText>
      </w:r>
      <w:r>
        <w:fldChar w:fldCharType="separate"/>
      </w:r>
      <w:r>
        <w:rPr>
          <w:rStyle w:val="64"/>
        </w:rPr>
        <w:t>4.2. 营运期地表水环境影响分析与评价</w:t>
      </w:r>
      <w:r>
        <w:tab/>
      </w:r>
      <w:r>
        <w:fldChar w:fldCharType="begin"/>
      </w:r>
      <w:r>
        <w:instrText xml:space="preserve"> PAGEREF _Toc3538797 \h </w:instrText>
      </w:r>
      <w:r>
        <w:fldChar w:fldCharType="separate"/>
      </w:r>
      <w:r>
        <w:t>144</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"_Toc3538798" </w:instrText>
      </w:r>
      <w:r>
        <w:fldChar w:fldCharType="separate"/>
      </w:r>
      <w:r>
        <w:rPr>
          <w:rStyle w:val="64"/>
        </w:rPr>
        <w:t>4.3. 营运期地下水环境影响分析与评价</w:t>
      </w:r>
      <w:r>
        <w:tab/>
      </w:r>
      <w:r>
        <w:fldChar w:fldCharType="begin"/>
      </w:r>
      <w:r>
        <w:instrText xml:space="preserve"> PAGEREF _Toc3538798 \h </w:instrText>
      </w:r>
      <w:r>
        <w:fldChar w:fldCharType="separate"/>
      </w:r>
      <w:r>
        <w:t>146</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"_Toc3538799" </w:instrText>
      </w:r>
      <w:r>
        <w:fldChar w:fldCharType="separate"/>
      </w:r>
      <w:r>
        <w:rPr>
          <w:rStyle w:val="64"/>
        </w:rPr>
        <w:t>4.4. 营运期大气环境影响预测与评价</w:t>
      </w:r>
      <w:r>
        <w:tab/>
      </w:r>
      <w:r>
        <w:fldChar w:fldCharType="begin"/>
      </w:r>
      <w:r>
        <w:instrText xml:space="preserve"> PAGEREF _Toc3538799 \h </w:instrText>
      </w:r>
      <w:r>
        <w:fldChar w:fldCharType="separate"/>
      </w:r>
      <w:r>
        <w:t>151</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"_Toc3538800" </w:instrText>
      </w:r>
      <w:r>
        <w:fldChar w:fldCharType="separate"/>
      </w:r>
      <w:r>
        <w:rPr>
          <w:rStyle w:val="64"/>
        </w:rPr>
        <w:t>4.5. 营运期声环境影响预测与评价</w:t>
      </w:r>
      <w:r>
        <w:tab/>
      </w:r>
      <w:r>
        <w:fldChar w:fldCharType="begin"/>
      </w:r>
      <w:r>
        <w:instrText xml:space="preserve"> PAGEREF _Toc3538800 \h </w:instrText>
      </w:r>
      <w:r>
        <w:fldChar w:fldCharType="separate"/>
      </w:r>
      <w:r>
        <w:t>169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"_Toc3538801" </w:instrText>
      </w:r>
      <w:r>
        <w:fldChar w:fldCharType="separate"/>
      </w:r>
      <w:r>
        <w:rPr>
          <w:rStyle w:val="64"/>
        </w:rPr>
        <w:t>4.6. 营运期固体废物环境影响分析</w:t>
      </w:r>
      <w:r>
        <w:tab/>
      </w:r>
      <w:r>
        <w:fldChar w:fldCharType="begin"/>
      </w:r>
      <w:r>
        <w:instrText xml:space="preserve"> PAGEREF _Toc3538801 \h </w:instrText>
      </w:r>
      <w:r>
        <w:fldChar w:fldCharType="separate"/>
      </w:r>
      <w:r>
        <w:t>175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"_Toc3538802" </w:instrText>
      </w:r>
      <w:r>
        <w:fldChar w:fldCharType="separate"/>
      </w:r>
      <w:r>
        <w:rPr>
          <w:rStyle w:val="64"/>
        </w:rPr>
        <w:t>4.7. 土壤环境影响分析</w:t>
      </w:r>
      <w:r>
        <w:tab/>
      </w:r>
      <w:r>
        <w:fldChar w:fldCharType="begin"/>
      </w:r>
      <w:r>
        <w:instrText xml:space="preserve"> PAGEREF _Toc3538802 \h </w:instrText>
      </w:r>
      <w:r>
        <w:fldChar w:fldCharType="separate"/>
      </w:r>
      <w:r>
        <w:t>179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"_Toc3538803" </w:instrText>
      </w:r>
      <w:r>
        <w:fldChar w:fldCharType="separate"/>
      </w:r>
      <w:r>
        <w:rPr>
          <w:rStyle w:val="64"/>
        </w:rPr>
        <w:t>4.8. 生态环境影响分析</w:t>
      </w:r>
      <w:r>
        <w:tab/>
      </w:r>
      <w:r>
        <w:fldChar w:fldCharType="begin"/>
      </w:r>
      <w:r>
        <w:instrText xml:space="preserve"> PAGEREF _Toc3538803 \h </w:instrText>
      </w:r>
      <w:r>
        <w:fldChar w:fldCharType="separate"/>
      </w:r>
      <w:r>
        <w:t>180</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"_Toc3538804" </w:instrText>
      </w:r>
      <w:r>
        <w:fldChar w:fldCharType="separate"/>
      </w:r>
      <w:r>
        <w:rPr>
          <w:rStyle w:val="64"/>
        </w:rPr>
        <w:t>4.9. 环境风险评价</w:t>
      </w:r>
      <w:r>
        <w:tab/>
      </w:r>
      <w:r>
        <w:fldChar w:fldCharType="begin"/>
      </w:r>
      <w:r>
        <w:instrText xml:space="preserve"> PAGEREF _Toc3538804 \h </w:instrText>
      </w:r>
      <w:r>
        <w:fldChar w:fldCharType="separate"/>
      </w:r>
      <w:r>
        <w:t>180</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"_Toc3538805" </w:instrText>
      </w:r>
      <w:r>
        <w:fldChar w:fldCharType="separate"/>
      </w:r>
      <w:r>
        <w:rPr>
          <w:rStyle w:val="64"/>
        </w:rPr>
        <w:t>5. 环境保护措施及其可行性论证</w:t>
      </w:r>
      <w:r>
        <w:tab/>
      </w:r>
      <w:r>
        <w:fldChar w:fldCharType="begin"/>
      </w:r>
      <w:r>
        <w:instrText xml:space="preserve"> PAGEREF _Toc3538805 \h </w:instrText>
      </w:r>
      <w:r>
        <w:fldChar w:fldCharType="separate"/>
      </w:r>
      <w:r>
        <w:t>190</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"_Toc3538806" </w:instrText>
      </w:r>
      <w:r>
        <w:fldChar w:fldCharType="separate"/>
      </w:r>
      <w:r>
        <w:rPr>
          <w:rStyle w:val="64"/>
        </w:rPr>
        <w:t>5.1. 废水处理措施可行性分析</w:t>
      </w:r>
      <w:r>
        <w:tab/>
      </w:r>
      <w:r>
        <w:fldChar w:fldCharType="begin"/>
      </w:r>
      <w:r>
        <w:instrText xml:space="preserve"> PAGEREF _Toc3538806 \h </w:instrText>
      </w:r>
      <w:r>
        <w:fldChar w:fldCharType="separate"/>
      </w:r>
      <w:r>
        <w:t>190</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"_Toc3538807" </w:instrText>
      </w:r>
      <w:r>
        <w:fldChar w:fldCharType="separate"/>
      </w:r>
      <w:r>
        <w:rPr>
          <w:rStyle w:val="64"/>
        </w:rPr>
        <w:t>5.2. 废气处理措施可行性分析</w:t>
      </w:r>
      <w:r>
        <w:tab/>
      </w:r>
      <w:r>
        <w:fldChar w:fldCharType="begin"/>
      </w:r>
      <w:r>
        <w:instrText xml:space="preserve"> PAGEREF _Toc3538807 \h </w:instrText>
      </w:r>
      <w:r>
        <w:fldChar w:fldCharType="separate"/>
      </w:r>
      <w:r>
        <w:t>194</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"_Toc3538808" </w:instrText>
      </w:r>
      <w:r>
        <w:fldChar w:fldCharType="separate"/>
      </w:r>
      <w:r>
        <w:rPr>
          <w:rStyle w:val="64"/>
        </w:rPr>
        <w:t>5.3. 噪声污染防治措施可行性分析</w:t>
      </w:r>
      <w:r>
        <w:tab/>
      </w:r>
      <w:r>
        <w:fldChar w:fldCharType="begin"/>
      </w:r>
      <w:r>
        <w:instrText xml:space="preserve"> PAGEREF _Toc3538808 \h </w:instrText>
      </w:r>
      <w:r>
        <w:fldChar w:fldCharType="separate"/>
      </w:r>
      <w:r>
        <w:t>205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"_Toc3538809" </w:instrText>
      </w:r>
      <w:r>
        <w:fldChar w:fldCharType="separate"/>
      </w:r>
      <w:r>
        <w:rPr>
          <w:rStyle w:val="64"/>
        </w:rPr>
        <w:t>5.4. 固体废物污染防治措施可行性分析</w:t>
      </w:r>
      <w:r>
        <w:tab/>
      </w:r>
      <w:r>
        <w:fldChar w:fldCharType="begin"/>
      </w:r>
      <w:r>
        <w:instrText xml:space="preserve"> PAGEREF _Toc3538809 \h </w:instrText>
      </w:r>
      <w:r>
        <w:fldChar w:fldCharType="separate"/>
      </w:r>
      <w:r>
        <w:t>206</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"_Toc3538810" </w:instrText>
      </w:r>
      <w:r>
        <w:fldChar w:fldCharType="separate"/>
      </w:r>
      <w:r>
        <w:rPr>
          <w:rStyle w:val="64"/>
        </w:rPr>
        <w:t>5.5. 地下水污染防治措施及可行性分析</w:t>
      </w:r>
      <w:r>
        <w:tab/>
      </w:r>
      <w:r>
        <w:fldChar w:fldCharType="begin"/>
      </w:r>
      <w:r>
        <w:instrText xml:space="preserve"> PAGEREF _Toc3538810 \h </w:instrText>
      </w:r>
      <w:r>
        <w:fldChar w:fldCharType="separate"/>
      </w:r>
      <w:r>
        <w:t>210</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"_Toc3538811" </w:instrText>
      </w:r>
      <w:r>
        <w:fldChar w:fldCharType="separate"/>
      </w:r>
      <w:r>
        <w:rPr>
          <w:rStyle w:val="64"/>
        </w:rPr>
        <w:t>5.6. 环境风险防范应急措施及其可行性论证</w:t>
      </w:r>
      <w:r>
        <w:tab/>
      </w:r>
      <w:r>
        <w:fldChar w:fldCharType="begin"/>
      </w:r>
      <w:r>
        <w:instrText xml:space="preserve"> PAGEREF _Toc3538811 \h </w:instrText>
      </w:r>
      <w:r>
        <w:fldChar w:fldCharType="separate"/>
      </w:r>
      <w:r>
        <w:t>214</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"_Toc3538812" </w:instrText>
      </w:r>
      <w:r>
        <w:fldChar w:fldCharType="separate"/>
      </w:r>
      <w:r>
        <w:rPr>
          <w:rStyle w:val="64"/>
        </w:rPr>
        <w:t>5.7. 环境保护设施投资估算</w:t>
      </w:r>
      <w:r>
        <w:tab/>
      </w:r>
      <w:r>
        <w:fldChar w:fldCharType="begin"/>
      </w:r>
      <w:r>
        <w:instrText xml:space="preserve"> PAGEREF _Toc3538812 \h </w:instrText>
      </w:r>
      <w:r>
        <w:fldChar w:fldCharType="separate"/>
      </w:r>
      <w:r>
        <w:t>219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"_Toc3538813" </w:instrText>
      </w:r>
      <w:r>
        <w:fldChar w:fldCharType="separate"/>
      </w:r>
      <w:r>
        <w:rPr>
          <w:rStyle w:val="64"/>
        </w:rPr>
        <w:t>5.8. 环境保护设施汇总</w:t>
      </w:r>
      <w:r>
        <w:tab/>
      </w:r>
      <w:r>
        <w:fldChar w:fldCharType="begin"/>
      </w:r>
      <w:r>
        <w:instrText xml:space="preserve"> PAGEREF _Toc3538813 \h </w:instrText>
      </w:r>
      <w:r>
        <w:fldChar w:fldCharType="separate"/>
      </w:r>
      <w:r>
        <w:t>219</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"_Toc3538814" </w:instrText>
      </w:r>
      <w:r>
        <w:fldChar w:fldCharType="separate"/>
      </w:r>
      <w:r>
        <w:rPr>
          <w:rStyle w:val="64"/>
        </w:rPr>
        <w:t>6. 环境影响经济损益分析</w:t>
      </w:r>
      <w:r>
        <w:tab/>
      </w:r>
      <w:r>
        <w:fldChar w:fldCharType="begin"/>
      </w:r>
      <w:r>
        <w:instrText xml:space="preserve"> PAGEREF _Toc3538814 \h </w:instrText>
      </w:r>
      <w:r>
        <w:fldChar w:fldCharType="separate"/>
      </w:r>
      <w:r>
        <w:t>221</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"_Toc3538815" </w:instrText>
      </w:r>
      <w:r>
        <w:fldChar w:fldCharType="separate"/>
      </w:r>
      <w:r>
        <w:rPr>
          <w:rStyle w:val="64"/>
        </w:rPr>
        <w:t>6.1. 经济与社会效益</w:t>
      </w:r>
      <w:r>
        <w:tab/>
      </w:r>
      <w:r>
        <w:fldChar w:fldCharType="begin"/>
      </w:r>
      <w:r>
        <w:instrText xml:space="preserve"> PAGEREF _Toc3538815 \h </w:instrText>
      </w:r>
      <w:r>
        <w:fldChar w:fldCharType="separate"/>
      </w:r>
      <w:r>
        <w:t>221</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"_Toc3538816" </w:instrText>
      </w:r>
      <w:r>
        <w:fldChar w:fldCharType="separate"/>
      </w:r>
      <w:r>
        <w:rPr>
          <w:rStyle w:val="64"/>
        </w:rPr>
        <w:t>6.2. 环保投资费用分析</w:t>
      </w:r>
      <w:r>
        <w:tab/>
      </w:r>
      <w:r>
        <w:fldChar w:fldCharType="begin"/>
      </w:r>
      <w:r>
        <w:instrText xml:space="preserve"> PAGEREF _Toc3538816 \h </w:instrText>
      </w:r>
      <w:r>
        <w:fldChar w:fldCharType="separate"/>
      </w:r>
      <w:r>
        <w:t>222</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"_Toc3538817" </w:instrText>
      </w:r>
      <w:r>
        <w:fldChar w:fldCharType="separate"/>
      </w:r>
      <w:r>
        <w:rPr>
          <w:rStyle w:val="64"/>
        </w:rPr>
        <w:t>6.3. 环境影响损益分析</w:t>
      </w:r>
      <w:r>
        <w:tab/>
      </w:r>
      <w:r>
        <w:fldChar w:fldCharType="begin"/>
      </w:r>
      <w:r>
        <w:instrText xml:space="preserve"> PAGEREF _Toc3538817 \h </w:instrText>
      </w:r>
      <w:r>
        <w:fldChar w:fldCharType="separate"/>
      </w:r>
      <w:r>
        <w:t>222</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"_Toc3538818" </w:instrText>
      </w:r>
      <w:r>
        <w:fldChar w:fldCharType="separate"/>
      </w:r>
      <w:r>
        <w:rPr>
          <w:rStyle w:val="64"/>
          <w:lang w:val="zh-CN"/>
        </w:rPr>
        <w:t>6.4. 综合评价</w:t>
      </w:r>
      <w:r>
        <w:tab/>
      </w:r>
      <w:r>
        <w:fldChar w:fldCharType="begin"/>
      </w:r>
      <w:r>
        <w:instrText xml:space="preserve"> PAGEREF _Toc3538818 \h </w:instrText>
      </w:r>
      <w:r>
        <w:fldChar w:fldCharType="separate"/>
      </w:r>
      <w:r>
        <w:t>224</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"_Toc3538819" </w:instrText>
      </w:r>
      <w:r>
        <w:fldChar w:fldCharType="separate"/>
      </w:r>
      <w:r>
        <w:rPr>
          <w:rStyle w:val="64"/>
        </w:rPr>
        <w:t>7. 环境管理与监测计划</w:t>
      </w:r>
      <w:r>
        <w:tab/>
      </w:r>
      <w:r>
        <w:fldChar w:fldCharType="begin"/>
      </w:r>
      <w:r>
        <w:instrText xml:space="preserve"> PAGEREF _Toc3538819 \h </w:instrText>
      </w:r>
      <w:r>
        <w:fldChar w:fldCharType="separate"/>
      </w:r>
      <w:r>
        <w:t>225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"_Toc3538820" </w:instrText>
      </w:r>
      <w:r>
        <w:fldChar w:fldCharType="separate"/>
      </w:r>
      <w:r>
        <w:rPr>
          <w:rStyle w:val="64"/>
        </w:rPr>
        <w:t>7.1. 环境管理制度</w:t>
      </w:r>
      <w:r>
        <w:tab/>
      </w:r>
      <w:r>
        <w:fldChar w:fldCharType="begin"/>
      </w:r>
      <w:r>
        <w:instrText xml:space="preserve"> PAGEREF _Toc3538820 \h </w:instrText>
      </w:r>
      <w:r>
        <w:fldChar w:fldCharType="separate"/>
      </w:r>
      <w:r>
        <w:t>225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"_Toc3538821" </w:instrText>
      </w:r>
      <w:r>
        <w:fldChar w:fldCharType="separate"/>
      </w:r>
      <w:r>
        <w:rPr>
          <w:rStyle w:val="64"/>
        </w:rPr>
        <w:t>7.2. 污染物排放清单及管理要求</w:t>
      </w:r>
      <w:r>
        <w:tab/>
      </w:r>
      <w:r>
        <w:fldChar w:fldCharType="begin"/>
      </w:r>
      <w:r>
        <w:instrText xml:space="preserve"> PAGEREF _Toc3538821 \h </w:instrText>
      </w:r>
      <w:r>
        <w:fldChar w:fldCharType="separate"/>
      </w:r>
      <w:r>
        <w:t>229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"_Toc3538822" </w:instrText>
      </w:r>
      <w:r>
        <w:fldChar w:fldCharType="separate"/>
      </w:r>
      <w:r>
        <w:rPr>
          <w:rStyle w:val="64"/>
        </w:rPr>
        <w:t>7.3. 环境监测计划</w:t>
      </w:r>
      <w:r>
        <w:tab/>
      </w:r>
      <w:r>
        <w:fldChar w:fldCharType="begin"/>
      </w:r>
      <w:r>
        <w:instrText xml:space="preserve"> PAGEREF _Toc3538822 \h </w:instrText>
      </w:r>
      <w:r>
        <w:fldChar w:fldCharType="separate"/>
      </w:r>
      <w:r>
        <w:t>235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"_Toc3538823" </w:instrText>
      </w:r>
      <w:r>
        <w:fldChar w:fldCharType="separate"/>
      </w:r>
      <w:r>
        <w:rPr>
          <w:rStyle w:val="64"/>
        </w:rPr>
        <w:t>7.4. 环境保护设施竣工验收内容</w:t>
      </w:r>
      <w:r>
        <w:tab/>
      </w:r>
      <w:r>
        <w:fldChar w:fldCharType="begin"/>
      </w:r>
      <w:r>
        <w:instrText xml:space="preserve"> PAGEREF _Toc3538823 \h </w:instrText>
      </w:r>
      <w:r>
        <w:fldChar w:fldCharType="separate"/>
      </w:r>
      <w:r>
        <w:t>237</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"_Toc3538824" </w:instrText>
      </w:r>
      <w:r>
        <w:fldChar w:fldCharType="separate"/>
      </w:r>
      <w:r>
        <w:rPr>
          <w:rStyle w:val="64"/>
        </w:rPr>
        <w:t>8. 结论</w:t>
      </w:r>
      <w:r>
        <w:tab/>
      </w:r>
      <w:r>
        <w:fldChar w:fldCharType="begin"/>
      </w:r>
      <w:r>
        <w:instrText xml:space="preserve"> PAGEREF _Toc3538824 \h </w:instrText>
      </w:r>
      <w:r>
        <w:fldChar w:fldCharType="separate"/>
      </w:r>
      <w:r>
        <w:t>239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"_Toc3538825" </w:instrText>
      </w:r>
      <w:r>
        <w:fldChar w:fldCharType="separate"/>
      </w:r>
      <w:r>
        <w:rPr>
          <w:rStyle w:val="64"/>
        </w:rPr>
        <w:t>8.1. 项目概况</w:t>
      </w:r>
      <w:r>
        <w:tab/>
      </w:r>
      <w:r>
        <w:fldChar w:fldCharType="begin"/>
      </w:r>
      <w:r>
        <w:instrText xml:space="preserve"> PAGEREF _Toc3538825 \h </w:instrText>
      </w:r>
      <w:r>
        <w:fldChar w:fldCharType="separate"/>
      </w:r>
      <w:r>
        <w:t>239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"_Toc3538826" </w:instrText>
      </w:r>
      <w:r>
        <w:fldChar w:fldCharType="separate"/>
      </w:r>
      <w:r>
        <w:rPr>
          <w:rStyle w:val="64"/>
        </w:rPr>
        <w:t>8.2. 环境质量现状评价结论</w:t>
      </w:r>
      <w:r>
        <w:tab/>
      </w:r>
      <w:r>
        <w:fldChar w:fldCharType="begin"/>
      </w:r>
      <w:r>
        <w:instrText xml:space="preserve"> PAGEREF _Toc3538826 \h </w:instrText>
      </w:r>
      <w:r>
        <w:fldChar w:fldCharType="separate"/>
      </w:r>
      <w:r>
        <w:t>239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"_Toc3538827" </w:instrText>
      </w:r>
      <w:r>
        <w:fldChar w:fldCharType="separate"/>
      </w:r>
      <w:r>
        <w:rPr>
          <w:rStyle w:val="64"/>
        </w:rPr>
        <w:t>8.3. 污染物排放情况</w:t>
      </w:r>
      <w:r>
        <w:tab/>
      </w:r>
      <w:r>
        <w:fldChar w:fldCharType="begin"/>
      </w:r>
      <w:r>
        <w:instrText xml:space="preserve"> PAGEREF _Toc3538827 \h </w:instrText>
      </w:r>
      <w:r>
        <w:fldChar w:fldCharType="separate"/>
      </w:r>
      <w:r>
        <w:t>241</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"_Toc3538828" </w:instrText>
      </w:r>
      <w:r>
        <w:fldChar w:fldCharType="separate"/>
      </w:r>
      <w:r>
        <w:rPr>
          <w:rStyle w:val="64"/>
        </w:rPr>
        <w:t>8.4. 营运期主要环境影响评价结论</w:t>
      </w:r>
      <w:r>
        <w:tab/>
      </w:r>
      <w:r>
        <w:fldChar w:fldCharType="begin"/>
      </w:r>
      <w:r>
        <w:instrText xml:space="preserve"> PAGEREF _Toc3538828 \h </w:instrText>
      </w:r>
      <w:r>
        <w:fldChar w:fldCharType="separate"/>
      </w:r>
      <w:r>
        <w:t>242</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"_Toc3538829" </w:instrText>
      </w:r>
      <w:r>
        <w:fldChar w:fldCharType="separate"/>
      </w:r>
      <w:r>
        <w:rPr>
          <w:rStyle w:val="64"/>
        </w:rPr>
        <w:t>8.5. 环境保护措施与环保投资</w:t>
      </w:r>
      <w:r>
        <w:tab/>
      </w:r>
      <w:r>
        <w:fldChar w:fldCharType="begin"/>
      </w:r>
      <w:r>
        <w:instrText xml:space="preserve"> PAGEREF _Toc3538829 \h </w:instrText>
      </w:r>
      <w:r>
        <w:fldChar w:fldCharType="separate"/>
      </w:r>
      <w:r>
        <w:t>245</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"_Toc3538830" </w:instrText>
      </w:r>
      <w:r>
        <w:fldChar w:fldCharType="separate"/>
      </w:r>
      <w:r>
        <w:rPr>
          <w:rStyle w:val="64"/>
        </w:rPr>
        <w:t>8.6. 环境影响经济损益分析</w:t>
      </w:r>
      <w:r>
        <w:tab/>
      </w:r>
      <w:r>
        <w:fldChar w:fldCharType="begin"/>
      </w:r>
      <w:r>
        <w:instrText xml:space="preserve"> PAGEREF _Toc3538830 \h </w:instrText>
      </w:r>
      <w:r>
        <w:fldChar w:fldCharType="separate"/>
      </w:r>
      <w:r>
        <w:t>248</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"_Toc3538831" </w:instrText>
      </w:r>
      <w:r>
        <w:fldChar w:fldCharType="separate"/>
      </w:r>
      <w:r>
        <w:rPr>
          <w:rStyle w:val="64"/>
        </w:rPr>
        <w:t>8.7. 环境管理与监测计划</w:t>
      </w:r>
      <w:r>
        <w:tab/>
      </w:r>
      <w:r>
        <w:fldChar w:fldCharType="begin"/>
      </w:r>
      <w:r>
        <w:instrText xml:space="preserve"> PAGEREF _Toc3538831 \h </w:instrText>
      </w:r>
      <w:r>
        <w:fldChar w:fldCharType="separate"/>
      </w:r>
      <w:r>
        <w:t>248</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"_Toc3538832" </w:instrText>
      </w:r>
      <w:r>
        <w:fldChar w:fldCharType="separate"/>
      </w:r>
      <w:r>
        <w:rPr>
          <w:rStyle w:val="64"/>
        </w:rPr>
        <w:t>8.8. 污染物总量控制指标</w:t>
      </w:r>
      <w:r>
        <w:tab/>
      </w:r>
      <w:r>
        <w:fldChar w:fldCharType="begin"/>
      </w:r>
      <w:r>
        <w:instrText xml:space="preserve"> PAGEREF _Toc3538832 \h </w:instrText>
      </w:r>
      <w:r>
        <w:fldChar w:fldCharType="separate"/>
      </w:r>
      <w:r>
        <w:t>248</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"_Toc3538833" </w:instrText>
      </w:r>
      <w:r>
        <w:fldChar w:fldCharType="separate"/>
      </w:r>
      <w:r>
        <w:rPr>
          <w:rStyle w:val="64"/>
        </w:rPr>
        <w:t>8.9. 产业政策及地区规划相符性</w:t>
      </w:r>
      <w:r>
        <w:tab/>
      </w:r>
      <w:r>
        <w:fldChar w:fldCharType="begin"/>
      </w:r>
      <w:r>
        <w:instrText xml:space="preserve"> PAGEREF _Toc3538833 \h </w:instrText>
      </w:r>
      <w:r>
        <w:fldChar w:fldCharType="separate"/>
      </w:r>
      <w:r>
        <w:t>249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"_Toc3538834" </w:instrText>
      </w:r>
      <w:r>
        <w:fldChar w:fldCharType="separate"/>
      </w:r>
      <w:r>
        <w:rPr>
          <w:rStyle w:val="64"/>
        </w:rPr>
        <w:t>8.10. 公众意见采纳情况</w:t>
      </w:r>
      <w:r>
        <w:tab/>
      </w:r>
      <w:r>
        <w:fldChar w:fldCharType="begin"/>
      </w:r>
      <w:r>
        <w:instrText xml:space="preserve"> PAGEREF _Toc3538834 \h </w:instrText>
      </w:r>
      <w:r>
        <w:fldChar w:fldCharType="separate"/>
      </w:r>
      <w:r>
        <w:t>249</w:t>
      </w:r>
      <w:r>
        <w:fldChar w:fldCharType="end"/>
      </w:r>
      <w:r>
        <w:fldChar w:fldCharType="end"/>
      </w:r>
    </w:p>
    <w:p>
      <w:pPr>
        <w:pStyle w:val="45"/>
        <w:tabs>
          <w:tab w:val="right" w:leader="dot" w:pos="9060"/>
        </w:tabs>
        <w:ind w:firstLine="480"/>
        <w:rPr>
          <w:rFonts w:eastAsiaTheme="minorEastAsia" w:cstheme="minorBidi"/>
          <w:smallCaps w:val="0"/>
          <w:kern w:val="2"/>
          <w:sz w:val="21"/>
          <w:szCs w:val="22"/>
        </w:rPr>
      </w:pPr>
      <w:r>
        <w:fldChar w:fldCharType="begin"/>
      </w:r>
      <w:r>
        <w:instrText xml:space="preserve"> HYPERLINK \l "_Toc3538835" </w:instrText>
      </w:r>
      <w:r>
        <w:fldChar w:fldCharType="separate"/>
      </w:r>
      <w:r>
        <w:rPr>
          <w:rStyle w:val="64"/>
        </w:rPr>
        <w:t>8.11. 总结论</w:t>
      </w:r>
      <w:r>
        <w:tab/>
      </w:r>
      <w:r>
        <w:fldChar w:fldCharType="begin"/>
      </w:r>
      <w:r>
        <w:instrText xml:space="preserve"> PAGEREF _Toc3538835 \h </w:instrText>
      </w:r>
      <w:r>
        <w:fldChar w:fldCharType="separate"/>
      </w:r>
      <w:r>
        <w:t>249</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"_Toc3538836" </w:instrText>
      </w:r>
      <w:r>
        <w:fldChar w:fldCharType="separate"/>
      </w:r>
      <w:r>
        <w:rPr>
          <w:rStyle w:val="64"/>
        </w:rPr>
        <w:t>附件1 委托书</w:t>
      </w:r>
      <w:r>
        <w:tab/>
      </w:r>
      <w:r>
        <w:fldChar w:fldCharType="begin"/>
      </w:r>
      <w:r>
        <w:instrText xml:space="preserve"> PAGEREF _Toc3538836 \h </w:instrText>
      </w:r>
      <w:r>
        <w:fldChar w:fldCharType="separate"/>
      </w:r>
      <w:r>
        <w:t>251</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"_Toc3538837" </w:instrText>
      </w:r>
      <w:r>
        <w:fldChar w:fldCharType="separate"/>
      </w:r>
      <w:r>
        <w:rPr>
          <w:rStyle w:val="64"/>
        </w:rPr>
        <w:t>附件2 营业执照</w:t>
      </w:r>
      <w:r>
        <w:tab/>
      </w:r>
      <w:r>
        <w:fldChar w:fldCharType="begin"/>
      </w:r>
      <w:r>
        <w:instrText xml:space="preserve"> PAGEREF _Toc3538837 \h </w:instrText>
      </w:r>
      <w:r>
        <w:fldChar w:fldCharType="separate"/>
      </w:r>
      <w:r>
        <w:t>252</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"_Toc3538838" </w:instrText>
      </w:r>
      <w:r>
        <w:fldChar w:fldCharType="separate"/>
      </w:r>
      <w:r>
        <w:rPr>
          <w:rStyle w:val="64"/>
        </w:rPr>
        <w:t>附件3 法人身份证</w:t>
      </w:r>
      <w:r>
        <w:tab/>
      </w:r>
      <w:r>
        <w:fldChar w:fldCharType="begin"/>
      </w:r>
      <w:r>
        <w:instrText xml:space="preserve"> PAGEREF _Toc3538838 \h </w:instrText>
      </w:r>
      <w:r>
        <w:fldChar w:fldCharType="separate"/>
      </w:r>
      <w:r>
        <w:t>253</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"_Toc3538839" </w:instrText>
      </w:r>
      <w:r>
        <w:fldChar w:fldCharType="separate"/>
      </w:r>
      <w:r>
        <w:rPr>
          <w:rStyle w:val="64"/>
        </w:rPr>
        <w:t>附件4 土地使用证</w:t>
      </w:r>
      <w:r>
        <w:tab/>
      </w:r>
      <w:r>
        <w:fldChar w:fldCharType="begin"/>
      </w:r>
      <w:r>
        <w:instrText xml:space="preserve"> PAGEREF _Toc3538839 \h </w:instrText>
      </w:r>
      <w:r>
        <w:fldChar w:fldCharType="separate"/>
      </w:r>
      <w:r>
        <w:t>254</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"_Toc3538840" </w:instrText>
      </w:r>
      <w:r>
        <w:fldChar w:fldCharType="separate"/>
      </w:r>
      <w:r>
        <w:rPr>
          <w:rStyle w:val="64"/>
        </w:rPr>
        <w:t>附件5 环境质量现状监测报告</w:t>
      </w:r>
      <w:r>
        <w:tab/>
      </w:r>
      <w:r>
        <w:fldChar w:fldCharType="begin"/>
      </w:r>
      <w:r>
        <w:instrText xml:space="preserve"> PAGEREF _Toc3538840 \h </w:instrText>
      </w:r>
      <w:r>
        <w:fldChar w:fldCharType="separate"/>
      </w:r>
      <w:r>
        <w:t>256</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"_Toc3538841" </w:instrText>
      </w:r>
      <w:r>
        <w:fldChar w:fldCharType="separate"/>
      </w:r>
      <w:r>
        <w:rPr>
          <w:rStyle w:val="64"/>
        </w:rPr>
        <w:t>附件6 土壤环境质量现状监测报告</w:t>
      </w:r>
      <w:r>
        <w:tab/>
      </w:r>
      <w:r>
        <w:fldChar w:fldCharType="begin"/>
      </w:r>
      <w:r>
        <w:instrText xml:space="preserve"> PAGEREF _Toc3538841 \h </w:instrText>
      </w:r>
      <w:r>
        <w:fldChar w:fldCharType="separate"/>
      </w:r>
      <w:r>
        <w:t>266</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"_Toc3538842" </w:instrText>
      </w:r>
      <w:r>
        <w:fldChar w:fldCharType="separate"/>
      </w:r>
      <w:r>
        <w:rPr>
          <w:rStyle w:val="64"/>
        </w:rPr>
        <w:t>附件7 现有大气污染源监测报告</w:t>
      </w:r>
      <w:r>
        <w:tab/>
      </w:r>
      <w:r>
        <w:fldChar w:fldCharType="begin"/>
      </w:r>
      <w:r>
        <w:instrText xml:space="preserve"> PAGEREF _Toc3538842 \h </w:instrText>
      </w:r>
      <w:r>
        <w:fldChar w:fldCharType="separate"/>
      </w:r>
      <w:r>
        <w:t>270</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"_Toc3538843" </w:instrText>
      </w:r>
      <w:r>
        <w:fldChar w:fldCharType="separate"/>
      </w:r>
      <w:r>
        <w:rPr>
          <w:rStyle w:val="64"/>
        </w:rPr>
        <w:t>附件8 专家评审意见</w:t>
      </w:r>
      <w:r>
        <w:tab/>
      </w:r>
      <w:r>
        <w:fldChar w:fldCharType="begin"/>
      </w:r>
      <w:r>
        <w:instrText xml:space="preserve"> PAGEREF _Toc3538843 \h </w:instrText>
      </w:r>
      <w:r>
        <w:fldChar w:fldCharType="separate"/>
      </w:r>
      <w:r>
        <w:t>274</w:t>
      </w:r>
      <w:r>
        <w:fldChar w:fldCharType="end"/>
      </w:r>
      <w:r>
        <w:fldChar w:fldCharType="end"/>
      </w:r>
    </w:p>
    <w:p>
      <w:pPr>
        <w:pStyle w:val="38"/>
        <w:tabs>
          <w:tab w:val="right" w:leader="dot" w:pos="9060"/>
        </w:tabs>
        <w:rPr>
          <w:rFonts w:eastAsiaTheme="minorEastAsia" w:cstheme="minorBidi"/>
          <w:b w:val="0"/>
          <w:bCs w:val="0"/>
          <w:caps w:val="0"/>
          <w:kern w:val="2"/>
          <w:sz w:val="21"/>
          <w:szCs w:val="22"/>
        </w:rPr>
      </w:pPr>
      <w:r>
        <w:fldChar w:fldCharType="begin"/>
      </w:r>
      <w:r>
        <w:instrText xml:space="preserve"> HYPERLINK \l "_Toc3538844" </w:instrText>
      </w:r>
      <w:r>
        <w:fldChar w:fldCharType="separate"/>
      </w:r>
      <w:r>
        <w:rPr>
          <w:rStyle w:val="64"/>
        </w:rPr>
        <w:t>附件9 建设项目大气环境影响评价自查表</w:t>
      </w:r>
      <w:r>
        <w:tab/>
      </w:r>
      <w:r>
        <w:fldChar w:fldCharType="begin"/>
      </w:r>
      <w:r>
        <w:instrText xml:space="preserve"> PAGEREF _Toc3538844 \h </w:instrText>
      </w:r>
      <w:r>
        <w:fldChar w:fldCharType="separate"/>
      </w:r>
      <w:r>
        <w:t>285</w:t>
      </w:r>
      <w:r>
        <w:fldChar w:fldCharType="end"/>
      </w:r>
      <w:r>
        <w:fldChar w:fldCharType="end"/>
      </w:r>
    </w:p>
    <w:p>
      <w:pPr>
        <w:pStyle w:val="38"/>
        <w:tabs>
          <w:tab w:val="right" w:leader="dot" w:pos="9060"/>
        </w:tabs>
        <w:rPr>
          <w:rFonts w:eastAsiaTheme="minorEastAsia"/>
        </w:rPr>
      </w:pPr>
      <w:r>
        <w:rPr>
          <w:rFonts w:cs="Times New Roman" w:eastAsiaTheme="minorEastAsia"/>
          <w:bCs w:val="0"/>
          <w:color w:val="FF0000"/>
        </w:rPr>
        <w:fldChar w:fldCharType="end"/>
      </w:r>
      <w:r>
        <w:rPr>
          <w:rFonts w:eastAsiaTheme="minorEastAsia"/>
        </w:rPr>
        <w:t xml:space="preserve"> </w:t>
      </w:r>
    </w:p>
    <w:p>
      <w:pPr>
        <w:spacing w:line="300" w:lineRule="exact"/>
        <w:ind w:firstLine="0" w:firstLineChars="0"/>
        <w:rPr>
          <w:rFonts w:eastAsiaTheme="minorEastAsia"/>
        </w:rPr>
        <w:sectPr>
          <w:footerReference r:id="rId11" w:type="default"/>
          <w:pgSz w:w="11906" w:h="16838"/>
          <w:pgMar w:top="1418" w:right="1418" w:bottom="1418" w:left="1418" w:header="851" w:footer="992" w:gutter="0"/>
          <w:pgNumType w:fmt="upperRoman" w:start="1"/>
          <w:cols w:space="720" w:num="1"/>
          <w:docGrid w:type="linesAndChars" w:linePitch="326" w:charSpace="0"/>
        </w:sectPr>
      </w:pPr>
    </w:p>
    <w:bookmarkEnd w:id="1"/>
    <w:bookmarkEnd w:id="2"/>
    <w:bookmarkEnd w:id="3"/>
    <w:p>
      <w:pPr>
        <w:pStyle w:val="134"/>
      </w:pPr>
      <w:bookmarkStart w:id="4" w:name="_Toc15834"/>
      <w:bookmarkStart w:id="5" w:name="_Toc4495"/>
      <w:bookmarkStart w:id="6" w:name="_Toc3538764"/>
      <w:bookmarkStart w:id="7" w:name="_Toc331536071"/>
      <w:bookmarkStart w:id="8" w:name="_Toc329784177"/>
      <w:r>
        <w:rPr>
          <w:rFonts w:hint="eastAsia"/>
        </w:rPr>
        <w:t>概述</w:t>
      </w:r>
      <w:bookmarkEnd w:id="4"/>
      <w:bookmarkEnd w:id="5"/>
      <w:bookmarkEnd w:id="6"/>
    </w:p>
    <w:p>
      <w:pPr>
        <w:pStyle w:val="136"/>
        <w:tabs>
          <w:tab w:val="left" w:pos="7088"/>
        </w:tabs>
      </w:pPr>
      <w:bookmarkStart w:id="9" w:name="_Toc3538765"/>
      <w:r>
        <w:rPr>
          <w:rFonts w:hint="eastAsia"/>
        </w:rPr>
        <w:t>建设项目的特点</w:t>
      </w:r>
      <w:bookmarkEnd w:id="9"/>
    </w:p>
    <w:p>
      <w:pPr>
        <w:adjustRightInd w:val="0"/>
        <w:snapToGrid w:val="0"/>
        <w:ind w:firstLine="480"/>
        <w:rPr>
          <w:rFonts w:cs="Times New Roman" w:eastAsiaTheme="minorEastAsia"/>
        </w:rPr>
      </w:pPr>
      <w:r>
        <w:rPr>
          <w:rFonts w:hint="eastAsia"/>
        </w:rPr>
        <w:t>开平市骑达橡胶制品厂</w:t>
      </w:r>
      <w:r>
        <w:rPr>
          <w:rFonts w:hint="eastAsia" w:cs="Times New Roman" w:eastAsiaTheme="minorEastAsia"/>
        </w:rPr>
        <w:t>位于</w:t>
      </w:r>
      <w:r>
        <w:rPr>
          <w:rFonts w:hint="eastAsia"/>
        </w:rPr>
        <w:t>开平市苍城镇西郊工业园三区7号</w:t>
      </w:r>
      <w:r>
        <w:rPr>
          <w:rFonts w:hint="eastAsia" w:cs="Times New Roman" w:eastAsiaTheme="minorEastAsia"/>
        </w:rPr>
        <w:t>（见</w:t>
      </w:r>
      <w:r>
        <w:rPr>
          <w:rFonts w:cs="Times New Roman" w:eastAsiaTheme="minorEastAsia"/>
        </w:rPr>
        <w:fldChar w:fldCharType="begin"/>
      </w:r>
      <w:r>
        <w:rPr>
          <w:rFonts w:cs="Times New Roman" w:eastAsiaTheme="minorEastAsia"/>
        </w:rPr>
        <w:instrText xml:space="preserve"> </w:instrText>
      </w:r>
      <w:r>
        <w:rPr>
          <w:rFonts w:hint="eastAsia" w:cs="Times New Roman" w:eastAsiaTheme="minorEastAsia"/>
        </w:rPr>
        <w:instrText xml:space="preserve">REF _Ref529743729 \h</w:instrText>
      </w:r>
      <w:r>
        <w:rPr>
          <w:rFonts w:cs="Times New Roman" w:eastAsiaTheme="minorEastAsia"/>
        </w:rPr>
        <w:instrText xml:space="preserve">  \* MERGEFORMAT </w:instrText>
      </w:r>
      <w:r>
        <w:rPr>
          <w:rFonts w:cs="Times New Roman" w:eastAsiaTheme="minorEastAsia"/>
        </w:rPr>
        <w:fldChar w:fldCharType="separate"/>
      </w:r>
      <w:r>
        <w:rPr>
          <w:rFonts w:hint="eastAsia"/>
        </w:rPr>
        <w:t xml:space="preserve">图 </w:t>
      </w:r>
      <w:r>
        <w:t>1</w:t>
      </w:r>
      <w:r>
        <w:rPr>
          <w:rFonts w:cs="Times New Roman" w:eastAsiaTheme="minorEastAsia"/>
        </w:rPr>
        <w:fldChar w:fldCharType="end"/>
      </w:r>
      <w:r>
        <w:rPr>
          <w:rFonts w:hint="eastAsia" w:cs="Times New Roman" w:eastAsiaTheme="minorEastAsia"/>
        </w:rPr>
        <w:t>），厂址中心点地理坐标：N</w:t>
      </w:r>
      <w:r>
        <w:rPr>
          <w:rFonts w:cs="Times New Roman" w:eastAsiaTheme="minorEastAsia"/>
        </w:rPr>
        <w:t>22.478245</w:t>
      </w:r>
      <w:r>
        <w:rPr>
          <w:rFonts w:hint="eastAsia" w:cs="Times New Roman" w:eastAsiaTheme="minorEastAsia"/>
        </w:rPr>
        <w:t>，E</w:t>
      </w:r>
      <w:r>
        <w:rPr>
          <w:rFonts w:cs="Times New Roman" w:eastAsiaTheme="minorEastAsia"/>
        </w:rPr>
        <w:t>112.546917</w:t>
      </w:r>
      <w:r>
        <w:rPr>
          <w:rFonts w:hint="eastAsia" w:cs="Times New Roman" w:eastAsiaTheme="minorEastAsia"/>
        </w:rPr>
        <w:t>（北纬</w:t>
      </w:r>
      <w:r>
        <w:rPr>
          <w:rFonts w:cs="Times New Roman" w:eastAsiaTheme="minorEastAsia"/>
        </w:rPr>
        <w:t>22°28'41.68"</w:t>
      </w:r>
      <w:r>
        <w:rPr>
          <w:rFonts w:cs="Arial" w:eastAsiaTheme="minorEastAsia"/>
        </w:rPr>
        <w:t>，东经</w:t>
      </w:r>
      <w:r>
        <w:rPr>
          <w:rFonts w:hint="eastAsia" w:cs="Arial" w:eastAsiaTheme="minorEastAsia"/>
        </w:rPr>
        <w:t xml:space="preserve"> </w:t>
      </w:r>
      <w:r>
        <w:rPr>
          <w:rFonts w:cs="Arial" w:eastAsiaTheme="minorEastAsia"/>
        </w:rPr>
        <w:t>112°32'48.90"</w:t>
      </w:r>
      <w:r>
        <w:rPr>
          <w:rFonts w:hint="eastAsia" w:cs="Times New Roman" w:eastAsiaTheme="minorEastAsia"/>
        </w:rPr>
        <w:t>）。该企业成立于2</w:t>
      </w:r>
      <w:r>
        <w:rPr>
          <w:rFonts w:cs="Times New Roman" w:eastAsiaTheme="minorEastAsia"/>
        </w:rPr>
        <w:t>011</w:t>
      </w:r>
      <w:r>
        <w:rPr>
          <w:rFonts w:hint="eastAsia" w:cs="Times New Roman" w:eastAsiaTheme="minorEastAsia"/>
        </w:rPr>
        <w:t>年</w:t>
      </w:r>
      <w:r>
        <w:rPr>
          <w:rFonts w:cs="Times New Roman" w:eastAsiaTheme="minorEastAsia"/>
        </w:rPr>
        <w:t>7</w:t>
      </w:r>
      <w:r>
        <w:rPr>
          <w:rFonts w:hint="eastAsia" w:cs="Times New Roman" w:eastAsiaTheme="minorEastAsia"/>
        </w:rPr>
        <w:t>月，并于同年投产，主要从事橡胶制品的生产与销售，年产橡胶脚轮</w:t>
      </w:r>
      <w:r>
        <w:rPr>
          <w:rFonts w:cs="Times New Roman" w:eastAsiaTheme="minorEastAsia"/>
        </w:rPr>
        <w:t>800</w:t>
      </w:r>
      <w:r>
        <w:rPr>
          <w:rFonts w:hint="eastAsia" w:cs="Times New Roman" w:eastAsiaTheme="minorEastAsia"/>
        </w:rPr>
        <w:t>万个，项目未办理环境影响评价手续。</w:t>
      </w:r>
    </w:p>
    <w:p>
      <w:pPr>
        <w:adjustRightInd w:val="0"/>
        <w:snapToGrid w:val="0"/>
        <w:ind w:firstLine="480"/>
        <w:rPr>
          <w:rFonts w:cs="Times New Roman" w:eastAsiaTheme="minorEastAsia"/>
        </w:rPr>
      </w:pPr>
      <w:r>
        <w:rPr>
          <w:rFonts w:hint="eastAsia" w:cs="Times New Roman" w:eastAsiaTheme="minorEastAsia"/>
        </w:rPr>
        <w:t>项目总投资</w:t>
      </w:r>
      <w:r>
        <w:rPr>
          <w:rFonts w:cs="Times New Roman" w:eastAsiaTheme="minorEastAsia"/>
        </w:rPr>
        <w:t>2</w:t>
      </w:r>
      <w:r>
        <w:rPr>
          <w:rFonts w:hint="eastAsia" w:cs="Times New Roman" w:eastAsiaTheme="minorEastAsia"/>
        </w:rPr>
        <w:t>00万元，其中环保投资</w:t>
      </w:r>
      <w:r>
        <w:rPr>
          <w:rFonts w:cs="Times New Roman" w:eastAsiaTheme="minorEastAsia"/>
        </w:rPr>
        <w:t>30万元</w:t>
      </w:r>
      <w:r>
        <w:rPr>
          <w:rFonts w:hint="eastAsia" w:cs="Times New Roman" w:eastAsiaTheme="minorEastAsia"/>
        </w:rPr>
        <w:t>，占地面积</w:t>
      </w:r>
      <w:r>
        <w:rPr>
          <w:rFonts w:hint="eastAsia"/>
        </w:rPr>
        <w:t>1266.7</w:t>
      </w:r>
      <w:r>
        <w:rPr>
          <w:rFonts w:hint="eastAsia" w:cs="Times New Roman" w:eastAsiaTheme="minorEastAsia"/>
        </w:rPr>
        <w:t>m</w:t>
      </w:r>
      <w:r>
        <w:rPr>
          <w:rFonts w:hint="eastAsia" w:cs="Times New Roman" w:eastAsiaTheme="minorEastAsia"/>
          <w:vertAlign w:val="superscript"/>
        </w:rPr>
        <w:t>2</w:t>
      </w:r>
      <w:r>
        <w:rPr>
          <w:rFonts w:hint="eastAsia" w:cs="Times New Roman" w:eastAsiaTheme="minorEastAsia"/>
        </w:rPr>
        <w:t>，建筑面积</w:t>
      </w:r>
      <w:r>
        <w:rPr>
          <w:rFonts w:cs="Times New Roman" w:eastAsiaTheme="minorEastAsia"/>
        </w:rPr>
        <w:t>1040</w:t>
      </w:r>
      <w:r>
        <w:rPr>
          <w:rFonts w:hint="eastAsia" w:cs="Times New Roman" w:eastAsiaTheme="minorEastAsia"/>
        </w:rPr>
        <w:t>m</w:t>
      </w:r>
      <w:r>
        <w:rPr>
          <w:rFonts w:cs="Times New Roman" w:eastAsiaTheme="minorEastAsia"/>
          <w:vertAlign w:val="superscript"/>
        </w:rPr>
        <w:t>2</w:t>
      </w:r>
      <w:r>
        <w:rPr>
          <w:rFonts w:hint="eastAsia" w:cs="Times New Roman" w:eastAsiaTheme="minorEastAsia"/>
        </w:rPr>
        <w:t>，有生产厂房</w:t>
      </w:r>
      <w:r>
        <w:rPr>
          <w:rFonts w:cs="Times New Roman" w:eastAsiaTheme="minorEastAsia"/>
        </w:rPr>
        <w:t>1</w:t>
      </w:r>
      <w:r>
        <w:rPr>
          <w:rFonts w:hint="eastAsia" w:cs="Times New Roman" w:eastAsiaTheme="minorEastAsia"/>
        </w:rPr>
        <w:t>座、仓库3间及其他配套设施，主要生产设备为密炼机</w:t>
      </w:r>
      <w:r>
        <w:rPr>
          <w:rFonts w:cs="Times New Roman" w:eastAsiaTheme="minorEastAsia"/>
        </w:rPr>
        <w:t>1</w:t>
      </w:r>
      <w:r>
        <w:rPr>
          <w:rFonts w:hint="eastAsia" w:cs="Times New Roman" w:eastAsiaTheme="minorEastAsia"/>
        </w:rPr>
        <w:t>台、开炼机</w:t>
      </w:r>
      <w:r>
        <w:rPr>
          <w:rFonts w:cs="Times New Roman" w:eastAsiaTheme="minorEastAsia"/>
        </w:rPr>
        <w:t>2</w:t>
      </w:r>
      <w:r>
        <w:rPr>
          <w:rFonts w:hint="eastAsia" w:cs="Times New Roman" w:eastAsiaTheme="minorEastAsia"/>
        </w:rPr>
        <w:t>台、硫化机</w:t>
      </w:r>
      <w:r>
        <w:rPr>
          <w:rFonts w:cs="Times New Roman" w:eastAsiaTheme="minorEastAsia"/>
        </w:rPr>
        <w:t>10</w:t>
      </w:r>
      <w:r>
        <w:rPr>
          <w:rFonts w:hint="eastAsia" w:cs="Times New Roman" w:eastAsiaTheme="minorEastAsia"/>
        </w:rPr>
        <w:t>台。</w:t>
      </w:r>
    </w:p>
    <w:p>
      <w:pPr>
        <w:ind w:firstLine="480"/>
        <w:jc w:val="both"/>
        <w:rPr>
          <w:rFonts w:cs="Times New Roman" w:eastAsiaTheme="minorEastAsia"/>
        </w:rPr>
      </w:pPr>
      <w:r>
        <w:rPr>
          <w:rFonts w:cs="Times New Roman" w:eastAsiaTheme="minorEastAsia"/>
        </w:rPr>
        <w:t>项目在运行期间会产生一定</w:t>
      </w:r>
      <w:r>
        <w:rPr>
          <w:rFonts w:hint="eastAsia" w:cs="Times New Roman" w:eastAsiaTheme="minorEastAsia"/>
        </w:rPr>
        <w:t>量</w:t>
      </w:r>
      <w:r>
        <w:rPr>
          <w:rFonts w:cs="Times New Roman" w:eastAsiaTheme="minorEastAsia"/>
        </w:rPr>
        <w:t>的废气、废水、固体废物和噪声等污染，</w:t>
      </w:r>
      <w:r>
        <w:rPr>
          <w:rFonts w:hint="eastAsia" w:cs="Times New Roman" w:eastAsiaTheme="minorEastAsia"/>
        </w:rPr>
        <w:t>给</w:t>
      </w:r>
      <w:r>
        <w:rPr>
          <w:rFonts w:cs="Times New Roman" w:eastAsiaTheme="minorEastAsia"/>
        </w:rPr>
        <w:t>周围环境</w:t>
      </w:r>
      <w:r>
        <w:rPr>
          <w:rFonts w:hint="eastAsia" w:cs="Times New Roman" w:eastAsiaTheme="minorEastAsia"/>
        </w:rPr>
        <w:t>带来</w:t>
      </w:r>
      <w:r>
        <w:rPr>
          <w:rFonts w:cs="Times New Roman" w:eastAsiaTheme="minorEastAsia"/>
        </w:rPr>
        <w:t>一定的影响</w:t>
      </w:r>
      <w:r>
        <w:rPr>
          <w:rFonts w:hint="eastAsia" w:cs="Times New Roman" w:eastAsiaTheme="minorEastAsia"/>
        </w:rPr>
        <w:t>，建设单位必须严格落实各项污染防治措施，减小项目对环境的污染影响</w:t>
      </w:r>
      <w:r>
        <w:rPr>
          <w:rFonts w:cs="Times New Roman" w:eastAsiaTheme="minorEastAsia"/>
        </w:rPr>
        <w:t>。</w:t>
      </w:r>
    </w:p>
    <w:p>
      <w:pPr>
        <w:ind w:firstLine="480"/>
        <w:jc w:val="both"/>
        <w:rPr>
          <w:rFonts w:cs="Times New Roman" w:eastAsiaTheme="minorEastAsia"/>
        </w:rPr>
      </w:pPr>
      <w:r>
        <w:rPr>
          <w:rFonts w:cs="Times New Roman" w:eastAsiaTheme="minorEastAsia"/>
        </w:rPr>
        <w:t>根据《中华人民共和国环境保护法》</w:t>
      </w:r>
      <w:r>
        <w:rPr>
          <w:rFonts w:hint="eastAsia" w:cs="Times New Roman" w:eastAsiaTheme="minorEastAsia"/>
        </w:rPr>
        <w:t>（2</w:t>
      </w:r>
      <w:r>
        <w:rPr>
          <w:rFonts w:cs="Times New Roman" w:eastAsiaTheme="minorEastAsia"/>
        </w:rPr>
        <w:t>015</w:t>
      </w:r>
      <w:r>
        <w:rPr>
          <w:rFonts w:hint="eastAsia" w:cs="Times New Roman" w:eastAsiaTheme="minorEastAsia"/>
        </w:rPr>
        <w:t>年1月1日起施行）</w:t>
      </w:r>
      <w:r>
        <w:rPr>
          <w:rFonts w:cs="Times New Roman" w:eastAsiaTheme="minorEastAsia"/>
        </w:rPr>
        <w:t>、《中华人民共和国环境影响评价法》</w:t>
      </w:r>
      <w:r>
        <w:rPr>
          <w:rFonts w:hint="eastAsia" w:cs="Times New Roman" w:eastAsiaTheme="minorEastAsia"/>
        </w:rPr>
        <w:t>（</w:t>
      </w:r>
      <w:r>
        <w:rPr>
          <w:rFonts w:hint="eastAsia" w:eastAsiaTheme="minorEastAsia"/>
        </w:rPr>
        <w:t>20</w:t>
      </w:r>
      <w:r>
        <w:rPr>
          <w:rFonts w:eastAsiaTheme="minorEastAsia"/>
        </w:rPr>
        <w:t>16</w:t>
      </w:r>
      <w:r>
        <w:rPr>
          <w:rFonts w:hint="eastAsia" w:eastAsiaTheme="minorEastAsia"/>
        </w:rPr>
        <w:t>年9月1日施行</w:t>
      </w:r>
      <w:r>
        <w:rPr>
          <w:rFonts w:hint="eastAsia" w:cs="Times New Roman" w:eastAsiaTheme="minorEastAsia"/>
        </w:rPr>
        <w:t>）</w:t>
      </w:r>
      <w:r>
        <w:rPr>
          <w:rFonts w:cs="Times New Roman" w:eastAsiaTheme="minorEastAsia"/>
        </w:rPr>
        <w:t>、《建设项目环境保护管理条例》</w:t>
      </w:r>
      <w:r>
        <w:rPr>
          <w:rFonts w:hint="eastAsia" w:eastAsiaTheme="minorEastAsia"/>
        </w:rPr>
        <w:t>（国务院令第682号，2017年10月1日施行）</w:t>
      </w:r>
      <w:r>
        <w:rPr>
          <w:rFonts w:cs="Times New Roman" w:eastAsiaTheme="minorEastAsia"/>
        </w:rPr>
        <w:t>、《广东省建设项目环境保护管理条例》</w:t>
      </w:r>
      <w:r>
        <w:rPr>
          <w:rFonts w:hint="eastAsia" w:cs="Times New Roman" w:eastAsiaTheme="minorEastAsia"/>
        </w:rPr>
        <w:t>（</w:t>
      </w:r>
      <w:r>
        <w:rPr>
          <w:rFonts w:hint="eastAsia" w:eastAsiaTheme="minorEastAsia"/>
        </w:rPr>
        <w:t>1994年9月1日施行，2012年07月26日修正</w:t>
      </w:r>
      <w:r>
        <w:rPr>
          <w:rFonts w:hint="eastAsia" w:cs="Times New Roman" w:eastAsiaTheme="minorEastAsia"/>
        </w:rPr>
        <w:t>）</w:t>
      </w:r>
      <w:r>
        <w:rPr>
          <w:rFonts w:cs="Times New Roman" w:eastAsiaTheme="minorEastAsia"/>
        </w:rPr>
        <w:t>的有关规定，</w:t>
      </w:r>
      <w:r>
        <w:rPr>
          <w:rFonts w:hint="eastAsia" w:cs="Times New Roman" w:eastAsiaTheme="minorEastAsia"/>
        </w:rPr>
        <w:t>本项目</w:t>
      </w:r>
      <w:r>
        <w:rPr>
          <w:rFonts w:cs="Times New Roman" w:eastAsiaTheme="minorEastAsia"/>
        </w:rPr>
        <w:t>须执行环境影响评价制度。</w:t>
      </w:r>
    </w:p>
    <w:p>
      <w:pPr>
        <w:ind w:firstLine="480"/>
        <w:rPr>
          <w:rFonts w:cs="Times New Roman" w:eastAsiaTheme="minorEastAsia"/>
        </w:rPr>
      </w:pPr>
      <w:r>
        <w:rPr>
          <w:rFonts w:hint="eastAsia" w:cs="Times New Roman" w:eastAsiaTheme="minorEastAsia"/>
        </w:rPr>
        <w:t>为完善项目的环保手续，更好地做好环保管理工作，建设单位开平市骑达橡胶制品厂</w:t>
      </w:r>
      <w:r>
        <w:rPr>
          <w:rFonts w:cs="Times New Roman" w:eastAsiaTheme="minorEastAsia"/>
        </w:rPr>
        <w:t>委托</w:t>
      </w:r>
      <w:r>
        <w:rPr>
          <w:rFonts w:hint="eastAsia" w:cs="Times New Roman" w:eastAsiaTheme="minorEastAsia"/>
        </w:rPr>
        <w:t>我司</w:t>
      </w:r>
      <w:r>
        <w:rPr>
          <w:rFonts w:hint="eastAsia" w:cs="Times New Roman" w:eastAsiaTheme="minorEastAsia"/>
          <w:lang w:val="en-US" w:eastAsia="zh-CN"/>
        </w:rPr>
        <w:t xml:space="preserve"> </w:t>
      </w:r>
      <w:bookmarkStart w:id="793" w:name="_GoBack"/>
      <w:bookmarkEnd w:id="793"/>
      <w:r>
        <w:rPr>
          <w:rFonts w:cs="Times New Roman" w:eastAsiaTheme="minorEastAsia"/>
        </w:rPr>
        <w:t>承担</w:t>
      </w:r>
      <w:r>
        <w:rPr>
          <w:rFonts w:hint="eastAsia" w:cs="Times New Roman" w:eastAsiaTheme="minorEastAsia"/>
        </w:rPr>
        <w:t>该项目</w:t>
      </w:r>
      <w:r>
        <w:rPr>
          <w:rFonts w:cs="Times New Roman" w:eastAsiaTheme="minorEastAsia"/>
        </w:rPr>
        <w:t>环境影响评价工作</w:t>
      </w:r>
      <w:r>
        <w:rPr>
          <w:rFonts w:hint="eastAsia" w:cs="Times New Roman" w:eastAsiaTheme="minorEastAsia"/>
        </w:rPr>
        <w:t>，并签订环境影响评价工作合同（</w:t>
      </w:r>
      <w:r>
        <w:rPr>
          <w:rFonts w:cs="Times New Roman" w:eastAsiaTheme="minorEastAsia"/>
        </w:rPr>
        <w:fldChar w:fldCharType="begin"/>
      </w:r>
      <w:r>
        <w:rPr>
          <w:rFonts w:cs="Times New Roman" w:eastAsiaTheme="minorEastAsia"/>
        </w:rPr>
        <w:instrText xml:space="preserve"> </w:instrText>
      </w:r>
      <w:r>
        <w:rPr>
          <w:rFonts w:hint="eastAsia" w:cs="Times New Roman" w:eastAsiaTheme="minorEastAsia"/>
        </w:rPr>
        <w:instrText xml:space="preserve">REF _Ref524443799 \r \h</w:instrText>
      </w:r>
      <w:r>
        <w:rPr>
          <w:rFonts w:cs="Times New Roman" w:eastAsiaTheme="minorEastAsia"/>
        </w:rPr>
        <w:instrText xml:space="preserve">  \* MERGEFORMAT </w:instrText>
      </w:r>
      <w:r>
        <w:rPr>
          <w:rFonts w:cs="Times New Roman" w:eastAsiaTheme="minorEastAsia"/>
        </w:rPr>
        <w:fldChar w:fldCharType="separate"/>
      </w:r>
      <w:r>
        <w:rPr>
          <w:rFonts w:hint="eastAsia" w:cs="Times New Roman" w:eastAsiaTheme="minorEastAsia"/>
        </w:rPr>
        <w:t>附件1</w:t>
      </w:r>
      <w:r>
        <w:rPr>
          <w:rFonts w:cs="Times New Roman" w:eastAsiaTheme="minorEastAsia"/>
        </w:rPr>
        <w:fldChar w:fldCharType="end"/>
      </w:r>
      <w:r>
        <w:rPr>
          <w:rFonts w:hint="eastAsia" w:cs="Times New Roman" w:eastAsiaTheme="minorEastAsia"/>
        </w:rPr>
        <w:t>）</w:t>
      </w:r>
      <w:r>
        <w:rPr>
          <w:rFonts w:cs="Times New Roman" w:eastAsiaTheme="minorEastAsia"/>
        </w:rPr>
        <w:t>。</w:t>
      </w:r>
    </w:p>
    <w:p>
      <w:pPr>
        <w:ind w:firstLine="480"/>
        <w:rPr>
          <w:rFonts w:eastAsiaTheme="minorEastAsia"/>
        </w:rPr>
      </w:pPr>
    </w:p>
    <w:p>
      <w:pPr>
        <w:ind w:firstLine="480"/>
        <w:rPr>
          <w:rFonts w:eastAsiaTheme="minorEastAsia"/>
        </w:rPr>
        <w:sectPr>
          <w:headerReference r:id="rId12" w:type="default"/>
          <w:footerReference r:id="rId13" w:type="default"/>
          <w:pgSz w:w="11906" w:h="16838"/>
          <w:pgMar w:top="1418" w:right="1418" w:bottom="1418" w:left="1418" w:header="851" w:footer="992" w:gutter="0"/>
          <w:pgNumType w:start="1"/>
          <w:cols w:space="720" w:num="1"/>
          <w:docGrid w:type="lines" w:linePitch="312" w:charSpace="0"/>
        </w:sectPr>
      </w:pPr>
    </w:p>
    <w:p>
      <w:pPr>
        <w:keepNext/>
        <w:ind w:firstLine="0" w:firstLineChars="0"/>
        <w:jc w:val="center"/>
      </w:pPr>
      <w:r>
        <w:rPr>
          <w:rFonts w:eastAsiaTheme="minorEastAsia"/>
        </w:rPr>
        <mc:AlternateContent>
          <mc:Choice Requires="wps">
            <w:drawing>
              <wp:anchor distT="0" distB="0" distL="114300" distR="114300" simplePos="0" relativeHeight="251667456" behindDoc="0" locked="0" layoutInCell="1" allowOverlap="1">
                <wp:simplePos x="0" y="0"/>
                <wp:positionH relativeFrom="column">
                  <wp:posOffset>5322570</wp:posOffset>
                </wp:positionH>
                <wp:positionV relativeFrom="paragraph">
                  <wp:posOffset>2884170</wp:posOffset>
                </wp:positionV>
                <wp:extent cx="820420" cy="348615"/>
                <wp:effectExtent l="438150" t="0" r="17780" b="299085"/>
                <wp:wrapNone/>
                <wp:docPr id="15" name="矩形标注 15"/>
                <wp:cNvGraphicFramePr/>
                <a:graphic xmlns:a="http://schemas.openxmlformats.org/drawingml/2006/main">
                  <a:graphicData uri="http://schemas.microsoft.com/office/word/2010/wordprocessingShape">
                    <wps:wsp>
                      <wps:cNvSpPr/>
                      <wps:spPr>
                        <a:xfrm>
                          <a:off x="0" y="0"/>
                          <a:ext cx="820420" cy="348615"/>
                        </a:xfrm>
                        <a:prstGeom prst="wedgeRectCallout">
                          <a:avLst>
                            <a:gd name="adj1" fmla="val -99147"/>
                            <a:gd name="adj2" fmla="val 12441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pPr>
                            <w:r>
                              <w:rPr>
                                <w:rFonts w:hint="eastAsia"/>
                                <w:highlight w:val="black"/>
                              </w:rPr>
                              <w:t>项目位置</w:t>
                            </w:r>
                          </w:p>
                          <w:p>
                            <w:pPr>
                              <w:ind w:firstLine="0" w:firstLineChars="0"/>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19.1pt;margin-top:227.1pt;height:27.45pt;width:64.6pt;z-index:251667456;v-text-anchor:middle;mso-width-relative:page;mso-height-relative:page;" filled="f" stroked="t" coordsize="21600,21600" o:gfxdata="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B3xIiz3QAAAAsBAAAPAAAAAAAAAAEAIAAAACIAAABkcnMvZG93bnJldi54bWxQSwEC&#10;FAAUAAAACACHTuJAvL15uZoCAAAPBQAADgAAAAAAAAABACAAAAAsAQAAZHJzL2Uyb0RvYy54bWxQ&#10;SwUGAAAAAAYABgBZAQAAOAYAAAAA&#10;" adj="-10616,37675">
                <v:fill on="f" focussize="0,0"/>
                <v:stroke weight="1pt" color="#41719C [3204]" miterlimit="8" joinstyle="miter"/>
                <v:imagedata o:title=""/>
                <o:lock v:ext="edit" aspectratio="f"/>
                <v:textbox>
                  <w:txbxContent>
                    <w:p>
                      <w:pPr>
                        <w:ind w:firstLine="0" w:firstLineChars="0"/>
                      </w:pPr>
                      <w:r>
                        <w:rPr>
                          <w:rFonts w:hint="eastAsia"/>
                          <w:highlight w:val="black"/>
                        </w:rPr>
                        <w:t>项目位置</w:t>
                      </w:r>
                    </w:p>
                    <w:p>
                      <w:pPr>
                        <w:ind w:firstLine="0" w:firstLineChars="0"/>
                      </w:pPr>
                    </w:p>
                  </w:txbxContent>
                </v:textbox>
              </v:shape>
            </w:pict>
          </mc:Fallback>
        </mc:AlternateContent>
      </w:r>
      <w:r>
        <w:rPr>
          <w:rFonts w:eastAsiaTheme="minorEastAsia"/>
        </w:rPr>
        <mc:AlternateContent>
          <mc:Choice Requires="wps">
            <w:drawing>
              <wp:anchor distT="0" distB="0" distL="114300" distR="114300" simplePos="0" relativeHeight="251902976" behindDoc="0" locked="0" layoutInCell="1" allowOverlap="1">
                <wp:simplePos x="0" y="0"/>
                <wp:positionH relativeFrom="column">
                  <wp:posOffset>4846320</wp:posOffset>
                </wp:positionH>
                <wp:positionV relativeFrom="paragraph">
                  <wp:posOffset>3455670</wp:posOffset>
                </wp:positionV>
                <wp:extent cx="88900" cy="95250"/>
                <wp:effectExtent l="0" t="0" r="25400" b="19050"/>
                <wp:wrapNone/>
                <wp:docPr id="11" name="椭圆 11"/>
                <wp:cNvGraphicFramePr/>
                <a:graphic xmlns:a="http://schemas.openxmlformats.org/drawingml/2006/main">
                  <a:graphicData uri="http://schemas.microsoft.com/office/word/2010/wordprocessingShape">
                    <wps:wsp>
                      <wps:cNvSpPr/>
                      <wps:spPr>
                        <a:xfrm>
                          <a:off x="0" y="0"/>
                          <a:ext cx="88900" cy="9525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81.6pt;margin-top:272.1pt;height:7.5pt;width:7pt;z-index:251902976;v-text-anchor:middle;mso-width-relative:page;mso-height-relative:page;" fillcolor="#FF0000" filled="t" stroked="t" coordsize="21600,21600" o:gfxdata="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g4rcY2wAAAAsBAAAPAAAAAAAAAAEAIAAAACIAAABkcnMvZG93bnJldi54bWxQSwEC&#10;FAAUAAAACACHTuJArQYsW2MCAADJBAAADgAAAAAAAAABACAAAAAqAQAAZHJzL2Uyb0RvYy54bWxQ&#10;SwUGAAAAAAYABgBZAQAA/wUAAAAA&#10;">
                <v:fill on="t" focussize="0,0"/>
                <v:stroke weight="1pt" color="#41719C [3204]" miterlimit="8" joinstyle="miter"/>
                <v:imagedata o:title=""/>
                <o:lock v:ext="edit" aspectratio="f"/>
              </v:shape>
            </w:pict>
          </mc:Fallback>
        </mc:AlternateContent>
      </w:r>
      <w:r>
        <w:rPr>
          <w:rFonts w:eastAsiaTheme="minorEastAsia"/>
        </w:rPr>
        <mc:AlternateContent>
          <mc:Choice Requires="wps">
            <w:drawing>
              <wp:anchor distT="0" distB="0" distL="114300" distR="114300" simplePos="0" relativeHeight="251886592" behindDoc="0" locked="0" layoutInCell="1" allowOverlap="1">
                <wp:simplePos x="0" y="0"/>
                <wp:positionH relativeFrom="column">
                  <wp:posOffset>347345</wp:posOffset>
                </wp:positionH>
                <wp:positionV relativeFrom="paragraph">
                  <wp:posOffset>3782060</wp:posOffset>
                </wp:positionV>
                <wp:extent cx="1228090" cy="1359535"/>
                <wp:effectExtent l="4445" t="4445" r="5715" b="7620"/>
                <wp:wrapNone/>
                <wp:docPr id="540" name="文本框 168"/>
                <wp:cNvGraphicFramePr/>
                <a:graphic xmlns:a="http://schemas.openxmlformats.org/drawingml/2006/main">
                  <a:graphicData uri="http://schemas.microsoft.com/office/word/2010/wordprocessingShape">
                    <wps:wsp>
                      <wps:cNvSpPr txBox="1"/>
                      <wps:spPr>
                        <a:xfrm>
                          <a:off x="0" y="0"/>
                          <a:ext cx="1228090" cy="13595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pPr>
                            <w:bookmarkStart w:id="792" w:name="_Hlk530140350"/>
                            <w:bookmarkEnd w:id="792"/>
                            <w:r>
                              <w:drawing>
                                <wp:inline distT="0" distB="0" distL="114300" distR="114300">
                                  <wp:extent cx="1104265" cy="1179195"/>
                                  <wp:effectExtent l="0" t="0" r="635" b="1905"/>
                                  <wp:docPr id="51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8"/>
                                          <pic:cNvPicPr>
                                            <a:picLocks noChangeAspect="1"/>
                                          </pic:cNvPicPr>
                                        </pic:nvPicPr>
                                        <pic:blipFill>
                                          <a:blip r:embed="rId26"/>
                                          <a:stretch>
                                            <a:fillRect/>
                                          </a:stretch>
                                        </pic:blipFill>
                                        <pic:spPr>
                                          <a:xfrm>
                                            <a:off x="0" y="0"/>
                                            <a:ext cx="1104265" cy="1179195"/>
                                          </a:xfrm>
                                          <a:prstGeom prst="rect">
                                            <a:avLst/>
                                          </a:prstGeom>
                                          <a:noFill/>
                                          <a:ln w="9525">
                                            <a:noFill/>
                                          </a:ln>
                                        </pic:spPr>
                                      </pic:pic>
                                    </a:graphicData>
                                  </a:graphic>
                                </wp:inline>
                              </w:drawing>
                            </w:r>
                          </w:p>
                        </w:txbxContent>
                      </wps:txbx>
                      <wps:bodyPr upright="1"/>
                    </wps:wsp>
                  </a:graphicData>
                </a:graphic>
              </wp:anchor>
            </w:drawing>
          </mc:Choice>
          <mc:Fallback>
            <w:pict>
              <v:shape id="文本框 168" o:spid="_x0000_s1026" o:spt="202" type="#_x0000_t202" style="position:absolute;left:0pt;margin-left:27.35pt;margin-top:297.8pt;height:107.05pt;width:96.7pt;z-index:251886592;mso-width-relative:page;mso-height-relative:page;" fillcolor="#FFFFFF" filled="t" stroked="t" coordsize="21600,21600" o:gfxdata="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j5epraAAAACgEAAA8AAAAAAAAAAQAgAAAAIgAAAGRycy9kb3ducmV2LnhtbFBL&#10;AQIUABQAAAAIAIdO4kBtzeD09AEAAO0DAAAOAAAAAAAAAAEAIAAAACkBAABkcnMvZTJvRG9jLnht&#10;bFBLBQYAAAAABgAGAFkBAACPBQAAAAA=&#10;">
                <v:fill on="t" focussize="0,0"/>
                <v:stroke color="#000000" joinstyle="miter"/>
                <v:imagedata o:title=""/>
                <o:lock v:ext="edit" aspectratio="f"/>
                <v:textbox>
                  <w:txbxContent>
                    <w:p>
                      <w:pPr>
                        <w:spacing w:line="240" w:lineRule="auto"/>
                        <w:ind w:firstLine="0" w:firstLineChars="0"/>
                      </w:pPr>
                      <w:bookmarkStart w:id="792" w:name="_Hlk530140350"/>
                      <w:bookmarkEnd w:id="792"/>
                      <w:r>
                        <w:drawing>
                          <wp:inline distT="0" distB="0" distL="114300" distR="114300">
                            <wp:extent cx="1104265" cy="1179195"/>
                            <wp:effectExtent l="0" t="0" r="635" b="1905"/>
                            <wp:docPr id="51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8"/>
                                    <pic:cNvPicPr>
                                      <a:picLocks noChangeAspect="1"/>
                                    </pic:cNvPicPr>
                                  </pic:nvPicPr>
                                  <pic:blipFill>
                                    <a:blip r:embed="rId26"/>
                                    <a:stretch>
                                      <a:fillRect/>
                                    </a:stretch>
                                  </pic:blipFill>
                                  <pic:spPr>
                                    <a:xfrm>
                                      <a:off x="0" y="0"/>
                                      <a:ext cx="1104265" cy="1179195"/>
                                    </a:xfrm>
                                    <a:prstGeom prst="rect">
                                      <a:avLst/>
                                    </a:prstGeom>
                                    <a:noFill/>
                                    <a:ln w="9525">
                                      <a:noFill/>
                                    </a:ln>
                                  </pic:spPr>
                                </pic:pic>
                              </a:graphicData>
                            </a:graphic>
                          </wp:inline>
                        </w:drawing>
                      </w:r>
                    </w:p>
                  </w:txbxContent>
                </v:textbox>
              </v:shape>
            </w:pict>
          </mc:Fallback>
        </mc:AlternateContent>
      </w:r>
      <w:r>
        <w:rPr>
          <w:rFonts w:hint="eastAsia" w:eastAsiaTheme="minorEastAsia"/>
        </w:rPr>
        <mc:AlternateContent>
          <mc:Choice Requires="wpg">
            <w:drawing>
              <wp:anchor distT="0" distB="0" distL="114300" distR="114300" simplePos="0" relativeHeight="251600896" behindDoc="0" locked="0" layoutInCell="1" allowOverlap="1">
                <wp:simplePos x="0" y="0"/>
                <wp:positionH relativeFrom="column">
                  <wp:posOffset>7524115</wp:posOffset>
                </wp:positionH>
                <wp:positionV relativeFrom="paragraph">
                  <wp:posOffset>1270</wp:posOffset>
                </wp:positionV>
                <wp:extent cx="968375" cy="733425"/>
                <wp:effectExtent l="0" t="0" r="0" b="8255"/>
                <wp:wrapNone/>
                <wp:docPr id="73" name="组合 168"/>
                <wp:cNvGraphicFramePr/>
                <a:graphic xmlns:a="http://schemas.openxmlformats.org/drawingml/2006/main">
                  <a:graphicData uri="http://schemas.microsoft.com/office/word/2010/wordprocessingGroup">
                    <wpg:wgp>
                      <wpg:cNvGrpSpPr/>
                      <wpg:grpSpPr>
                        <a:xfrm>
                          <a:off x="0" y="0"/>
                          <a:ext cx="968179" cy="733425"/>
                          <a:chOff x="-58" y="-74"/>
                          <a:chExt cx="1894" cy="1155"/>
                        </a:xfrm>
                      </wpg:grpSpPr>
                      <wpg:grpSp>
                        <wpg:cNvPr id="54" name="组合 169"/>
                        <wpg:cNvGrpSpPr/>
                        <wpg:grpSpPr>
                          <a:xfrm>
                            <a:off x="663" y="-74"/>
                            <a:ext cx="1075" cy="854"/>
                            <a:chOff x="0" y="-74"/>
                            <a:chExt cx="1075" cy="854"/>
                          </a:xfrm>
                        </wpg:grpSpPr>
                        <wps:wsp>
                          <wps:cNvPr id="27" name="文本框 170"/>
                          <wps:cNvSpPr txBox="1"/>
                          <wps:spPr>
                            <a:xfrm>
                              <a:off x="12" y="-74"/>
                              <a:ext cx="1063" cy="515"/>
                            </a:xfrm>
                            <a:prstGeom prst="rect">
                              <a:avLst/>
                            </a:prstGeom>
                            <a:noFill/>
                            <a:ln w="9525">
                              <a:noFill/>
                            </a:ln>
                          </wps:spPr>
                          <wps:txbx>
                            <w:txbxContent>
                              <w:p>
                                <w:pPr>
                                  <w:ind w:firstLine="0" w:firstLineChars="0"/>
                                  <w:rPr>
                                    <w:shd w:val="pct10" w:color="auto" w:fill="FFFFFF"/>
                                  </w:rPr>
                                </w:pPr>
                                <w:r>
                                  <w:rPr>
                                    <w:rFonts w:hint="eastAsia"/>
                                    <w:b/>
                                    <w:bCs/>
                                    <w:shd w:val="pct10" w:color="auto" w:fill="FFFFFF"/>
                                  </w:rPr>
                                  <w:t>北</w:t>
                                </w:r>
                              </w:p>
                            </w:txbxContent>
                          </wps:txbx>
                          <wps:bodyPr lIns="0" tIns="45720" rIns="0" bIns="45720" upright="1"/>
                        </wps:wsp>
                        <wpg:grpSp>
                          <wpg:cNvPr id="53" name="组合 171"/>
                          <wpg:cNvGrpSpPr/>
                          <wpg:grpSpPr>
                            <a:xfrm>
                              <a:off x="0" y="435"/>
                              <a:ext cx="312" cy="345"/>
                              <a:chOff x="0" y="0"/>
                              <a:chExt cx="312" cy="345"/>
                            </a:xfrm>
                          </wpg:grpSpPr>
                          <wps:wsp>
                            <wps:cNvPr id="48" name="椭圆 172"/>
                            <wps:cNvSpPr/>
                            <wps:spPr>
                              <a:xfrm>
                                <a:off x="0" y="33"/>
                                <a:ext cx="312" cy="312"/>
                              </a:xfrm>
                              <a:prstGeom prst="ellipse">
                                <a:avLst/>
                              </a:prstGeom>
                              <a:noFill/>
                              <a:ln w="9525" cap="flat" cmpd="sng">
                                <a:solidFill>
                                  <a:srgbClr val="000000"/>
                                </a:solidFill>
                                <a:prstDash val="solid"/>
                                <a:headEnd type="none" w="med" len="med"/>
                                <a:tailEnd type="none" w="med" len="med"/>
                              </a:ln>
                            </wps:spPr>
                            <wps:bodyPr upright="1"/>
                          </wps:wsp>
                          <wps:wsp>
                            <wps:cNvPr id="52" name="自选图形 173"/>
                            <wps:cNvSpPr/>
                            <wps:spPr>
                              <a:xfrm>
                                <a:off x="113" y="0"/>
                                <a:ext cx="68" cy="283"/>
                              </a:xfrm>
                              <a:prstGeom prst="triangle">
                                <a:avLst>
                                  <a:gd name="adj" fmla="val 50000"/>
                                </a:avLst>
                              </a:prstGeom>
                              <a:solidFill>
                                <a:srgbClr val="333333"/>
                              </a:solidFill>
                              <a:ln w="9525" cap="flat" cmpd="sng">
                                <a:solidFill>
                                  <a:srgbClr val="000000"/>
                                </a:solidFill>
                                <a:prstDash val="solid"/>
                                <a:miter/>
                                <a:headEnd type="none" w="med" len="med"/>
                                <a:tailEnd type="none" w="med" len="med"/>
                              </a:ln>
                            </wps:spPr>
                            <wps:bodyPr upright="1"/>
                          </wps:wsp>
                        </wpg:grpSp>
                      </wpg:grpSp>
                      <wpg:grpSp>
                        <wpg:cNvPr id="72" name="组合 174"/>
                        <wpg:cNvGrpSpPr/>
                        <wpg:grpSpPr>
                          <a:xfrm>
                            <a:off x="-58" y="830"/>
                            <a:ext cx="1894" cy="251"/>
                            <a:chOff x="-58" y="-15"/>
                            <a:chExt cx="1894" cy="251"/>
                          </a:xfrm>
                        </wpg:grpSpPr>
                        <wpg:grpSp>
                          <wpg:cNvPr id="62" name="组合 175"/>
                          <wpg:cNvGrpSpPr>
                            <a:grpSpLocks noChangeAspect="1"/>
                          </wpg:cNvGrpSpPr>
                          <wpg:grpSpPr>
                            <a:xfrm>
                              <a:off x="0" y="202"/>
                              <a:ext cx="1519" cy="34"/>
                              <a:chOff x="0" y="0"/>
                              <a:chExt cx="1349" cy="34"/>
                            </a:xfrm>
                          </wpg:grpSpPr>
                          <wps:wsp>
                            <wps:cNvPr id="55" name="矩形 176"/>
                            <wps:cNvSpPr>
                              <a:spLocks noChangeAspect="1"/>
                            </wps:cNvSpPr>
                            <wps:spPr>
                              <a:xfrm flipV="1">
                                <a:off x="449" y="0"/>
                                <a:ext cx="446" cy="34"/>
                              </a:xfrm>
                              <a:prstGeom prst="rect">
                                <a:avLst/>
                              </a:prstGeom>
                              <a:solidFill>
                                <a:srgbClr val="000000"/>
                              </a:solidFill>
                              <a:ln w="9525" cap="flat" cmpd="sng">
                                <a:solidFill>
                                  <a:srgbClr val="000000"/>
                                </a:solidFill>
                                <a:prstDash val="solid"/>
                                <a:miter/>
                                <a:headEnd type="none" w="med" len="med"/>
                                <a:tailEnd type="none" w="med" len="med"/>
                              </a:ln>
                            </wps:spPr>
                            <wps:bodyPr upright="1"/>
                          </wps:wsp>
                          <wps:wsp>
                            <wps:cNvPr id="57" name="矩形 177"/>
                            <wps:cNvSpPr>
                              <a:spLocks noChangeAspect="1"/>
                            </wps:cNvSpPr>
                            <wps:spPr>
                              <a:xfrm flipV="1">
                                <a:off x="904" y="0"/>
                                <a:ext cx="445" cy="34"/>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59" name="矩形 178"/>
                            <wps:cNvSpPr>
                              <a:spLocks noChangeAspect="1"/>
                            </wps:cNvSpPr>
                            <wps:spPr>
                              <a:xfrm flipV="1">
                                <a:off x="0" y="0"/>
                                <a:ext cx="445" cy="34"/>
                              </a:xfrm>
                              <a:prstGeom prst="rect">
                                <a:avLst/>
                              </a:prstGeom>
                              <a:solidFill>
                                <a:srgbClr val="FFFFFF"/>
                              </a:solidFill>
                              <a:ln w="9525" cap="flat" cmpd="sng">
                                <a:solidFill>
                                  <a:srgbClr val="000000"/>
                                </a:solidFill>
                                <a:prstDash val="solid"/>
                                <a:miter/>
                                <a:headEnd type="none" w="med" len="med"/>
                                <a:tailEnd type="none" w="med" len="med"/>
                              </a:ln>
                            </wps:spPr>
                            <wps:bodyPr upright="1"/>
                          </wps:wsp>
                        </wpg:grpSp>
                        <wps:wsp>
                          <wps:cNvPr id="71" name="矩形 179"/>
                          <wps:cNvSpPr/>
                          <wps:spPr>
                            <a:xfrm>
                              <a:off x="-58" y="-15"/>
                              <a:ext cx="1894" cy="225"/>
                            </a:xfrm>
                            <a:prstGeom prst="rect">
                              <a:avLst/>
                            </a:prstGeom>
                            <a:noFill/>
                            <a:ln w="9525">
                              <a:noFill/>
                            </a:ln>
                          </wps:spPr>
                          <wps:txbx>
                            <w:txbxContent>
                              <w:p>
                                <w:pPr>
                                  <w:adjustRightInd w:val="0"/>
                                  <w:snapToGrid w:val="0"/>
                                  <w:ind w:firstLine="0" w:firstLineChars="0"/>
                                  <w:rPr>
                                    <w:sz w:val="18"/>
                                    <w:szCs w:val="18"/>
                                    <w:shd w:val="pct10" w:color="auto" w:fill="FFFFFF"/>
                                  </w:rPr>
                                </w:pPr>
                                <w:r>
                                  <w:rPr>
                                    <w:rFonts w:hint="eastAsia"/>
                                    <w:sz w:val="18"/>
                                    <w:szCs w:val="18"/>
                                    <w:shd w:val="pct10" w:color="auto" w:fill="FFFFFF"/>
                                  </w:rPr>
                                  <w:t>0   1.5km   3km</w:t>
                                </w:r>
                              </w:p>
                            </w:txbxContent>
                          </wps:txbx>
                          <wps:bodyPr lIns="0" tIns="0" rIns="0" bIns="0" upright="1"/>
                        </wps:wsp>
                      </wpg:grpSp>
                    </wpg:wgp>
                  </a:graphicData>
                </a:graphic>
              </wp:anchor>
            </w:drawing>
          </mc:Choice>
          <mc:Fallback>
            <w:pict>
              <v:group id="组合 168" o:spid="_x0000_s1026" o:spt="203" style="position:absolute;left:0pt;margin-left:592.45pt;margin-top:0.1pt;height:57.75pt;width:76.25pt;z-index:251600896;mso-width-relative:page;mso-height-relative:page;" coordorigin="-58,-74" coordsize="1894,1155" o:gfxdata="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">
                <o:lock v:ext="edit" aspectratio="f"/>
                <v:group id="组合 169" o:spid="_x0000_s1026" o:spt="203" style="position:absolute;left:663;top:-74;height:854;width:1075;" coordorigin="0,-74" coordsize="1075,854" o:gfxdata="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bXy7WvwAAANsAAAAPAAAAAAAAAAEAIAAAACIAAABkcnMvZG93bnJldi54&#10;bWxQSwECFAAUAAAACACHTuJAMy8FnjsAAAA5AAAAFQAAAAAAAAABACAAAAAOAQAAZHJzL2dyb3Vw&#10;c2hhcGV4bWwueG1sUEsFBgAAAAAGAAYAYAEAAMsDAAAAAA==&#10;">
                  <o:lock v:ext="edit" aspectratio="f"/>
                  <v:shape id="文本框 170" o:spid="_x0000_s1026" o:spt="202" type="#_x0000_t202" style="position:absolute;left:12;top:-74;height:515;width:1063;" filled="f" stroked="f" coordsize="21600,21600" o:gfxdata="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fcYvQAA&#10;ANsAAAAPAAAAAAAAAAEAIAAAACIAAABkcnMvZG93bnJldi54bWxQSwECFAAUAAAACACHTuJAMy8F&#10;njsAAAA5AAAAEAAAAAAAAAABACAAAAAMAQAAZHJzL3NoYXBleG1sLnhtbFBLBQYAAAAABgAGAFsB&#10;AAC2AwAAAAA=&#10;">
                    <v:fill on="f" focussize="0,0"/>
                    <v:stroke on="f"/>
                    <v:imagedata o:title=""/>
                    <o:lock v:ext="edit" aspectratio="f"/>
                    <v:textbox inset="0mm,1.27mm,0mm,1.27mm">
                      <w:txbxContent>
                        <w:p>
                          <w:pPr>
                            <w:ind w:firstLine="0" w:firstLineChars="0"/>
                            <w:rPr>
                              <w:shd w:val="pct10" w:color="auto" w:fill="FFFFFF"/>
                            </w:rPr>
                          </w:pPr>
                          <w:r>
                            <w:rPr>
                              <w:rFonts w:hint="eastAsia"/>
                              <w:b/>
                              <w:bCs/>
                              <w:shd w:val="pct10" w:color="auto" w:fill="FFFFFF"/>
                            </w:rPr>
                            <w:t>北</w:t>
                          </w:r>
                        </w:p>
                      </w:txbxContent>
                    </v:textbox>
                  </v:shape>
                  <v:group id="组合 171" o:spid="_x0000_s1026" o:spt="203" style="position:absolute;left:0;top:435;height:345;width:312;" coordsize="312,345" o:gfxdata="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La2or0AAADbAAAADwAAAAAAAAABACAAAAAiAAAAZHJzL2Rvd25yZXYueG1s&#10;UEsBAhQAFAAAAAgAh07iQDMvBZ47AAAAOQAAABUAAAAAAAAAAQAgAAAADAEAAGRycy9ncm91cHNo&#10;YXBleG1sLnhtbFBLBQYAAAAABgAGAGABAADJAwAAAAA=&#10;">
                    <o:lock v:ext="edit" aspectratio="f"/>
                    <v:shape id="椭圆 172" o:spid="_x0000_s1026" o:spt="3" type="#_x0000_t3" style="position:absolute;left:0;top:33;height:312;width:312;" filled="f" stroked="t" coordsize="21600,21600" o:gfxdata="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FcVB7sAAADb&#10;AAAADwAAAAAAAAABACAAAAAiAAAAZHJzL2Rvd25yZXYueG1sUEsBAhQAFAAAAAgAh07iQDMvBZ47&#10;AAAAOQAAABAAAAAAAAAAAQAgAAAACgEAAGRycy9zaGFwZXhtbC54bWxQSwUGAAAAAAYABgBbAQAA&#10;tAMAAAAA&#10;">
                      <v:fill on="f" focussize="0,0"/>
                      <v:stroke color="#000000" joinstyle="round"/>
                      <v:imagedata o:title=""/>
                      <o:lock v:ext="edit" aspectratio="f"/>
                    </v:shape>
                    <v:shape id="自选图形 173" o:spid="_x0000_s1026" o:spt="5" type="#_x0000_t5" style="position:absolute;left:113;top:0;height:283;width:68;" fillcolor="#333333" filled="t" stroked="t" coordsize="21600,21600" o:gfxdata="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Q5npi8AAAA&#10;2wAAAA8AAAAAAAAAAQAgAAAAIgAAAGRycy9kb3ducmV2LnhtbFBLAQIUABQAAAAIAIdO4kAzLwWe&#10;OwAAADkAAAAQAAAAAAAAAAEAIAAAAAsBAABkcnMvc2hhcGV4bWwueG1sUEsFBgAAAAAGAAYAWwEA&#10;ALUDAAAAAA==&#10;" adj="10800">
                      <v:fill on="t" focussize="0,0"/>
                      <v:stroke color="#000000" joinstyle="miter"/>
                      <v:imagedata o:title=""/>
                      <o:lock v:ext="edit" aspectratio="f"/>
                    </v:shape>
                  </v:group>
                </v:group>
                <v:group id="组合 174" o:spid="_x0000_s1026" o:spt="203" style="position:absolute;left:-58;top:830;height:251;width:1894;" coordorigin="-58,-15" coordsize="1894,251" o:gfxdata="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wT09ZvwAAANsAAAAPAAAAAAAAAAEAIAAAACIAAABkcnMvZG93bnJldi54&#10;bWxQSwECFAAUAAAACACHTuJAMy8FnjsAAAA5AAAAFQAAAAAAAAABACAAAAAOAQAAZHJzL2dyb3Vw&#10;c2hhcGV4bWwueG1sUEsFBgAAAAAGAAYAYAEAAMsDAAAAAA==&#10;">
                  <o:lock v:ext="edit" aspectratio="f"/>
                  <v:group id="组合 175" o:spid="_x0000_s1026" o:spt="203" style="position:absolute;left:0;top:202;height:34;width:1519;" coordsize="1349,34" o:gfxdata="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WW2YS+AAAA2wAAAA8AAAAAAAAAAQAgAAAAIgAAAGRycy9kb3ducmV2Lnht&#10;bFBLAQIUABQAAAAIAIdO4kAzLwWeOwAAADkAAAAVAAAAAAAAAAEAIAAAAA0BAABkcnMvZ3JvdXBz&#10;aGFwZXhtbC54bWxQSwUGAAAAAAYABgBgAQAAygMAAAAA&#10;">
                    <o:lock v:ext="edit" aspectratio="t"/>
                    <v:rect id="矩形 176" o:spid="_x0000_s1026" o:spt="1" style="position:absolute;left:449;top:0;flip:y;height:34;width:446;" fillcolor="#000000" filled="t" stroked="t" coordsize="21600,21600" o:gfxdata="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A/8V7gAAADbAAAA&#10;DwAAAAAAAAABACAAAAAiAAAAZHJzL2Rvd25yZXYueG1sUEsBAhQAFAAAAAgAh07iQDMvBZ47AAAA&#10;OQAAABAAAAAAAAAAAQAgAAAABwEAAGRycy9zaGFwZXhtbC54bWxQSwUGAAAAAAYABgBbAQAAsQMA&#10;AAAA&#10;">
                      <v:fill on="t" focussize="0,0"/>
                      <v:stroke color="#000000" joinstyle="miter"/>
                      <v:imagedata o:title=""/>
                      <o:lock v:ext="edit" aspectratio="t"/>
                    </v:rect>
                    <v:rect id="矩形 177" o:spid="_x0000_s1026" o:spt="1" style="position:absolute;left:904;top:0;flip:y;height:34;width:445;" fillcolor="#FFFFFF" filled="t" stroked="t" coordsize="21600,21600" o:gfxdata="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L8p0S8AAAA&#10;2wAAAA8AAAAAAAAAAQAgAAAAIgAAAGRycy9kb3ducmV2LnhtbFBLAQIUABQAAAAIAIdO4kAzLwWe&#10;OwAAADkAAAAQAAAAAAAAAAEAIAAAAAsBAABkcnMvc2hhcGV4bWwueG1sUEsFBgAAAAAGAAYAWwEA&#10;ALUDAAAAAA==&#10;">
                      <v:fill on="t" focussize="0,0"/>
                      <v:stroke color="#000000" joinstyle="miter"/>
                      <v:imagedata o:title=""/>
                      <o:lock v:ext="edit" aspectratio="t"/>
                    </v:rect>
                    <v:rect id="矩形 178" o:spid="_x0000_s1026" o:spt="1" style="position:absolute;left:0;top:0;flip:y;height:34;width:445;" fillcolor="#FFFFFF" filled="t" stroked="t" coordsize="21600,21600" o:gfxdata="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wvlq28AAAA&#10;2wAAAA8AAAAAAAAAAQAgAAAAIgAAAGRycy9kb3ducmV2LnhtbFBLAQIUABQAAAAIAIdO4kAzLwWe&#10;OwAAADkAAAAQAAAAAAAAAAEAIAAAAAsBAABkcnMvc2hhcGV4bWwueG1sUEsFBgAAAAAGAAYAWwEA&#10;ALUDAAAAAA==&#10;">
                      <v:fill on="t" focussize="0,0"/>
                      <v:stroke color="#000000" joinstyle="miter"/>
                      <v:imagedata o:title=""/>
                      <o:lock v:ext="edit" aspectratio="t"/>
                    </v:rect>
                  </v:group>
                  <v:rect id="矩形 179" o:spid="_x0000_s1026" o:spt="1" style="position:absolute;left:-58;top:-15;height:225;width:1894;" filled="f" stroked="f" coordsize="21600,21600" o:gfxdata="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1zhNL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adjustRightInd w:val="0"/>
                            <w:snapToGrid w:val="0"/>
                            <w:ind w:firstLine="0" w:firstLineChars="0"/>
                            <w:rPr>
                              <w:sz w:val="18"/>
                              <w:szCs w:val="18"/>
                              <w:shd w:val="pct10" w:color="auto" w:fill="FFFFFF"/>
                            </w:rPr>
                          </w:pPr>
                          <w:r>
                            <w:rPr>
                              <w:rFonts w:hint="eastAsia"/>
                              <w:sz w:val="18"/>
                              <w:szCs w:val="18"/>
                              <w:shd w:val="pct10" w:color="auto" w:fill="FFFFFF"/>
                            </w:rPr>
                            <w:t>0   1.5km   3km</w:t>
                          </w:r>
                        </w:p>
                      </w:txbxContent>
                    </v:textbox>
                  </v:rect>
                </v:group>
              </v:group>
            </w:pict>
          </mc:Fallback>
        </mc:AlternateContent>
      </w:r>
      <w:r>
        <w:rPr>
          <w:rFonts w:eastAsiaTheme="minorEastAsia"/>
        </w:rPr>
        <w:drawing>
          <wp:inline distT="0" distB="0" distL="114300" distR="114300">
            <wp:extent cx="8194040" cy="5127625"/>
            <wp:effectExtent l="0" t="0" r="0" b="0"/>
            <wp:docPr id="1" name="图片 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0" descr="3"/>
                    <pic:cNvPicPr>
                      <a:picLocks noChangeAspect="1"/>
                    </pic:cNvPicPr>
                  </pic:nvPicPr>
                  <pic:blipFill>
                    <a:blip r:embed="rId27" cstate="print"/>
                    <a:srcRect/>
                    <a:stretch>
                      <a:fillRect/>
                    </a:stretch>
                  </pic:blipFill>
                  <pic:spPr>
                    <a:xfrm>
                      <a:off x="0" y="0"/>
                      <a:ext cx="8194040" cy="5127625"/>
                    </a:xfrm>
                    <a:prstGeom prst="rect">
                      <a:avLst/>
                    </a:prstGeom>
                    <a:noFill/>
                    <a:ln w="9525">
                      <a:noFill/>
                    </a:ln>
                  </pic:spPr>
                </pic:pic>
              </a:graphicData>
            </a:graphic>
          </wp:inline>
        </w:drawing>
      </w:r>
    </w:p>
    <w:p>
      <w:pPr>
        <w:pStyle w:val="18"/>
        <w:rPr>
          <w:rFonts w:eastAsiaTheme="minorEastAsia"/>
        </w:rPr>
      </w:pPr>
      <w:bookmarkStart w:id="10" w:name="_Ref529743729"/>
      <w:r>
        <w:rPr>
          <w:rFonts w:hint="eastAsia"/>
        </w:rPr>
        <w:t xml:space="preserve">图 </w:t>
      </w:r>
      <w:r>
        <w:fldChar w:fldCharType="begin"/>
      </w:r>
      <w:r>
        <w:instrText xml:space="preserve"> </w:instrText>
      </w:r>
      <w:r>
        <w:rPr>
          <w:rFonts w:hint="eastAsia"/>
        </w:rPr>
        <w:instrText xml:space="preserve">SEQ _图 \* ARABIC</w:instrText>
      </w:r>
      <w:r>
        <w:instrText xml:space="preserve"> </w:instrText>
      </w:r>
      <w:r>
        <w:fldChar w:fldCharType="separate"/>
      </w:r>
      <w:r>
        <w:t>1</w:t>
      </w:r>
      <w:r>
        <w:fldChar w:fldCharType="end"/>
      </w:r>
      <w:bookmarkEnd w:id="10"/>
      <w:r>
        <w:rPr>
          <w:rFonts w:hint="eastAsia" w:eastAsiaTheme="minorEastAsia"/>
        </w:rPr>
        <w:t>项目地理位置图</w:t>
      </w:r>
    </w:p>
    <w:p>
      <w:pPr>
        <w:pStyle w:val="18"/>
        <w:sectPr>
          <w:footerReference r:id="rId14" w:type="default"/>
          <w:pgSz w:w="16838" w:h="11906" w:orient="landscape"/>
          <w:pgMar w:top="1418" w:right="1418" w:bottom="1418" w:left="1418" w:header="851" w:footer="992" w:gutter="0"/>
          <w:cols w:space="720" w:num="1"/>
          <w:docGrid w:type="lines" w:linePitch="312" w:charSpace="0"/>
        </w:sectPr>
      </w:pPr>
    </w:p>
    <w:p>
      <w:pPr>
        <w:pStyle w:val="136"/>
      </w:pPr>
      <w:bookmarkStart w:id="11" w:name="_Toc12583"/>
      <w:bookmarkStart w:id="12" w:name="_Toc27788"/>
      <w:bookmarkStart w:id="13" w:name="_Toc3538766"/>
      <w:r>
        <w:rPr>
          <w:rFonts w:hint="eastAsia"/>
        </w:rPr>
        <w:t>环境影响评价的工作过程</w:t>
      </w:r>
      <w:bookmarkEnd w:id="11"/>
      <w:bookmarkEnd w:id="12"/>
      <w:bookmarkEnd w:id="13"/>
    </w:p>
    <w:p>
      <w:pPr>
        <w:ind w:firstLine="480"/>
      </w:pPr>
      <w:r>
        <w:t>根据《环境影响评价技术导则</w:t>
      </w:r>
      <w:r>
        <w:rPr>
          <w:rFonts w:hint="eastAsia"/>
        </w:rPr>
        <w:t xml:space="preserve"> 总纲》（HJ</w:t>
      </w:r>
      <w:r>
        <w:t xml:space="preserve"> </w:t>
      </w:r>
      <w:r>
        <w:rPr>
          <w:rFonts w:hint="eastAsia"/>
        </w:rPr>
        <w:t>2.1-2016）</w:t>
      </w:r>
      <w:r>
        <w:t>的有关</w:t>
      </w:r>
      <w:r>
        <w:rPr>
          <w:rFonts w:hint="eastAsia"/>
        </w:rPr>
        <w:t>要求，本项目的</w:t>
      </w:r>
      <w:r>
        <w:t>环境影响评价工作分三个阶段，即</w:t>
      </w:r>
      <w:r>
        <w:rPr>
          <w:rFonts w:hint="eastAsia"/>
        </w:rPr>
        <w:t>调查分析和工作方案制定</w:t>
      </w:r>
      <w:r>
        <w:t>阶段，分析论证和预测评价阶段，环境影响评价文件编制阶段</w:t>
      </w:r>
      <w:r>
        <w:rPr>
          <w:rFonts w:hint="eastAsia"/>
        </w:rPr>
        <w:t>。</w:t>
      </w:r>
      <w:r>
        <w:t>工作程序见</w:t>
      </w:r>
      <w:r>
        <w:fldChar w:fldCharType="begin"/>
      </w:r>
      <w:r>
        <w:instrText xml:space="preserve"> REF _Ref522453854 \h  \* MERGEFORMAT </w:instrText>
      </w:r>
      <w:r>
        <w:fldChar w:fldCharType="separate"/>
      </w:r>
      <w:r>
        <w:rPr>
          <w:rFonts w:hint="eastAsia"/>
        </w:rPr>
        <w:t xml:space="preserve">图 </w:t>
      </w:r>
      <w:r>
        <w:t>2</w:t>
      </w:r>
      <w:r>
        <w:fldChar w:fldCharType="end"/>
      </w:r>
      <w:r>
        <w:t>。</w:t>
      </w:r>
    </w:p>
    <w:p>
      <w:pPr>
        <w:ind w:firstLine="480"/>
      </w:pPr>
      <w:r>
        <w:rPr>
          <w:rFonts w:hint="eastAsia"/>
        </w:rPr>
        <w:t>我司在</w:t>
      </w:r>
      <w:r>
        <w:t>接受委托</w:t>
      </w:r>
      <w:r>
        <w:rPr>
          <w:rFonts w:hint="eastAsia"/>
        </w:rPr>
        <w:t>后</w:t>
      </w:r>
      <w:r>
        <w:t>，</w:t>
      </w:r>
      <w:r>
        <w:rPr>
          <w:rFonts w:hint="eastAsia"/>
        </w:rPr>
        <w:t>立即</w:t>
      </w:r>
      <w:r>
        <w:t>成立了</w:t>
      </w:r>
      <w:r>
        <w:rPr>
          <w:rFonts w:hint="eastAsia"/>
        </w:rPr>
        <w:t>项目</w:t>
      </w:r>
      <w:r>
        <w:t>组，组织技术人员到现场及</w:t>
      </w:r>
      <w:r>
        <w:rPr>
          <w:rFonts w:hint="eastAsia"/>
        </w:rPr>
        <w:t>周边进行现场踏勘、相关资料收集等基础工作，初步分析项目选址、规模、采用工艺技术与相关环保法律法规、产业政策、技术规范，尤其是挥发性有机物污染控制方面政策法规的相符性，初步确认项目实施的环境可行性。在判定项目内容合理合法的基础上，进行初步工程分析，开展初步的环境状况调查和收集相关资料；在前期工作的基础上，进行环境影响因素识别与评价因子筛选，明确评价工作重点与环境保护目标，确定工作等级、评价范围和评价标准后，制定了项目环境影响评价工作方案。</w:t>
      </w:r>
    </w:p>
    <w:p>
      <w:pPr>
        <w:ind w:firstLine="480"/>
        <w:rPr>
          <w:rFonts w:cs="Times New Roman" w:eastAsiaTheme="minorEastAsia"/>
        </w:rPr>
      </w:pPr>
      <w:r>
        <w:rPr>
          <w:rFonts w:hint="eastAsia" w:eastAsiaTheme="minorEastAsia"/>
        </w:rPr>
        <w:t>根据工作方案要求，项目组深入项目所在地对项目周边评价范围内的环境敏感点、生态敏感点、环境状况进行走访调查。随后，委托检测单位对项目评价范围内的声环境、大气环境、地表水环境、地下水环境质量现状进行了监测。根据调查、收集到的有关文件、资料，利用计算机模型、类比等手段，对各环境要素进行了预测、分析及评价；根据各要素预测成果，提出环保措施，得出了评价结论</w:t>
      </w:r>
      <w:r>
        <w:rPr>
          <w:rFonts w:eastAsiaTheme="minorEastAsia"/>
        </w:rPr>
        <w:t>，编制完成了《</w:t>
      </w:r>
      <w:r>
        <w:rPr>
          <w:rFonts w:hint="eastAsia" w:eastAsiaTheme="minorEastAsia"/>
        </w:rPr>
        <w:t>开平市骑达橡胶制品厂年产</w:t>
      </w:r>
      <w:r>
        <w:rPr>
          <w:rFonts w:eastAsiaTheme="minorEastAsia"/>
        </w:rPr>
        <w:t>800</w:t>
      </w:r>
      <w:r>
        <w:rPr>
          <w:rFonts w:hint="eastAsia" w:eastAsiaTheme="minorEastAsia"/>
        </w:rPr>
        <w:t>万个橡胶制品项目环境影响报告书</w:t>
      </w:r>
      <w:r>
        <w:rPr>
          <w:rFonts w:eastAsiaTheme="minorEastAsia"/>
        </w:rPr>
        <w:t>》。</w:t>
      </w:r>
    </w:p>
    <w:p>
      <w:pPr>
        <w:keepNext/>
        <w:ind w:firstLine="0" w:firstLineChars="0"/>
        <w:rPr>
          <w:rFonts w:eastAsiaTheme="minorEastAsia"/>
        </w:rPr>
      </w:pPr>
      <w:r>
        <w:rPr>
          <w:rFonts w:eastAsiaTheme="minorEastAsia"/>
        </w:rPr>
        <w:drawing>
          <wp:inline distT="0" distB="0" distL="0" distR="0">
            <wp:extent cx="5486400" cy="6648450"/>
            <wp:effectExtent l="0" t="0" r="0" b="0"/>
            <wp:docPr id="471" name="图片 471" descr="C:\Users\Administrator.LS--20160805CYZ\Documents\Tencent Files\472895830\Image\C2C\FM8F(}YJ_PSL)X}P%LZ3`4F.png"/>
            <wp:cNvGraphicFramePr/>
            <a:graphic xmlns:a="http://schemas.openxmlformats.org/drawingml/2006/main">
              <a:graphicData uri="http://schemas.openxmlformats.org/drawingml/2006/picture">
                <pic:pic xmlns:pic="http://schemas.openxmlformats.org/drawingml/2006/picture">
                  <pic:nvPicPr>
                    <pic:cNvPr id="471" name="图片 471" descr="C:\Users\Administrator.LS--20160805CYZ\Documents\Tencent Files\472895830\Image\C2C\FM8F(}YJ_PSL)X}P%LZ3`4F.png"/>
                    <pic:cNvPicPr/>
                  </pic:nvPicPr>
                  <pic:blipFill>
                    <a:blip r:embed="rId28" cstate="print"/>
                    <a:srcRect/>
                    <a:stretch>
                      <a:fillRect/>
                    </a:stretch>
                  </pic:blipFill>
                  <pic:spPr>
                    <a:xfrm>
                      <a:off x="0" y="0"/>
                      <a:ext cx="5486400" cy="6648450"/>
                    </a:xfrm>
                    <a:prstGeom prst="rect">
                      <a:avLst/>
                    </a:prstGeom>
                    <a:noFill/>
                    <a:ln>
                      <a:noFill/>
                    </a:ln>
                  </pic:spPr>
                </pic:pic>
              </a:graphicData>
            </a:graphic>
          </wp:inline>
        </w:drawing>
      </w:r>
    </w:p>
    <w:p>
      <w:pPr>
        <w:pStyle w:val="18"/>
      </w:pPr>
      <w:bookmarkStart w:id="14" w:name="_Ref522453854"/>
      <w:r>
        <w:rPr>
          <w:rFonts w:hint="eastAsia"/>
        </w:rPr>
        <w:t xml:space="preserve">图 </w:t>
      </w:r>
      <w:r>
        <w:fldChar w:fldCharType="begin"/>
      </w:r>
      <w:r>
        <w:instrText xml:space="preserve"> </w:instrText>
      </w:r>
      <w:r>
        <w:rPr>
          <w:rFonts w:hint="eastAsia"/>
        </w:rPr>
        <w:instrText xml:space="preserve">SEQ _图 \* ARABIC</w:instrText>
      </w:r>
      <w:r>
        <w:instrText xml:space="preserve"> </w:instrText>
      </w:r>
      <w:r>
        <w:fldChar w:fldCharType="separate"/>
      </w:r>
      <w:r>
        <w:t>2</w:t>
      </w:r>
      <w:r>
        <w:fldChar w:fldCharType="end"/>
      </w:r>
      <w:bookmarkEnd w:id="14"/>
      <w:r>
        <w:rPr>
          <w:rFonts w:hint="eastAsia"/>
        </w:rPr>
        <w:t>环评工作流程图</w:t>
      </w:r>
    </w:p>
    <w:p>
      <w:pPr>
        <w:ind w:firstLine="480"/>
        <w:jc w:val="both"/>
        <w:rPr>
          <w:rFonts w:eastAsiaTheme="minorEastAsia"/>
        </w:rPr>
      </w:pPr>
      <w:r>
        <w:rPr>
          <w:rFonts w:eastAsiaTheme="minorEastAsia"/>
        </w:rPr>
        <w:br w:type="page"/>
      </w:r>
    </w:p>
    <w:p>
      <w:pPr>
        <w:pStyle w:val="136"/>
      </w:pPr>
      <w:bookmarkStart w:id="15" w:name="_Toc3538767"/>
      <w:r>
        <w:rPr>
          <w:rFonts w:hint="eastAsia"/>
        </w:rPr>
        <w:t>分析判定相关情况</w:t>
      </w:r>
      <w:bookmarkEnd w:id="15"/>
    </w:p>
    <w:p>
      <w:pPr>
        <w:pStyle w:val="102"/>
        <w:ind w:firstLine="480"/>
        <w:rPr>
          <w:rFonts w:asciiTheme="minorHAnsi" w:hAnsiTheme="minorHAnsi" w:eastAsiaTheme="minorEastAsia"/>
        </w:rPr>
      </w:pPr>
      <w:r>
        <w:rPr>
          <w:rFonts w:hint="eastAsia" w:asciiTheme="minorHAnsi" w:hAnsiTheme="minorHAnsi" w:eastAsiaTheme="minorEastAsia"/>
        </w:rPr>
        <w:t>环评文件类型判定</w:t>
      </w:r>
    </w:p>
    <w:p>
      <w:pPr>
        <w:ind w:firstLine="480"/>
        <w:jc w:val="both"/>
        <w:rPr>
          <w:rFonts w:cs="Times New Roman" w:eastAsiaTheme="minorEastAsia"/>
        </w:rPr>
      </w:pPr>
      <w:r>
        <w:rPr>
          <w:rFonts w:cs="Times New Roman" w:eastAsiaTheme="minorEastAsia"/>
        </w:rPr>
        <w:t>根据《中华人民共和国环境保护法》</w:t>
      </w:r>
      <w:r>
        <w:rPr>
          <w:rFonts w:hint="eastAsia" w:cs="Times New Roman" w:eastAsiaTheme="minorEastAsia"/>
        </w:rPr>
        <w:t>（2</w:t>
      </w:r>
      <w:r>
        <w:rPr>
          <w:rFonts w:cs="Times New Roman" w:eastAsiaTheme="minorEastAsia"/>
        </w:rPr>
        <w:t>015</w:t>
      </w:r>
      <w:r>
        <w:rPr>
          <w:rFonts w:hint="eastAsia" w:cs="Times New Roman" w:eastAsiaTheme="minorEastAsia"/>
        </w:rPr>
        <w:t>年1月1日起施行）</w:t>
      </w:r>
      <w:r>
        <w:rPr>
          <w:rFonts w:cs="Times New Roman" w:eastAsiaTheme="minorEastAsia"/>
        </w:rPr>
        <w:t>、《中华人民共和国环境影响评价法》</w:t>
      </w:r>
      <w:r>
        <w:rPr>
          <w:rFonts w:hint="eastAsia" w:cs="Times New Roman" w:eastAsiaTheme="minorEastAsia"/>
        </w:rPr>
        <w:t>（</w:t>
      </w:r>
      <w:r>
        <w:rPr>
          <w:rFonts w:eastAsiaTheme="minorEastAsia"/>
        </w:rPr>
        <w:t>2018</w:t>
      </w:r>
      <w:r>
        <w:rPr>
          <w:rFonts w:hint="eastAsia" w:eastAsiaTheme="minorEastAsia"/>
        </w:rPr>
        <w:t>年1</w:t>
      </w:r>
      <w:r>
        <w:rPr>
          <w:rFonts w:eastAsiaTheme="minorEastAsia"/>
        </w:rPr>
        <w:t>2</w:t>
      </w:r>
      <w:r>
        <w:rPr>
          <w:rFonts w:hint="eastAsia" w:eastAsiaTheme="minorEastAsia"/>
        </w:rPr>
        <w:t>月2</w:t>
      </w:r>
      <w:r>
        <w:rPr>
          <w:rFonts w:eastAsiaTheme="minorEastAsia"/>
        </w:rPr>
        <w:t>9</w:t>
      </w:r>
      <w:r>
        <w:rPr>
          <w:rFonts w:hint="eastAsia" w:eastAsiaTheme="minorEastAsia"/>
        </w:rPr>
        <w:t>日施行</w:t>
      </w:r>
      <w:r>
        <w:rPr>
          <w:rFonts w:hint="eastAsia" w:cs="Times New Roman" w:eastAsiaTheme="minorEastAsia"/>
        </w:rPr>
        <w:t>）</w:t>
      </w:r>
      <w:r>
        <w:rPr>
          <w:rFonts w:cs="Times New Roman" w:eastAsiaTheme="minorEastAsia"/>
        </w:rPr>
        <w:t>、《建设项目环境保护管理条例》</w:t>
      </w:r>
      <w:r>
        <w:rPr>
          <w:rFonts w:hint="eastAsia" w:eastAsiaTheme="minorEastAsia"/>
        </w:rPr>
        <w:t>（国务院令第682号，2017年10月1日施行）</w:t>
      </w:r>
      <w:r>
        <w:rPr>
          <w:rFonts w:cs="Times New Roman" w:eastAsiaTheme="minorEastAsia"/>
        </w:rPr>
        <w:t>的有关规定，建设过程中或者建成投产后可能对环境产生影响的新建、扩建、改建、迁建、技术改造项目及区域开发建设项目，须执行环境影响评价制度。</w:t>
      </w:r>
      <w:r>
        <w:rPr>
          <w:rFonts w:hint="eastAsia" w:cs="Times New Roman" w:eastAsiaTheme="minorEastAsia"/>
        </w:rPr>
        <w:t>本项目涉及炼化与硫化工艺，根据《建设项目环境影响评价分类管理名录》（环境保护部令 第</w:t>
      </w:r>
      <w:r>
        <w:rPr>
          <w:rFonts w:cs="Times New Roman" w:eastAsiaTheme="minorEastAsia"/>
        </w:rPr>
        <w:t>44号</w:t>
      </w:r>
      <w:r>
        <w:rPr>
          <w:rFonts w:hint="eastAsia" w:eastAsiaTheme="minorEastAsia"/>
        </w:rPr>
        <w:t>，2017年9月1日施行</w:t>
      </w:r>
      <w:r>
        <w:rPr>
          <w:rFonts w:hint="eastAsia" w:cs="Times New Roman" w:eastAsiaTheme="minorEastAsia"/>
        </w:rPr>
        <w:t>）及2</w:t>
      </w:r>
      <w:r>
        <w:rPr>
          <w:rFonts w:cs="Times New Roman" w:eastAsiaTheme="minorEastAsia"/>
        </w:rPr>
        <w:t>018</w:t>
      </w:r>
      <w:r>
        <w:rPr>
          <w:rFonts w:hint="eastAsia" w:cs="Times New Roman" w:eastAsiaTheme="minorEastAsia"/>
        </w:rPr>
        <w:t>年4月2</w:t>
      </w:r>
      <w:r>
        <w:rPr>
          <w:rFonts w:cs="Times New Roman" w:eastAsiaTheme="minorEastAsia"/>
        </w:rPr>
        <w:t>8</w:t>
      </w:r>
      <w:r>
        <w:rPr>
          <w:rFonts w:hint="eastAsia" w:cs="Times New Roman" w:eastAsiaTheme="minorEastAsia"/>
        </w:rPr>
        <w:t>日公布的“关于修改《建设项目环境影响评价分类管理名录》部分内容的决定”（生态环境部令 第1号，2018年4月28日施行），</w:t>
      </w:r>
      <w:r>
        <w:rPr>
          <w:rFonts w:eastAsiaTheme="minorEastAsia"/>
          <w:b/>
        </w:rPr>
        <w:t>本项目属</w:t>
      </w:r>
      <w:r>
        <w:rPr>
          <w:rFonts w:hint="eastAsia" w:cs="Times New Roman" w:eastAsiaTheme="minorEastAsia"/>
          <w:b/>
        </w:rPr>
        <w:t>“十八、橡胶和塑料制品业”中的“46</w:t>
      </w:r>
      <w:r>
        <w:rPr>
          <w:rFonts w:cs="Times New Roman" w:eastAsiaTheme="minorEastAsia"/>
          <w:b/>
        </w:rPr>
        <w:t xml:space="preserve"> 轮胎制造、再生橡胶制造、橡胶加工、橡胶制品制造及翻新</w:t>
      </w:r>
      <w:r>
        <w:rPr>
          <w:rFonts w:hint="eastAsia" w:cs="Times New Roman" w:eastAsiaTheme="minorEastAsia"/>
          <w:b/>
        </w:rPr>
        <w:t>”中的“有炼化及硫化工艺的”类别，因此本项目</w:t>
      </w:r>
      <w:r>
        <w:rPr>
          <w:rFonts w:cs="Times New Roman" w:eastAsiaTheme="minorEastAsia"/>
          <w:b/>
        </w:rPr>
        <w:t>应当编制环境影响报告书。</w:t>
      </w:r>
    </w:p>
    <w:p>
      <w:pPr>
        <w:pStyle w:val="102"/>
        <w:ind w:firstLine="480"/>
        <w:rPr>
          <w:rFonts w:asciiTheme="minorHAnsi" w:hAnsiTheme="minorHAnsi" w:eastAsiaTheme="minorEastAsia"/>
        </w:rPr>
      </w:pPr>
      <w:bookmarkStart w:id="16" w:name="_Hlk479357918"/>
      <w:r>
        <w:rPr>
          <w:rFonts w:asciiTheme="minorHAnsi" w:hAnsiTheme="minorHAnsi" w:eastAsiaTheme="minorEastAsia"/>
        </w:rPr>
        <w:t>产业政策</w:t>
      </w:r>
      <w:r>
        <w:rPr>
          <w:rFonts w:hint="eastAsia" w:asciiTheme="minorHAnsi" w:hAnsiTheme="minorHAnsi" w:eastAsiaTheme="minorEastAsia"/>
        </w:rPr>
        <w:t>相符性分析</w:t>
      </w:r>
    </w:p>
    <w:p>
      <w:pPr>
        <w:snapToGrid w:val="0"/>
        <w:ind w:firstLine="480"/>
        <w:rPr>
          <w:rFonts w:cs="Times New Roman" w:eastAsiaTheme="minorEastAsia"/>
        </w:rPr>
      </w:pPr>
      <w:r>
        <w:rPr>
          <w:rFonts w:cs="Times New Roman" w:eastAsiaTheme="minorEastAsia"/>
        </w:rPr>
        <w:t>根据建设单位提供资料，本项目主要从事</w:t>
      </w:r>
      <w:r>
        <w:rPr>
          <w:rFonts w:hint="eastAsia" w:cs="Times New Roman" w:eastAsiaTheme="minorEastAsia"/>
        </w:rPr>
        <w:t>橡胶制品</w:t>
      </w:r>
      <w:r>
        <w:rPr>
          <w:rFonts w:cs="Times New Roman" w:eastAsiaTheme="minorEastAsia"/>
        </w:rPr>
        <w:t>的生产</w:t>
      </w:r>
      <w:r>
        <w:rPr>
          <w:rFonts w:hint="eastAsia" w:cs="Times New Roman" w:eastAsiaTheme="minorEastAsia"/>
        </w:rPr>
        <w:t>和</w:t>
      </w:r>
      <w:r>
        <w:rPr>
          <w:rFonts w:cs="Times New Roman" w:eastAsiaTheme="minorEastAsia"/>
        </w:rPr>
        <w:t>销售，项目年产800</w:t>
      </w:r>
      <w:r>
        <w:rPr>
          <w:rFonts w:hint="eastAsia" w:cs="Times New Roman" w:eastAsiaTheme="minorEastAsia"/>
        </w:rPr>
        <w:t>万个</w:t>
      </w:r>
      <w:r>
        <w:rPr>
          <w:rFonts w:cs="Times New Roman" w:eastAsiaTheme="minorEastAsia"/>
        </w:rPr>
        <w:t>橡胶</w:t>
      </w:r>
      <w:r>
        <w:rPr>
          <w:rFonts w:hint="eastAsia" w:cs="Times New Roman" w:eastAsiaTheme="minorEastAsia"/>
        </w:rPr>
        <w:t>脚轮</w:t>
      </w:r>
      <w:r>
        <w:rPr>
          <w:rFonts w:cs="Times New Roman" w:eastAsiaTheme="minorEastAsia"/>
        </w:rPr>
        <w:t>，行业类别属于《国民经济行业分类》(GB/T 4754-201</w:t>
      </w:r>
      <w:r>
        <w:rPr>
          <w:rFonts w:hint="eastAsia" w:cs="Times New Roman" w:eastAsiaTheme="minorEastAsia"/>
        </w:rPr>
        <w:t>7</w:t>
      </w:r>
      <w:r>
        <w:rPr>
          <w:rFonts w:cs="Times New Roman" w:eastAsiaTheme="minorEastAsia"/>
        </w:rPr>
        <w:t>)中的“C2913</w:t>
      </w:r>
      <w:r>
        <w:rPr>
          <w:rFonts w:hint="eastAsia" w:cs="Times New Roman" w:eastAsiaTheme="minorEastAsia"/>
        </w:rPr>
        <w:t>橡胶零件</w:t>
      </w:r>
      <w:r>
        <w:rPr>
          <w:rFonts w:cs="Times New Roman" w:eastAsiaTheme="minorEastAsia"/>
        </w:rPr>
        <w:t>制造”</w:t>
      </w:r>
      <w:r>
        <w:rPr>
          <w:rFonts w:hint="eastAsia" w:cs="Times New Roman" w:eastAsiaTheme="minorEastAsia"/>
        </w:rPr>
        <w:t>，主要工艺包括橡胶混炼和硫化等。项目产品和工艺均不在</w:t>
      </w:r>
      <w:r>
        <w:rPr>
          <w:rFonts w:cs="Times New Roman" w:eastAsiaTheme="minorEastAsia"/>
        </w:rPr>
        <w:t>《产业结构调整指导目录（2011年本）》（2013年修</w:t>
      </w:r>
      <w:r>
        <w:rPr>
          <w:rFonts w:hint="eastAsia" w:cs="Times New Roman" w:eastAsiaTheme="minorEastAsia"/>
        </w:rPr>
        <w:t>正</w:t>
      </w:r>
      <w:r>
        <w:rPr>
          <w:rFonts w:cs="Times New Roman" w:eastAsiaTheme="minorEastAsia"/>
        </w:rPr>
        <w:t>版）</w:t>
      </w:r>
      <w:r>
        <w:rPr>
          <w:rFonts w:hint="eastAsia" w:cs="Times New Roman" w:eastAsiaTheme="minorEastAsia"/>
        </w:rPr>
        <w:t>、</w:t>
      </w:r>
      <w:r>
        <w:rPr>
          <w:rFonts w:cs="Times New Roman" w:eastAsiaTheme="minorEastAsia"/>
        </w:rPr>
        <w:t>《广东省产业结构调整指导目录（2007年本）》</w:t>
      </w:r>
      <w:r>
        <w:rPr>
          <w:rFonts w:hint="eastAsia" w:cs="Times New Roman" w:eastAsiaTheme="minorEastAsia"/>
        </w:rPr>
        <w:t>、《珠江三角洲地区产业结构调整优化和产业导向目录（2011年本）》中“</w:t>
      </w:r>
      <w:r>
        <w:rPr>
          <w:rFonts w:hint="eastAsia" w:eastAsiaTheme="minorEastAsia"/>
        </w:rPr>
        <w:t>鼓励类</w:t>
      </w:r>
      <w:r>
        <w:rPr>
          <w:rFonts w:hint="eastAsia" w:cs="Times New Roman" w:eastAsiaTheme="minorEastAsia"/>
        </w:rPr>
        <w:t>”</w:t>
      </w:r>
      <w:r>
        <w:rPr>
          <w:rFonts w:hint="eastAsia" w:eastAsiaTheme="minorEastAsia"/>
        </w:rPr>
        <w:t>、</w:t>
      </w:r>
      <w:r>
        <w:rPr>
          <w:rFonts w:hint="eastAsia" w:cs="Times New Roman" w:eastAsiaTheme="minorEastAsia"/>
        </w:rPr>
        <w:t>“</w:t>
      </w:r>
      <w:r>
        <w:rPr>
          <w:rFonts w:cs="Times New Roman" w:eastAsiaTheme="minorEastAsia"/>
        </w:rPr>
        <w:t>限制类</w:t>
      </w:r>
      <w:r>
        <w:rPr>
          <w:rFonts w:hint="eastAsia" w:cs="Times New Roman" w:eastAsiaTheme="minorEastAsia"/>
        </w:rPr>
        <w:t>”</w:t>
      </w:r>
      <w:r>
        <w:rPr>
          <w:rFonts w:cs="Times New Roman" w:eastAsiaTheme="minorEastAsia"/>
        </w:rPr>
        <w:t>和</w:t>
      </w:r>
      <w:r>
        <w:rPr>
          <w:rFonts w:hint="eastAsia" w:cs="Times New Roman" w:eastAsiaTheme="minorEastAsia"/>
        </w:rPr>
        <w:t>“</w:t>
      </w:r>
      <w:r>
        <w:rPr>
          <w:rFonts w:cs="Times New Roman" w:eastAsiaTheme="minorEastAsia"/>
        </w:rPr>
        <w:t>淘汰类</w:t>
      </w:r>
      <w:r>
        <w:rPr>
          <w:rFonts w:hint="eastAsia" w:cs="Times New Roman" w:eastAsiaTheme="minorEastAsia"/>
        </w:rPr>
        <w:t>”之列</w:t>
      </w:r>
      <w:r>
        <w:rPr>
          <w:rFonts w:cs="Times New Roman" w:eastAsiaTheme="minorEastAsia"/>
        </w:rPr>
        <w:t>，</w:t>
      </w:r>
      <w:r>
        <w:rPr>
          <w:rFonts w:hint="eastAsia" w:cs="Times New Roman" w:eastAsiaTheme="minorEastAsia"/>
        </w:rPr>
        <w:t>因此根据《促进产业结构调整暂行规定》（国发〔2005〕40号）第十三条规定，</w:t>
      </w:r>
      <w:r>
        <w:rPr>
          <w:rFonts w:hint="eastAsia" w:cs="Times New Roman" w:eastAsiaTheme="minorEastAsia"/>
          <w:b/>
        </w:rPr>
        <w:t>项目属于“允许类”</w:t>
      </w:r>
      <w:r>
        <w:rPr>
          <w:rFonts w:hint="eastAsia" w:cs="Times New Roman" w:eastAsiaTheme="minorEastAsia"/>
        </w:rPr>
        <w:t>。</w:t>
      </w:r>
    </w:p>
    <w:p>
      <w:pPr>
        <w:snapToGrid w:val="0"/>
        <w:ind w:firstLine="480"/>
        <w:rPr>
          <w:rFonts w:cs="Times New Roman" w:eastAsiaTheme="minorEastAsia"/>
        </w:rPr>
      </w:pPr>
      <w:r>
        <w:rPr>
          <w:rFonts w:hint="eastAsia" w:cs="Times New Roman" w:eastAsiaTheme="minorEastAsia"/>
          <w:kern w:val="2"/>
        </w:rPr>
        <w:t>根据《广东省主体功能区规划》（粤府〔2012〕120号），</w:t>
      </w:r>
      <w:r>
        <w:rPr>
          <w:rFonts w:hint="eastAsia" w:cs="Times New Roman" w:eastAsiaTheme="minorEastAsia"/>
          <w:spacing w:val="-4"/>
        </w:rPr>
        <w:t>开平市被划定为国家农产品主产区（属于生态发展区）。对照《广东省主体功能区产业准入负面清单（2018年本）》（粤发改规〔2018〕12号），项目产品和工艺未列入其中《广东省生态发展区产业准入负面清单（2018年本）》，表明</w:t>
      </w:r>
      <w:r>
        <w:rPr>
          <w:rFonts w:hint="eastAsia" w:cs="Times New Roman" w:eastAsiaTheme="minorEastAsia"/>
          <w:bCs/>
          <w:spacing w:val="-4"/>
        </w:rPr>
        <w:t>项目属于</w:t>
      </w:r>
      <w:r>
        <w:rPr>
          <w:rFonts w:hint="eastAsia" w:cs="Times New Roman" w:eastAsiaTheme="minorEastAsia"/>
          <w:bCs/>
        </w:rPr>
        <w:t>“允许准入类”。</w:t>
      </w:r>
    </w:p>
    <w:p>
      <w:pPr>
        <w:snapToGrid w:val="0"/>
        <w:ind w:firstLine="480"/>
        <w:rPr>
          <w:rFonts w:cs="Times New Roman" w:eastAsiaTheme="minorEastAsia"/>
        </w:rPr>
      </w:pPr>
      <w:r>
        <w:rPr>
          <w:rFonts w:cs="Times New Roman" w:eastAsiaTheme="minorEastAsia"/>
        </w:rPr>
        <w:t>根据</w:t>
      </w:r>
      <w:r>
        <w:rPr>
          <w:rFonts w:cs="Times New Roman" w:eastAsiaTheme="minorEastAsia"/>
          <w:bCs/>
        </w:rPr>
        <w:t>《江门市投资准入负面清单（2018年本）》</w:t>
      </w:r>
      <w:r>
        <w:rPr>
          <w:rFonts w:hint="eastAsia" w:cs="Times New Roman" w:eastAsiaTheme="minorEastAsia"/>
          <w:bCs/>
        </w:rPr>
        <w:t>（江府〔2018〕20号</w:t>
      </w:r>
      <w:r>
        <w:rPr>
          <w:rFonts w:cs="Times New Roman" w:eastAsiaTheme="minorEastAsia"/>
          <w:bCs/>
        </w:rPr>
        <w:t>）</w:t>
      </w:r>
      <w:r>
        <w:rPr>
          <w:rFonts w:cs="Times New Roman" w:eastAsiaTheme="minorEastAsia"/>
        </w:rPr>
        <w:t>，本项目不属于其规定的</w:t>
      </w:r>
      <w:r>
        <w:rPr>
          <w:rFonts w:hint="eastAsia" w:cs="Times New Roman" w:eastAsiaTheme="minorEastAsia"/>
        </w:rPr>
        <w:t>“禁止准入类”和“限制准入类”</w:t>
      </w:r>
      <w:r>
        <w:rPr>
          <w:rFonts w:cs="Times New Roman" w:eastAsiaTheme="minorEastAsia"/>
        </w:rPr>
        <w:t>，</w:t>
      </w:r>
      <w:r>
        <w:rPr>
          <w:rFonts w:hint="eastAsia" w:cs="Times New Roman" w:eastAsiaTheme="minorEastAsia"/>
        </w:rPr>
        <w:t>表明</w:t>
      </w:r>
      <w:r>
        <w:rPr>
          <w:rFonts w:cs="Times New Roman" w:eastAsiaTheme="minorEastAsia"/>
        </w:rPr>
        <w:t>本项目的建设</w:t>
      </w:r>
      <w:r>
        <w:rPr>
          <w:rFonts w:cs="Times New Roman" w:eastAsiaTheme="minorEastAsia"/>
          <w:b/>
        </w:rPr>
        <w:t>符合</w:t>
      </w:r>
      <w:r>
        <w:rPr>
          <w:rFonts w:cs="Times New Roman" w:eastAsiaTheme="minorEastAsia"/>
          <w:b/>
          <w:bCs/>
        </w:rPr>
        <w:t>《江门市投资准入负面清单（2018年本）》</w:t>
      </w:r>
      <w:r>
        <w:rPr>
          <w:rFonts w:cs="Times New Roman" w:eastAsiaTheme="minorEastAsia"/>
          <w:b/>
        </w:rPr>
        <w:t>要求</w:t>
      </w:r>
      <w:r>
        <w:rPr>
          <w:rFonts w:cs="Times New Roman" w:eastAsiaTheme="minorEastAsia"/>
        </w:rPr>
        <w:t>。</w:t>
      </w:r>
    </w:p>
    <w:p>
      <w:pPr>
        <w:pStyle w:val="102"/>
        <w:ind w:firstLine="480"/>
        <w:rPr>
          <w:rFonts w:asciiTheme="minorHAnsi" w:hAnsiTheme="minorHAnsi" w:eastAsiaTheme="minorEastAsia"/>
        </w:rPr>
      </w:pPr>
      <w:r>
        <w:rPr>
          <w:rFonts w:hint="eastAsia" w:asciiTheme="minorHAnsi" w:hAnsiTheme="minorHAnsi" w:eastAsiaTheme="minorEastAsia"/>
        </w:rPr>
        <w:t>环境保护相关法律法规的相符性分析</w:t>
      </w:r>
    </w:p>
    <w:p>
      <w:pPr>
        <w:ind w:firstLine="480"/>
        <w:rPr>
          <w:rFonts w:eastAsiaTheme="minorEastAsia"/>
          <w:bCs/>
        </w:rPr>
      </w:pPr>
      <w:r>
        <w:rPr>
          <w:rFonts w:eastAsiaTheme="minorEastAsia"/>
        </w:rPr>
        <w:t>根据《广东省珠江三角洲大气污染防治办法》（广东省政府令第134号）</w:t>
      </w:r>
      <w:r>
        <w:rPr>
          <w:rFonts w:hint="eastAsia" w:eastAsiaTheme="minorEastAsia"/>
        </w:rPr>
        <w:t>第八条</w:t>
      </w:r>
      <w:r>
        <w:rPr>
          <w:rFonts w:eastAsiaTheme="minorEastAsia"/>
        </w:rPr>
        <w:t>，</w:t>
      </w:r>
      <w:r>
        <w:rPr>
          <w:rFonts w:hint="eastAsia" w:eastAsiaTheme="minorEastAsia"/>
        </w:rPr>
        <w:t>“省人民政府对区域内排放二氧化硫、氮氧化物、挥发性有机物、可吸入颗粒物等主要大气污染物实施总量控制制度；对超过主要大气污染物排放总量控制指标、且环境无容量的地区，政府环境保护主管部门应当暂停审批新增主要大气污染物排放总量的建设项目的环境影响评价文件。禁止发展和使用大气污染物排放量大的产业和产品；推进企业节能降耗，促进清洁生产。”</w:t>
      </w:r>
      <w:r>
        <w:rPr>
          <w:rFonts w:hint="eastAsia" w:eastAsiaTheme="minorEastAsia"/>
          <w:bCs/>
        </w:rPr>
        <w:t>项目营运期将对生产过程中的粉尘废气、有机废气处理达标后排放，并选择T</w:t>
      </w:r>
      <w:r>
        <w:rPr>
          <w:rFonts w:eastAsiaTheme="minorEastAsia"/>
          <w:bCs/>
        </w:rPr>
        <w:t>SP</w:t>
      </w:r>
      <w:r>
        <w:rPr>
          <w:rFonts w:hint="eastAsia" w:eastAsiaTheme="minorEastAsia"/>
          <w:bCs/>
        </w:rPr>
        <w:t>、总V</w:t>
      </w:r>
      <w:r>
        <w:rPr>
          <w:rFonts w:eastAsiaTheme="minorEastAsia"/>
          <w:bCs/>
        </w:rPr>
        <w:t>OC</w:t>
      </w:r>
      <w:r>
        <w:rPr>
          <w:rFonts w:hint="eastAsia" w:eastAsiaTheme="minorEastAsia"/>
          <w:bCs/>
        </w:rPr>
        <w:t>s（非甲烷总烃）作为大气污染物总量控制因子，并严格控制排放量，符合《广东省珠江三角洲大气污染防治办法》的相关规定。</w:t>
      </w:r>
    </w:p>
    <w:p>
      <w:pPr>
        <w:pStyle w:val="102"/>
        <w:ind w:firstLine="480"/>
        <w:rPr>
          <w:rFonts w:asciiTheme="minorHAnsi" w:hAnsiTheme="minorHAnsi" w:eastAsiaTheme="minorEastAsia"/>
        </w:rPr>
      </w:pPr>
      <w:r>
        <w:rPr>
          <w:rFonts w:hint="eastAsia" w:asciiTheme="minorHAnsi" w:hAnsiTheme="minorHAnsi" w:eastAsiaTheme="minorEastAsia"/>
        </w:rPr>
        <w:t>环境保护政策相符性分析</w:t>
      </w:r>
    </w:p>
    <w:p>
      <w:pPr>
        <w:ind w:firstLine="480"/>
        <w:rPr>
          <w:rFonts w:eastAsiaTheme="minorEastAsia"/>
        </w:rPr>
      </w:pPr>
      <w:r>
        <w:rPr>
          <w:rFonts w:eastAsiaTheme="minorEastAsia"/>
        </w:rPr>
        <w:fldChar w:fldCharType="begin"/>
      </w:r>
      <w:r>
        <w:rPr>
          <w:rFonts w:eastAsiaTheme="minorEastAsia"/>
        </w:rPr>
        <w:instrText xml:space="preserve"> </w:instrText>
      </w:r>
      <w:r>
        <w:rPr>
          <w:rFonts w:hint="eastAsia" w:eastAsiaTheme="minorEastAsia"/>
        </w:rPr>
        <w:instrText xml:space="preserve">= 1 \* GB3</w:instrText>
      </w:r>
      <w:r>
        <w:rPr>
          <w:rFonts w:eastAsiaTheme="minorEastAsia"/>
        </w:rPr>
        <w:instrText xml:space="preserve"> </w:instrText>
      </w:r>
      <w:r>
        <w:rPr>
          <w:rFonts w:eastAsiaTheme="minorEastAsia"/>
        </w:rPr>
        <w:fldChar w:fldCharType="separate"/>
      </w:r>
      <w:r>
        <w:rPr>
          <w:rFonts w:hint="eastAsia" w:eastAsiaTheme="minorEastAsia"/>
        </w:rPr>
        <w:t>①</w:t>
      </w:r>
      <w:r>
        <w:rPr>
          <w:rFonts w:eastAsiaTheme="minorEastAsia"/>
        </w:rPr>
        <w:fldChar w:fldCharType="end"/>
      </w:r>
      <w:r>
        <w:rPr>
          <w:rFonts w:hint="eastAsia" w:eastAsiaTheme="minorEastAsia"/>
        </w:rPr>
        <w:t>大气污染防治政策</w:t>
      </w:r>
    </w:p>
    <w:p>
      <w:pPr>
        <w:ind w:firstLine="480"/>
        <w:rPr>
          <w:rFonts w:eastAsiaTheme="minorEastAsia"/>
        </w:rPr>
      </w:pPr>
      <w:r>
        <w:rPr>
          <w:rFonts w:hint="eastAsia" w:eastAsiaTheme="minorEastAsia"/>
        </w:rPr>
        <w:t>根据《“十三五”挥发性有机物污染防治工作方案》（环大气〔2017〕121号）、《广东省环境广东省挥发性有机物（VOCs）整治与减排工作方案（2018-2020）》（粤环发〔2018〕6号），全面推进石油炼制与石油化工、医药、合成树脂、橡胶和塑料制品制造、涂料/油墨/颜料制造等化工行业VOCs减排，通过源头预防、过程控制、末端治理等综合措施，确保实现达标排放。推广使用低VOCs含量、低反应活性的原辅材料和产品。……橡胶制品行业推广使用新型偶联剂、粘合剂等产品，推广使用石蜡油等全面替代普通芳烃油、煤焦油等助剂。优化生产工艺过程。加强工业企业VOCs无组织排放管理，推动企业实施生产过程密闭化、连续化、自动化技术改造，强化生产工艺环节的有机废气收集，减少挥发性有机物排放。……橡胶行业推广采用氮气硫化、串联法混炼</w:t>
      </w:r>
      <w:r>
        <w:rPr>
          <w:rFonts w:hint="eastAsia" w:cs="Times New Roman" w:eastAsiaTheme="minorEastAsia"/>
        </w:rPr>
        <w:t>、常压连续脱硫</w:t>
      </w:r>
      <w:r>
        <w:rPr>
          <w:rFonts w:hint="eastAsia" w:eastAsiaTheme="minorEastAsia"/>
        </w:rPr>
        <w:t>等工艺。</w:t>
      </w:r>
      <w:r>
        <w:rPr>
          <w:rFonts w:hint="eastAsia" w:cs="Times New Roman" w:eastAsiaTheme="minorEastAsia"/>
        </w:rPr>
        <w:t>”</w:t>
      </w:r>
      <w:r>
        <w:rPr>
          <w:rFonts w:hint="eastAsia" w:eastAsiaTheme="minorEastAsia"/>
          <w:bCs/>
        </w:rPr>
        <w:t>项目生产过程中废气均得到有效收集和处理，从项目情况来看符合《广东省环境广东省挥发性有机物（VOCs）整治与减排工作方案（2018-2020）》、《“十三五”挥发性有机物污染防治工作方案》的相关要求</w:t>
      </w:r>
      <w:r>
        <w:rPr>
          <w:rFonts w:hint="eastAsia" w:eastAsiaTheme="minorEastAsia"/>
          <w:b/>
        </w:rPr>
        <w:t>。</w:t>
      </w:r>
    </w:p>
    <w:p>
      <w:pPr>
        <w:pStyle w:val="102"/>
        <w:ind w:firstLine="480"/>
        <w:rPr>
          <w:rFonts w:asciiTheme="minorHAnsi" w:hAnsiTheme="minorHAnsi" w:eastAsiaTheme="minorEastAsia"/>
        </w:rPr>
      </w:pPr>
      <w:r>
        <w:rPr>
          <w:rFonts w:hint="eastAsia" w:asciiTheme="minorHAnsi" w:hAnsiTheme="minorHAnsi" w:eastAsiaTheme="minorEastAsia"/>
        </w:rPr>
        <w:t>城镇体系规划、城镇总体规划相符性分析</w:t>
      </w:r>
    </w:p>
    <w:p>
      <w:pPr>
        <w:ind w:firstLine="480"/>
        <w:rPr>
          <w:rFonts w:eastAsiaTheme="minorEastAsia"/>
        </w:rPr>
      </w:pPr>
      <w:r>
        <w:rPr>
          <w:rFonts w:hint="eastAsia" w:cs="Times New Roman" w:eastAsiaTheme="minorEastAsia"/>
          <w:kern w:val="2"/>
        </w:rPr>
        <w:t>根据</w:t>
      </w:r>
      <w:r>
        <w:rPr>
          <w:rFonts w:hint="eastAsia" w:eastAsiaTheme="minorEastAsia"/>
        </w:rPr>
        <w:t>《江门市主体功能区规划》（江府〔2016〕5号），项目所在地开平市苍城镇不属于江门市域以农业发展和生态保护为主要功能的2</w:t>
      </w:r>
      <w:r>
        <w:rPr>
          <w:rFonts w:eastAsiaTheme="minorEastAsia"/>
        </w:rPr>
        <w:t>2</w:t>
      </w:r>
      <w:r>
        <w:rPr>
          <w:rFonts w:hint="eastAsia" w:eastAsiaTheme="minorEastAsia"/>
        </w:rPr>
        <w:t>个生态发展镇（分为适度开发型镇和限制开发型镇）。</w:t>
      </w:r>
    </w:p>
    <w:p>
      <w:pPr>
        <w:ind w:firstLine="480"/>
        <w:rPr>
          <w:rFonts w:eastAsiaTheme="minorEastAsia"/>
        </w:rPr>
      </w:pPr>
      <w:r>
        <w:rPr>
          <w:rFonts w:hint="eastAsia" w:eastAsiaTheme="minorEastAsia"/>
        </w:rPr>
        <w:t>根据《开平市城市总体规划（2011-2020）》市域城镇体系规划，苍城镇城镇性质为“广东省中心镇；开平市工业大镇和文化名镇；以制造业为主导，文化、商贸、交通、服务协调发展的文明镇”，定位与发展方向为“珠江三角洲西岸的工业与文化名镇；开平市旅游圈重要节点；开平西北部物流中心”。</w:t>
      </w:r>
    </w:p>
    <w:p>
      <w:pPr>
        <w:ind w:firstLine="480"/>
        <w:rPr>
          <w:rFonts w:eastAsiaTheme="minorEastAsia"/>
          <w:bCs/>
        </w:rPr>
      </w:pPr>
      <w:r>
        <w:rPr>
          <w:rFonts w:hint="eastAsia" w:eastAsiaTheme="minorEastAsia"/>
          <w:bCs/>
        </w:rPr>
        <w:t>项目属于橡胶制品制造业，符合所在地城镇总体规划。</w:t>
      </w:r>
    </w:p>
    <w:p>
      <w:pPr>
        <w:pStyle w:val="102"/>
        <w:ind w:firstLine="480"/>
        <w:rPr>
          <w:rFonts w:asciiTheme="minorHAnsi" w:hAnsiTheme="minorHAnsi" w:eastAsiaTheme="minorEastAsia"/>
        </w:rPr>
      </w:pPr>
      <w:r>
        <w:rPr>
          <w:rFonts w:asciiTheme="minorHAnsi" w:hAnsiTheme="minorHAnsi" w:eastAsiaTheme="minorEastAsia"/>
        </w:rPr>
        <w:t>选址合理性分析</w:t>
      </w:r>
    </w:p>
    <w:p>
      <w:pPr>
        <w:ind w:firstLine="480"/>
        <w:rPr>
          <w:rFonts w:cs="Times New Roman" w:eastAsiaTheme="minorEastAsia"/>
        </w:rPr>
      </w:pPr>
      <w:r>
        <w:rPr>
          <w:rFonts w:eastAsiaTheme="minorEastAsia"/>
        </w:rPr>
        <w:t>本项目位于</w:t>
      </w:r>
      <w:r>
        <w:rPr>
          <w:rFonts w:hint="eastAsia"/>
        </w:rPr>
        <w:t>开平市苍城镇西郊工业园三区7号</w:t>
      </w:r>
      <w:r>
        <w:rPr>
          <w:rFonts w:hint="eastAsia" w:eastAsiaTheme="minorEastAsia"/>
        </w:rPr>
        <w:t>，根据开平市苍城镇建设管理与环保局开具的证明（见</w:t>
      </w:r>
      <w:r>
        <w:rPr>
          <w:rFonts w:eastAsiaTheme="minorEastAsia"/>
        </w:rPr>
        <w:fldChar w:fldCharType="begin"/>
      </w:r>
      <w:r>
        <w:rPr>
          <w:rFonts w:eastAsiaTheme="minorEastAsia"/>
        </w:rPr>
        <w:instrText xml:space="preserve"> </w:instrText>
      </w:r>
      <w:r>
        <w:rPr>
          <w:rFonts w:hint="eastAsia" w:eastAsiaTheme="minorEastAsia"/>
        </w:rPr>
        <w:instrText xml:space="preserve">REF _Ref520397808 \n \h</w:instrText>
      </w:r>
      <w:r>
        <w:rPr>
          <w:rFonts w:eastAsiaTheme="minorEastAsia"/>
        </w:rPr>
        <w:instrText xml:space="preserve">  \* MERGEFORMAT </w:instrText>
      </w:r>
      <w:r>
        <w:rPr>
          <w:rFonts w:eastAsiaTheme="minorEastAsia"/>
        </w:rPr>
        <w:fldChar w:fldCharType="separate"/>
      </w:r>
      <w:r>
        <w:rPr>
          <w:rFonts w:hint="eastAsia" w:eastAsiaTheme="minorEastAsia"/>
        </w:rPr>
        <w:t>附件4</w:t>
      </w:r>
      <w:r>
        <w:rPr>
          <w:rFonts w:eastAsiaTheme="minorEastAsia"/>
        </w:rPr>
        <w:fldChar w:fldCharType="end"/>
      </w:r>
      <w:r>
        <w:rPr>
          <w:rFonts w:hint="eastAsia" w:eastAsiaTheme="minorEastAsia"/>
        </w:rPr>
        <w:t>），本项目用地类型为工业用地，符合地类用途规划。根据《江门市城市总体规划》(2011-2020)可知，项目所在地属于村镇建设用地，未占用基本农田保护区和林地、生态绿地，因此，</w:t>
      </w:r>
      <w:r>
        <w:rPr>
          <w:rFonts w:hint="eastAsia" w:eastAsiaTheme="minorEastAsia"/>
          <w:bCs/>
        </w:rPr>
        <w:t>项目用地符合相关规划要求</w:t>
      </w:r>
      <w:r>
        <w:rPr>
          <w:rFonts w:hint="eastAsia" w:eastAsiaTheme="minorEastAsia"/>
          <w:b/>
        </w:rPr>
        <w:t>。</w:t>
      </w:r>
    </w:p>
    <w:p>
      <w:pPr>
        <w:pStyle w:val="102"/>
        <w:ind w:firstLine="480"/>
        <w:rPr>
          <w:rFonts w:asciiTheme="minorHAnsi" w:hAnsiTheme="minorHAnsi" w:eastAsiaTheme="minorEastAsia"/>
        </w:rPr>
      </w:pPr>
      <w:r>
        <w:rPr>
          <w:rFonts w:hint="eastAsia" w:asciiTheme="minorHAnsi" w:hAnsiTheme="minorHAnsi" w:eastAsiaTheme="minorEastAsia"/>
        </w:rPr>
        <w:t>厂区平面布局合理性分析</w:t>
      </w:r>
    </w:p>
    <w:p>
      <w:pPr>
        <w:ind w:firstLine="480"/>
        <w:rPr>
          <w:rFonts w:eastAsiaTheme="minorEastAsia"/>
        </w:rPr>
      </w:pPr>
      <w:r>
        <w:rPr>
          <w:rFonts w:hint="eastAsia" w:eastAsiaTheme="minorEastAsia"/>
        </w:rPr>
        <w:t>项目利用现有厂房，包含生产车间</w:t>
      </w:r>
      <w:r>
        <w:rPr>
          <w:rFonts w:eastAsiaTheme="minorEastAsia"/>
        </w:rPr>
        <w:t>4</w:t>
      </w:r>
      <w:r>
        <w:rPr>
          <w:rFonts w:hint="eastAsia" w:eastAsiaTheme="minorEastAsia"/>
        </w:rPr>
        <w:t>座，仓库</w:t>
      </w:r>
      <w:r>
        <w:rPr>
          <w:rFonts w:eastAsiaTheme="minorEastAsia"/>
        </w:rPr>
        <w:t>2</w:t>
      </w:r>
      <w:r>
        <w:rPr>
          <w:rFonts w:hint="eastAsia" w:eastAsiaTheme="minorEastAsia"/>
        </w:rPr>
        <w:t>间及其他配套设施。从平面布局来看，功能区分明确，设置基本合理，厂区消防设施、通风设施完善，救援疏散通道布置合理，满足消防、环境保护的技术规范，项目布局基本合理。</w:t>
      </w:r>
    </w:p>
    <w:p>
      <w:pPr>
        <w:pStyle w:val="136"/>
      </w:pPr>
      <w:bookmarkStart w:id="17" w:name="_Toc19284"/>
      <w:bookmarkStart w:id="18" w:name="_Toc993"/>
      <w:bookmarkStart w:id="19" w:name="_Toc3538768"/>
      <w:r>
        <w:rPr>
          <w:rFonts w:hint="eastAsia"/>
        </w:rPr>
        <w:t>关注的主要环境问题及环境影响</w:t>
      </w:r>
      <w:bookmarkEnd w:id="17"/>
      <w:bookmarkEnd w:id="18"/>
      <w:bookmarkEnd w:id="19"/>
    </w:p>
    <w:p>
      <w:pPr>
        <w:ind w:firstLine="480"/>
        <w:rPr>
          <w:rFonts w:eastAsiaTheme="minorEastAsia"/>
        </w:rPr>
      </w:pPr>
      <w:r>
        <w:rPr>
          <w:rFonts w:hint="eastAsia" w:eastAsiaTheme="minorEastAsia"/>
        </w:rPr>
        <w:t>本</w:t>
      </w:r>
      <w:r>
        <w:rPr>
          <w:rFonts w:eastAsiaTheme="minorEastAsia"/>
        </w:rPr>
        <w:t>项目</w:t>
      </w:r>
      <w:r>
        <w:rPr>
          <w:rFonts w:hint="eastAsia" w:eastAsiaTheme="minorEastAsia"/>
        </w:rPr>
        <w:t>厂址位于开平市苍城镇西郊工业园三区7号</w:t>
      </w:r>
      <w:r>
        <w:rPr>
          <w:rFonts w:eastAsiaTheme="minorEastAsia"/>
        </w:rPr>
        <w:t>，生产过程中主要</w:t>
      </w:r>
      <w:r>
        <w:rPr>
          <w:rFonts w:hint="eastAsia" w:eastAsiaTheme="minorEastAsia"/>
        </w:rPr>
        <w:t>有配投料粉尘、炼胶废气（密炼、开炼废气）、硫化废气、抛丸粉尘，生活污水、废包装材料、废饱和活性炭</w:t>
      </w:r>
      <w:r>
        <w:rPr>
          <w:rFonts w:eastAsiaTheme="minorEastAsia"/>
        </w:rPr>
        <w:t>和噪声</w:t>
      </w:r>
      <w:r>
        <w:rPr>
          <w:rFonts w:hint="eastAsia" w:eastAsiaTheme="minorEastAsia"/>
        </w:rPr>
        <w:t>等污染，</w:t>
      </w:r>
      <w:r>
        <w:rPr>
          <w:rFonts w:eastAsiaTheme="minorEastAsia"/>
        </w:rPr>
        <w:t>该项目需关注的主要环境问题</w:t>
      </w:r>
      <w:r>
        <w:rPr>
          <w:rFonts w:hint="eastAsia" w:eastAsiaTheme="minorEastAsia"/>
        </w:rPr>
        <w:t>及影响</w:t>
      </w:r>
      <w:r>
        <w:rPr>
          <w:rFonts w:eastAsiaTheme="minorEastAsia"/>
        </w:rPr>
        <w:t>包括：</w:t>
      </w:r>
    </w:p>
    <w:p>
      <w:pPr>
        <w:ind w:firstLine="480"/>
        <w:rPr>
          <w:rFonts w:eastAsiaTheme="minorEastAsia"/>
        </w:rPr>
      </w:pPr>
      <w:r>
        <w:rPr>
          <w:rFonts w:eastAsiaTheme="minorEastAsia"/>
        </w:rPr>
        <w:t>（1）</w:t>
      </w:r>
      <w:r>
        <w:rPr>
          <w:rFonts w:hint="eastAsia" w:eastAsiaTheme="minorEastAsia"/>
        </w:rPr>
        <w:t>配投料粉尘、炼胶废气、硫化废气、抛丸粉尘的治理措施的经济技术可行性论证，以及废气排放</w:t>
      </w:r>
      <w:r>
        <w:rPr>
          <w:rFonts w:eastAsiaTheme="minorEastAsia"/>
        </w:rPr>
        <w:t>对大气环境的影响；</w:t>
      </w:r>
    </w:p>
    <w:p>
      <w:pPr>
        <w:ind w:firstLine="480"/>
        <w:rPr>
          <w:rFonts w:eastAsiaTheme="minorEastAsia"/>
        </w:rPr>
      </w:pPr>
      <w:r>
        <w:rPr>
          <w:rFonts w:eastAsiaTheme="minorEastAsia"/>
        </w:rPr>
        <w:t>（2）</w:t>
      </w:r>
      <w:r>
        <w:rPr>
          <w:rFonts w:hint="eastAsia" w:eastAsiaTheme="minorEastAsia"/>
        </w:rPr>
        <w:t>废饱和活性炭等危险废物</w:t>
      </w:r>
      <w:r>
        <w:rPr>
          <w:rFonts w:eastAsiaTheme="minorEastAsia"/>
        </w:rPr>
        <w:t>落实妥善的处置措施</w:t>
      </w:r>
      <w:r>
        <w:rPr>
          <w:rFonts w:hint="eastAsia" w:eastAsiaTheme="minorEastAsia"/>
        </w:rPr>
        <w:t>有效性论证</w:t>
      </w:r>
      <w:r>
        <w:rPr>
          <w:rFonts w:eastAsiaTheme="minorEastAsia"/>
        </w:rPr>
        <w:t>，</w:t>
      </w:r>
      <w:r>
        <w:rPr>
          <w:rFonts w:hint="eastAsia" w:eastAsiaTheme="minorEastAsia"/>
        </w:rPr>
        <w:t>能否</w:t>
      </w:r>
      <w:r>
        <w:rPr>
          <w:rFonts w:eastAsiaTheme="minorEastAsia"/>
        </w:rPr>
        <w:t>不对周边环境产生影响</w:t>
      </w:r>
      <w:r>
        <w:rPr>
          <w:rFonts w:hint="eastAsia" w:eastAsiaTheme="minorEastAsia"/>
        </w:rPr>
        <w:t>；</w:t>
      </w:r>
    </w:p>
    <w:p>
      <w:pPr>
        <w:ind w:firstLine="480"/>
        <w:rPr>
          <w:rFonts w:eastAsiaTheme="minorEastAsia"/>
        </w:rPr>
      </w:pPr>
      <w:r>
        <w:rPr>
          <w:rFonts w:hint="eastAsia" w:eastAsiaTheme="minorEastAsia"/>
        </w:rPr>
        <w:t>（3）生活污水处理达标排放可行性分析及对水环境影响分析；</w:t>
      </w:r>
    </w:p>
    <w:p>
      <w:pPr>
        <w:ind w:firstLine="480"/>
        <w:rPr>
          <w:rFonts w:eastAsiaTheme="minorEastAsia"/>
        </w:rPr>
      </w:pPr>
      <w:r>
        <w:rPr>
          <w:rFonts w:eastAsiaTheme="minorEastAsia"/>
        </w:rPr>
        <w:t>（</w:t>
      </w:r>
      <w:r>
        <w:rPr>
          <w:rFonts w:hint="eastAsia" w:eastAsiaTheme="minorEastAsia"/>
        </w:rPr>
        <w:t>4</w:t>
      </w:r>
      <w:r>
        <w:rPr>
          <w:rFonts w:eastAsiaTheme="minorEastAsia"/>
        </w:rPr>
        <w:t>）设备噪声</w:t>
      </w:r>
      <w:r>
        <w:rPr>
          <w:rFonts w:hint="eastAsia" w:eastAsiaTheme="minorEastAsia"/>
        </w:rPr>
        <w:t>的</w:t>
      </w:r>
      <w:r>
        <w:rPr>
          <w:rFonts w:eastAsiaTheme="minorEastAsia"/>
        </w:rPr>
        <w:t>隔声降噪措施</w:t>
      </w:r>
      <w:r>
        <w:rPr>
          <w:rFonts w:hint="eastAsia" w:eastAsiaTheme="minorEastAsia"/>
        </w:rPr>
        <w:t>可行性论证及声环境影响分析；</w:t>
      </w:r>
    </w:p>
    <w:p>
      <w:pPr>
        <w:ind w:firstLine="480"/>
        <w:rPr>
          <w:rFonts w:eastAsiaTheme="minorEastAsia"/>
        </w:rPr>
      </w:pPr>
      <w:r>
        <w:rPr>
          <w:rFonts w:eastAsiaTheme="minorEastAsia"/>
        </w:rPr>
        <w:t>（</w:t>
      </w:r>
      <w:r>
        <w:rPr>
          <w:rFonts w:hint="eastAsia" w:eastAsiaTheme="minorEastAsia"/>
        </w:rPr>
        <w:t>5</w:t>
      </w:r>
      <w:r>
        <w:rPr>
          <w:rFonts w:eastAsiaTheme="minorEastAsia"/>
        </w:rPr>
        <w:t>）项目建设对评价范围内环境保护目标的影响。</w:t>
      </w:r>
    </w:p>
    <w:bookmarkEnd w:id="16"/>
    <w:p>
      <w:pPr>
        <w:pStyle w:val="136"/>
      </w:pPr>
      <w:bookmarkStart w:id="20" w:name="_Toc3538769"/>
      <w:bookmarkStart w:id="21" w:name="_Toc424650447"/>
      <w:bookmarkStart w:id="22" w:name="_Toc1319"/>
      <w:bookmarkStart w:id="23" w:name="_Toc25725"/>
      <w:bookmarkStart w:id="24" w:name="_Hlk479357932"/>
      <w:r>
        <w:rPr>
          <w:rFonts w:hint="eastAsia"/>
        </w:rPr>
        <w:t>环境影响评价的主要结论</w:t>
      </w:r>
      <w:bookmarkEnd w:id="20"/>
      <w:bookmarkEnd w:id="21"/>
      <w:bookmarkEnd w:id="22"/>
      <w:bookmarkEnd w:id="23"/>
    </w:p>
    <w:bookmarkEnd w:id="7"/>
    <w:bookmarkEnd w:id="8"/>
    <w:bookmarkEnd w:id="24"/>
    <w:p>
      <w:pPr>
        <w:tabs>
          <w:tab w:val="left" w:pos="900"/>
        </w:tabs>
        <w:ind w:firstLine="480"/>
        <w:rPr>
          <w:rFonts w:cs="Times New Roman" w:eastAsiaTheme="minorEastAsia"/>
        </w:rPr>
      </w:pPr>
      <w:r>
        <w:rPr>
          <w:rFonts w:cs="Times New Roman" w:eastAsiaTheme="minorEastAsia"/>
        </w:rPr>
        <w:t>本报告书对项目所在地及周围地区的环境质量现状进行了实地调查和评价，对</w:t>
      </w:r>
      <w:r>
        <w:rPr>
          <w:rFonts w:hint="eastAsia" w:cs="Times New Roman" w:eastAsiaTheme="minorEastAsia"/>
        </w:rPr>
        <w:t>建设</w:t>
      </w:r>
      <w:r>
        <w:rPr>
          <w:rFonts w:cs="Times New Roman" w:eastAsiaTheme="minorEastAsia"/>
        </w:rPr>
        <w:t>项目运营期间的排污负荷进行了估算，预测了建设项目外排污染物对周围环境产生的影响程度，提出了相应的防止措施和相关建议。建设单位应按本报告中所述的各项控制污染的防治措施加以严格实施，并确保正常运行。</w:t>
      </w:r>
    </w:p>
    <w:p>
      <w:pPr>
        <w:ind w:firstLine="480"/>
        <w:rPr>
          <w:rFonts w:cs="Times New Roman" w:eastAsiaTheme="minorEastAsia"/>
        </w:rPr>
      </w:pPr>
      <w:r>
        <w:rPr>
          <w:rFonts w:cs="Times New Roman" w:eastAsiaTheme="minorEastAsia"/>
        </w:rPr>
        <w:t>只要本项目在实施过程中严格按照</w:t>
      </w:r>
      <w:r>
        <w:rPr>
          <w:rFonts w:hint="eastAsia" w:cs="Times New Roman" w:eastAsiaTheme="minorEastAsia"/>
        </w:rPr>
        <w:t>“</w:t>
      </w:r>
      <w:r>
        <w:rPr>
          <w:rFonts w:cs="Times New Roman" w:eastAsiaTheme="minorEastAsia"/>
        </w:rPr>
        <w:t>三同时</w:t>
      </w:r>
      <w:r>
        <w:rPr>
          <w:rFonts w:hint="eastAsia" w:cs="Times New Roman" w:eastAsiaTheme="minorEastAsia"/>
        </w:rPr>
        <w:t>”</w:t>
      </w:r>
      <w:r>
        <w:rPr>
          <w:rFonts w:cs="Times New Roman" w:eastAsiaTheme="minorEastAsia"/>
        </w:rPr>
        <w:t>原则进行设计、施工和运行，落实设计和环评中提出的各项污染防治措施，在运行期，加强管理，落实环境风险防范措施，确保污染治理设施稳定达标运行，在解决好公众关心的各项环境问题的前提下，从环境保护的角度分析，本项目的建设是可行的。</w:t>
      </w:r>
    </w:p>
    <w:p>
      <w:pPr>
        <w:tabs>
          <w:tab w:val="left" w:pos="180"/>
          <w:tab w:val="left" w:pos="720"/>
        </w:tabs>
        <w:adjustRightInd w:val="0"/>
        <w:ind w:firstLine="480"/>
        <w:rPr>
          <w:rFonts w:eastAsiaTheme="minorEastAsia"/>
        </w:rPr>
      </w:pPr>
    </w:p>
    <w:p>
      <w:pPr>
        <w:tabs>
          <w:tab w:val="left" w:pos="180"/>
          <w:tab w:val="left" w:pos="720"/>
        </w:tabs>
        <w:adjustRightInd w:val="0"/>
        <w:ind w:firstLine="480"/>
        <w:rPr>
          <w:rFonts w:eastAsiaTheme="minorEastAsia"/>
        </w:rPr>
        <w:sectPr>
          <w:footerReference r:id="rId15" w:type="default"/>
          <w:pgSz w:w="11906" w:h="16838"/>
          <w:pgMar w:top="1418" w:right="1418" w:bottom="1418" w:left="1418" w:header="1020" w:footer="992" w:gutter="0"/>
          <w:cols w:space="720" w:num="1"/>
          <w:docGrid w:type="lines" w:linePitch="326" w:charSpace="0"/>
        </w:sectPr>
      </w:pPr>
    </w:p>
    <w:p>
      <w:pPr>
        <w:pStyle w:val="3"/>
        <w:rPr>
          <w:rFonts w:eastAsiaTheme="minorEastAsia"/>
        </w:rPr>
      </w:pPr>
      <w:bookmarkStart w:id="25" w:name="_Toc3538770"/>
      <w:bookmarkStart w:id="26" w:name="_Toc2408"/>
      <w:bookmarkStart w:id="27" w:name="_Toc7279"/>
      <w:bookmarkStart w:id="28" w:name="_Toc331536072"/>
      <w:bookmarkStart w:id="29" w:name="_Toc329784178"/>
      <w:r>
        <w:rPr>
          <w:rFonts w:hint="eastAsia" w:eastAsiaTheme="minorEastAsia"/>
        </w:rPr>
        <w:t>总则</w:t>
      </w:r>
      <w:bookmarkEnd w:id="25"/>
    </w:p>
    <w:bookmarkEnd w:id="26"/>
    <w:bookmarkEnd w:id="27"/>
    <w:bookmarkEnd w:id="28"/>
    <w:bookmarkEnd w:id="29"/>
    <w:p>
      <w:pPr>
        <w:pStyle w:val="4"/>
      </w:pPr>
      <w:bookmarkStart w:id="30" w:name="_Toc329784179"/>
      <w:bookmarkStart w:id="31" w:name="_Toc331536073"/>
      <w:bookmarkStart w:id="32" w:name="_Toc21974"/>
      <w:bookmarkStart w:id="33" w:name="_Toc307847857"/>
      <w:bookmarkStart w:id="34" w:name="_Toc304404186"/>
      <w:bookmarkStart w:id="35" w:name="_Toc299035532"/>
      <w:bookmarkStart w:id="36" w:name="_Toc29308"/>
      <w:bookmarkStart w:id="37" w:name="_Toc3538771"/>
      <w:r>
        <w:t>编制依据</w:t>
      </w:r>
      <w:bookmarkEnd w:id="30"/>
      <w:bookmarkEnd w:id="31"/>
      <w:bookmarkEnd w:id="32"/>
      <w:bookmarkEnd w:id="33"/>
      <w:bookmarkEnd w:id="34"/>
      <w:bookmarkEnd w:id="35"/>
      <w:bookmarkEnd w:id="36"/>
      <w:bookmarkEnd w:id="37"/>
    </w:p>
    <w:p>
      <w:pPr>
        <w:pStyle w:val="5"/>
      </w:pPr>
      <w:bookmarkStart w:id="38" w:name="_Toc331536077"/>
      <w:r>
        <w:rPr>
          <w:rFonts w:hint="eastAsia"/>
        </w:rPr>
        <w:t>国家法律法规</w:t>
      </w:r>
    </w:p>
    <w:p>
      <w:pPr>
        <w:pStyle w:val="99"/>
        <w:widowControl w:val="0"/>
        <w:numPr>
          <w:ilvl w:val="0"/>
          <w:numId w:val="8"/>
        </w:numPr>
        <w:ind w:firstLineChars="0"/>
        <w:jc w:val="both"/>
        <w:rPr>
          <w:rFonts w:eastAsiaTheme="minorEastAsia"/>
        </w:rPr>
      </w:pPr>
      <w:bookmarkStart w:id="39" w:name="_Toc372891278"/>
      <w:bookmarkStart w:id="40" w:name="_Toc419100816"/>
      <w:r>
        <w:rPr>
          <w:rFonts w:hint="eastAsia" w:eastAsiaTheme="minorEastAsia"/>
        </w:rPr>
        <w:t>《中华人民共和国环境保护法》（2014年4月24日修订，2015年1月1日施行）；</w:t>
      </w:r>
    </w:p>
    <w:p>
      <w:pPr>
        <w:pStyle w:val="99"/>
        <w:widowControl w:val="0"/>
        <w:numPr>
          <w:ilvl w:val="0"/>
          <w:numId w:val="8"/>
        </w:numPr>
        <w:ind w:firstLineChars="0"/>
        <w:jc w:val="both"/>
        <w:rPr>
          <w:rFonts w:eastAsiaTheme="minorEastAsia"/>
        </w:rPr>
      </w:pPr>
      <w:r>
        <w:rPr>
          <w:rFonts w:hint="eastAsia" w:eastAsiaTheme="minorEastAsia"/>
        </w:rPr>
        <w:t>《中华人民共和国环境影响评价法》（201</w:t>
      </w:r>
      <w:r>
        <w:rPr>
          <w:rFonts w:eastAsiaTheme="minorEastAsia"/>
        </w:rPr>
        <w:t>8</w:t>
      </w:r>
      <w:r>
        <w:rPr>
          <w:rFonts w:hint="eastAsia" w:eastAsiaTheme="minorEastAsia"/>
        </w:rPr>
        <w:t>年</w:t>
      </w:r>
      <w:r>
        <w:rPr>
          <w:rFonts w:eastAsiaTheme="minorEastAsia"/>
        </w:rPr>
        <w:t>12</w:t>
      </w:r>
      <w:r>
        <w:rPr>
          <w:rFonts w:hint="eastAsia" w:eastAsiaTheme="minorEastAsia"/>
        </w:rPr>
        <w:t>月</w:t>
      </w:r>
      <w:r>
        <w:rPr>
          <w:rFonts w:eastAsiaTheme="minorEastAsia"/>
        </w:rPr>
        <w:t>29</w:t>
      </w:r>
      <w:r>
        <w:rPr>
          <w:rFonts w:hint="eastAsia" w:eastAsiaTheme="minorEastAsia"/>
        </w:rPr>
        <w:t>日修正并施行）；</w:t>
      </w:r>
    </w:p>
    <w:p>
      <w:pPr>
        <w:pStyle w:val="99"/>
        <w:widowControl w:val="0"/>
        <w:numPr>
          <w:ilvl w:val="0"/>
          <w:numId w:val="8"/>
        </w:numPr>
        <w:ind w:firstLineChars="0"/>
        <w:jc w:val="both"/>
        <w:rPr>
          <w:rFonts w:eastAsiaTheme="minorEastAsia"/>
        </w:rPr>
      </w:pPr>
      <w:r>
        <w:rPr>
          <w:rFonts w:hint="eastAsia" w:eastAsiaTheme="minorEastAsia"/>
        </w:rPr>
        <w:t>《中华人民共和国土壤污染防治法》（2018年8月31日公布，2019.1.1起施行）</w:t>
      </w:r>
    </w:p>
    <w:p>
      <w:pPr>
        <w:pStyle w:val="99"/>
        <w:widowControl w:val="0"/>
        <w:numPr>
          <w:ilvl w:val="0"/>
          <w:numId w:val="8"/>
        </w:numPr>
        <w:ind w:firstLineChars="0"/>
        <w:jc w:val="both"/>
        <w:rPr>
          <w:rFonts w:eastAsiaTheme="minorEastAsia"/>
        </w:rPr>
      </w:pPr>
      <w:r>
        <w:rPr>
          <w:rFonts w:hint="eastAsia" w:eastAsiaTheme="minorEastAsia"/>
        </w:rPr>
        <w:t>《中华人民共和国大气污染防治法》（2018年10月26日第二次修正并施行）；</w:t>
      </w:r>
    </w:p>
    <w:p>
      <w:pPr>
        <w:pStyle w:val="99"/>
        <w:widowControl w:val="0"/>
        <w:numPr>
          <w:ilvl w:val="0"/>
          <w:numId w:val="8"/>
        </w:numPr>
        <w:ind w:firstLineChars="0"/>
        <w:jc w:val="both"/>
        <w:rPr>
          <w:rFonts w:eastAsiaTheme="minorEastAsia"/>
        </w:rPr>
      </w:pPr>
      <w:r>
        <w:rPr>
          <w:rFonts w:hint="eastAsia" w:eastAsiaTheme="minorEastAsia"/>
        </w:rPr>
        <w:t>《中华人民共和国水污染防治法》（2017年6月27日修正，2</w:t>
      </w:r>
      <w:r>
        <w:rPr>
          <w:rFonts w:eastAsiaTheme="minorEastAsia"/>
        </w:rPr>
        <w:t>01</w:t>
      </w:r>
      <w:r>
        <w:rPr>
          <w:rFonts w:hint="eastAsia" w:eastAsiaTheme="minorEastAsia"/>
        </w:rPr>
        <w:t>8年</w:t>
      </w:r>
      <w:r>
        <w:rPr>
          <w:rFonts w:eastAsiaTheme="minorEastAsia"/>
        </w:rPr>
        <w:t>1</w:t>
      </w:r>
      <w:r>
        <w:rPr>
          <w:rFonts w:hint="eastAsia" w:eastAsiaTheme="minorEastAsia"/>
        </w:rPr>
        <w:t>月1日施行）；</w:t>
      </w:r>
    </w:p>
    <w:p>
      <w:pPr>
        <w:pStyle w:val="99"/>
        <w:widowControl w:val="0"/>
        <w:numPr>
          <w:ilvl w:val="0"/>
          <w:numId w:val="8"/>
        </w:numPr>
        <w:ind w:firstLineChars="0"/>
        <w:jc w:val="both"/>
        <w:rPr>
          <w:rFonts w:eastAsiaTheme="minorEastAsia"/>
        </w:rPr>
      </w:pPr>
      <w:r>
        <w:rPr>
          <w:rFonts w:hint="eastAsia" w:eastAsiaTheme="minorEastAsia"/>
        </w:rPr>
        <w:t>《中华人民共和国环境噪声污染防治法》（201</w:t>
      </w:r>
      <w:r>
        <w:rPr>
          <w:rFonts w:eastAsiaTheme="minorEastAsia"/>
        </w:rPr>
        <w:t>8</w:t>
      </w:r>
      <w:r>
        <w:rPr>
          <w:rFonts w:hint="eastAsia" w:eastAsiaTheme="minorEastAsia"/>
        </w:rPr>
        <w:t>年</w:t>
      </w:r>
      <w:r>
        <w:rPr>
          <w:rFonts w:eastAsiaTheme="minorEastAsia"/>
        </w:rPr>
        <w:t>12</w:t>
      </w:r>
      <w:r>
        <w:rPr>
          <w:rFonts w:hint="eastAsia" w:eastAsiaTheme="minorEastAsia"/>
        </w:rPr>
        <w:t>月</w:t>
      </w:r>
      <w:r>
        <w:rPr>
          <w:rFonts w:eastAsiaTheme="minorEastAsia"/>
        </w:rPr>
        <w:t>29</w:t>
      </w:r>
      <w:r>
        <w:rPr>
          <w:rFonts w:hint="eastAsia" w:eastAsiaTheme="minorEastAsia"/>
        </w:rPr>
        <w:t>日修正并施行）；</w:t>
      </w:r>
    </w:p>
    <w:p>
      <w:pPr>
        <w:pStyle w:val="99"/>
        <w:widowControl w:val="0"/>
        <w:numPr>
          <w:ilvl w:val="0"/>
          <w:numId w:val="8"/>
        </w:numPr>
        <w:ind w:firstLineChars="0"/>
        <w:jc w:val="both"/>
        <w:rPr>
          <w:rFonts w:eastAsiaTheme="minorEastAsia"/>
        </w:rPr>
      </w:pPr>
      <w:r>
        <w:rPr>
          <w:rFonts w:hint="eastAsia" w:eastAsiaTheme="minorEastAsia"/>
        </w:rPr>
        <w:t>《中华人民共和国固体废物污染环境防治法》（2016年11月7日修正版）；</w:t>
      </w:r>
    </w:p>
    <w:p>
      <w:pPr>
        <w:pStyle w:val="99"/>
        <w:widowControl w:val="0"/>
        <w:numPr>
          <w:ilvl w:val="0"/>
          <w:numId w:val="8"/>
        </w:numPr>
        <w:ind w:firstLineChars="0"/>
        <w:jc w:val="both"/>
        <w:rPr>
          <w:rFonts w:eastAsiaTheme="minorEastAsia"/>
        </w:rPr>
      </w:pPr>
      <w:r>
        <w:rPr>
          <w:rFonts w:hint="eastAsia" w:eastAsiaTheme="minorEastAsia"/>
        </w:rPr>
        <w:t>《中华人民共和国清洁生产促进法》（2012年2月29日修正，2012年7月1日施行）；</w:t>
      </w:r>
    </w:p>
    <w:p>
      <w:pPr>
        <w:pStyle w:val="99"/>
        <w:widowControl w:val="0"/>
        <w:numPr>
          <w:ilvl w:val="0"/>
          <w:numId w:val="8"/>
        </w:numPr>
        <w:ind w:firstLineChars="0"/>
        <w:jc w:val="both"/>
        <w:rPr>
          <w:rFonts w:eastAsiaTheme="minorEastAsia"/>
        </w:rPr>
      </w:pPr>
      <w:bookmarkStart w:id="41" w:name="_Hlk3478862"/>
      <w:r>
        <w:rPr>
          <w:rFonts w:hint="eastAsia" w:eastAsiaTheme="minorEastAsia"/>
        </w:rPr>
        <w:t>《中华人民共和国安全生产法》（2014年8月31日修订，2014年12月1日施行）；</w:t>
      </w:r>
    </w:p>
    <w:bookmarkEnd w:id="41"/>
    <w:p>
      <w:pPr>
        <w:pStyle w:val="99"/>
        <w:widowControl w:val="0"/>
        <w:numPr>
          <w:ilvl w:val="0"/>
          <w:numId w:val="8"/>
        </w:numPr>
        <w:ind w:firstLineChars="0"/>
        <w:jc w:val="both"/>
        <w:rPr>
          <w:rFonts w:eastAsiaTheme="minorEastAsia"/>
        </w:rPr>
      </w:pPr>
      <w:r>
        <w:rPr>
          <w:rFonts w:hint="eastAsia" w:eastAsiaTheme="minorEastAsia"/>
        </w:rPr>
        <w:t>《中华人民共和国土地管理法》（2004年8月28日第二次修正）；</w:t>
      </w:r>
    </w:p>
    <w:p>
      <w:pPr>
        <w:pStyle w:val="99"/>
        <w:widowControl w:val="0"/>
        <w:numPr>
          <w:ilvl w:val="0"/>
          <w:numId w:val="8"/>
        </w:numPr>
        <w:ind w:firstLineChars="0"/>
        <w:jc w:val="both"/>
        <w:rPr>
          <w:rFonts w:eastAsiaTheme="minorEastAsia"/>
        </w:rPr>
      </w:pPr>
      <w:r>
        <w:rPr>
          <w:rFonts w:hint="eastAsia" w:eastAsiaTheme="minorEastAsia"/>
        </w:rPr>
        <w:t>《建设项目环境保护管理条例》（国务院令第682号，2017年10月1日施行）；</w:t>
      </w:r>
    </w:p>
    <w:p>
      <w:pPr>
        <w:pStyle w:val="99"/>
        <w:widowControl w:val="0"/>
        <w:numPr>
          <w:ilvl w:val="0"/>
          <w:numId w:val="8"/>
        </w:numPr>
        <w:ind w:firstLineChars="0"/>
        <w:jc w:val="both"/>
        <w:rPr>
          <w:rFonts w:eastAsiaTheme="minorEastAsia"/>
        </w:rPr>
      </w:pPr>
      <w:r>
        <w:rPr>
          <w:rFonts w:hint="eastAsia" w:eastAsiaTheme="minorEastAsia"/>
        </w:rPr>
        <w:t>《危险化学品安全管理条例》（国务院令第</w:t>
      </w:r>
      <w:r>
        <w:rPr>
          <w:rFonts w:eastAsiaTheme="minorEastAsia"/>
        </w:rPr>
        <w:t>645</w:t>
      </w:r>
      <w:r>
        <w:rPr>
          <w:rFonts w:hint="eastAsia" w:eastAsiaTheme="minorEastAsia"/>
        </w:rPr>
        <w:t>号，2013年12月7日修正）。</w:t>
      </w:r>
    </w:p>
    <w:p>
      <w:pPr>
        <w:pStyle w:val="5"/>
      </w:pPr>
      <w:r>
        <w:rPr>
          <w:rFonts w:hint="eastAsia"/>
        </w:rPr>
        <w:t>部门规章</w:t>
      </w:r>
    </w:p>
    <w:p>
      <w:pPr>
        <w:pStyle w:val="99"/>
        <w:widowControl w:val="0"/>
        <w:numPr>
          <w:ilvl w:val="0"/>
          <w:numId w:val="9"/>
        </w:numPr>
        <w:ind w:firstLineChars="0"/>
        <w:jc w:val="both"/>
        <w:rPr>
          <w:rFonts w:eastAsiaTheme="minorEastAsia"/>
        </w:rPr>
      </w:pPr>
      <w:r>
        <w:rPr>
          <w:rFonts w:hint="eastAsia" w:eastAsiaTheme="minorEastAsia"/>
        </w:rPr>
        <w:t>《建设项目环境影响评价分类管理名录》（环境保护部令第44号，2017年9月1日施行）；</w:t>
      </w:r>
    </w:p>
    <w:p>
      <w:pPr>
        <w:pStyle w:val="99"/>
        <w:widowControl w:val="0"/>
        <w:numPr>
          <w:ilvl w:val="0"/>
          <w:numId w:val="9"/>
        </w:numPr>
        <w:ind w:firstLineChars="0"/>
        <w:jc w:val="both"/>
        <w:rPr>
          <w:rFonts w:eastAsiaTheme="minorEastAsia"/>
        </w:rPr>
      </w:pPr>
      <w:r>
        <w:rPr>
          <w:rFonts w:hint="eastAsia" w:eastAsiaTheme="minorEastAsia"/>
        </w:rPr>
        <w:t>《关于修改&lt;建设项目环境影响评价分类管理名录&gt;部分内容的决定》（生态环境部令第1号，2018年4月28日施行）；</w:t>
      </w:r>
    </w:p>
    <w:p>
      <w:pPr>
        <w:pStyle w:val="99"/>
        <w:widowControl w:val="0"/>
        <w:numPr>
          <w:ilvl w:val="0"/>
          <w:numId w:val="9"/>
        </w:numPr>
        <w:ind w:firstLineChars="0"/>
        <w:jc w:val="both"/>
        <w:rPr>
          <w:rFonts w:eastAsiaTheme="minorEastAsia"/>
        </w:rPr>
      </w:pPr>
      <w:r>
        <w:rPr>
          <w:rFonts w:hint="eastAsia" w:eastAsiaTheme="minorEastAsia"/>
        </w:rPr>
        <w:t>《国家危险废物名录》（环境保护部 国家发展和改革委员会 公安部令第39号，2016年8月1日起实施）；</w:t>
      </w:r>
    </w:p>
    <w:p>
      <w:pPr>
        <w:pStyle w:val="99"/>
        <w:widowControl w:val="0"/>
        <w:numPr>
          <w:ilvl w:val="0"/>
          <w:numId w:val="9"/>
        </w:numPr>
        <w:ind w:firstLineChars="0"/>
        <w:jc w:val="both"/>
        <w:rPr>
          <w:rFonts w:eastAsiaTheme="minorEastAsia"/>
        </w:rPr>
      </w:pPr>
      <w:r>
        <w:rPr>
          <w:rFonts w:hint="eastAsia" w:eastAsiaTheme="minorEastAsia"/>
        </w:rPr>
        <w:t>《危险化学品目录（2015版）实施指南（试行）》（安监总厅管三〔2015〕80号）；</w:t>
      </w:r>
    </w:p>
    <w:p>
      <w:pPr>
        <w:pStyle w:val="99"/>
        <w:widowControl w:val="0"/>
        <w:numPr>
          <w:ilvl w:val="0"/>
          <w:numId w:val="9"/>
        </w:numPr>
        <w:ind w:firstLineChars="0"/>
        <w:jc w:val="both"/>
        <w:rPr>
          <w:rFonts w:eastAsiaTheme="minorEastAsia"/>
        </w:rPr>
      </w:pPr>
      <w:r>
        <w:rPr>
          <w:rFonts w:hint="eastAsia" w:eastAsiaTheme="minorEastAsia"/>
        </w:rPr>
        <w:t>《环境影响评价公众参与管理办法》（环发〔2006〕28号）；</w:t>
      </w:r>
    </w:p>
    <w:p>
      <w:pPr>
        <w:pStyle w:val="99"/>
        <w:widowControl w:val="0"/>
        <w:numPr>
          <w:ilvl w:val="0"/>
          <w:numId w:val="9"/>
        </w:numPr>
        <w:ind w:firstLineChars="0"/>
        <w:jc w:val="both"/>
        <w:rPr>
          <w:rFonts w:eastAsiaTheme="minorEastAsia"/>
        </w:rPr>
      </w:pPr>
      <w:r>
        <w:rPr>
          <w:rFonts w:hint="eastAsia" w:eastAsiaTheme="minorEastAsia"/>
        </w:rPr>
        <w:t>《关于进一步加强环境影响评价管理防范环境风险的通知》（环发〔2012〕77号）；</w:t>
      </w:r>
    </w:p>
    <w:p>
      <w:pPr>
        <w:pStyle w:val="99"/>
        <w:widowControl w:val="0"/>
        <w:numPr>
          <w:ilvl w:val="0"/>
          <w:numId w:val="9"/>
        </w:numPr>
        <w:ind w:firstLineChars="0"/>
        <w:jc w:val="both"/>
        <w:rPr>
          <w:rFonts w:eastAsiaTheme="minorEastAsia"/>
        </w:rPr>
      </w:pPr>
      <w:r>
        <w:rPr>
          <w:rFonts w:hint="eastAsia" w:eastAsiaTheme="minorEastAsia"/>
        </w:rPr>
        <w:t>《关于切实加强风险防护严格环境影响评价管理的通知》（环发〔2012〕号）；</w:t>
      </w:r>
    </w:p>
    <w:p>
      <w:pPr>
        <w:pStyle w:val="99"/>
        <w:widowControl w:val="0"/>
        <w:numPr>
          <w:ilvl w:val="0"/>
          <w:numId w:val="9"/>
        </w:numPr>
        <w:ind w:firstLineChars="0"/>
        <w:jc w:val="both"/>
        <w:rPr>
          <w:rFonts w:eastAsiaTheme="minorEastAsia"/>
        </w:rPr>
      </w:pPr>
      <w:r>
        <w:rPr>
          <w:rFonts w:hint="eastAsia" w:eastAsiaTheme="minorEastAsia"/>
        </w:rPr>
        <w:t>《建设项目主要污染物排放总量指标审核及管理暂行办法》（环发〔2014〕第197号）；</w:t>
      </w:r>
    </w:p>
    <w:p>
      <w:pPr>
        <w:pStyle w:val="99"/>
        <w:widowControl w:val="0"/>
        <w:numPr>
          <w:ilvl w:val="0"/>
          <w:numId w:val="9"/>
        </w:numPr>
        <w:ind w:firstLineChars="0"/>
        <w:jc w:val="both"/>
        <w:rPr>
          <w:rFonts w:eastAsiaTheme="minorEastAsia"/>
        </w:rPr>
      </w:pPr>
      <w:r>
        <w:rPr>
          <w:rFonts w:hint="eastAsia" w:eastAsiaTheme="minorEastAsia"/>
        </w:rPr>
        <w:t>《</w:t>
      </w:r>
      <w:r>
        <w:rPr>
          <w:rFonts w:eastAsiaTheme="minorEastAsia"/>
        </w:rPr>
        <w:t>国务院关于印发水污染防治行动计划的通知</w:t>
      </w:r>
      <w:r>
        <w:rPr>
          <w:rFonts w:hint="eastAsia" w:eastAsiaTheme="minorEastAsia"/>
        </w:rPr>
        <w:t>》（国发〔2015〕17号，2015年4月2日）；</w:t>
      </w:r>
    </w:p>
    <w:p>
      <w:pPr>
        <w:pStyle w:val="99"/>
        <w:widowControl w:val="0"/>
        <w:numPr>
          <w:ilvl w:val="0"/>
          <w:numId w:val="9"/>
        </w:numPr>
        <w:ind w:firstLineChars="0"/>
        <w:jc w:val="both"/>
        <w:rPr>
          <w:rFonts w:eastAsiaTheme="minorEastAsia"/>
        </w:rPr>
      </w:pPr>
      <w:r>
        <w:rPr>
          <w:rFonts w:eastAsiaTheme="minorEastAsia"/>
        </w:rPr>
        <w:t>《控制污染物排放许可制实施方案》</w:t>
      </w:r>
      <w:r>
        <w:rPr>
          <w:rFonts w:hint="eastAsia" w:eastAsiaTheme="minorEastAsia"/>
        </w:rPr>
        <w:t>（</w:t>
      </w:r>
      <w:r>
        <w:rPr>
          <w:rFonts w:eastAsiaTheme="minorEastAsia"/>
        </w:rPr>
        <w:t>国办发</w:t>
      </w:r>
      <w:r>
        <w:rPr>
          <w:rFonts w:hint="eastAsia" w:eastAsiaTheme="minorEastAsia"/>
        </w:rPr>
        <w:t>〔</w:t>
      </w:r>
      <w:r>
        <w:rPr>
          <w:rFonts w:eastAsiaTheme="minorEastAsia"/>
        </w:rPr>
        <w:t>2016</w:t>
      </w:r>
      <w:r>
        <w:rPr>
          <w:rFonts w:hint="eastAsia" w:eastAsiaTheme="minorEastAsia"/>
        </w:rPr>
        <w:t>〕</w:t>
      </w:r>
      <w:r>
        <w:rPr>
          <w:rFonts w:eastAsiaTheme="minorEastAsia"/>
        </w:rPr>
        <w:t>81号</w:t>
      </w:r>
      <w:r>
        <w:rPr>
          <w:rFonts w:hint="eastAsia" w:eastAsiaTheme="minorEastAsia"/>
        </w:rPr>
        <w:t>，2016年11月10日）。</w:t>
      </w:r>
    </w:p>
    <w:p>
      <w:pPr>
        <w:pStyle w:val="5"/>
      </w:pPr>
      <w:r>
        <w:t>地方</w:t>
      </w:r>
      <w:r>
        <w:rPr>
          <w:rFonts w:hint="eastAsia"/>
        </w:rPr>
        <w:t>法律法规</w:t>
      </w:r>
    </w:p>
    <w:bookmarkEnd w:id="39"/>
    <w:bookmarkEnd w:id="40"/>
    <w:p>
      <w:pPr>
        <w:pStyle w:val="99"/>
        <w:numPr>
          <w:ilvl w:val="0"/>
          <w:numId w:val="10"/>
        </w:numPr>
        <w:ind w:firstLine="480" w:firstLineChars="0"/>
      </w:pPr>
      <w:r>
        <w:rPr>
          <w:rFonts w:hint="eastAsia"/>
        </w:rPr>
        <w:t>《广东省环境保护条例》（2018.11.29第三次修正并施行）；</w:t>
      </w:r>
    </w:p>
    <w:p>
      <w:pPr>
        <w:pStyle w:val="99"/>
        <w:numPr>
          <w:ilvl w:val="0"/>
          <w:numId w:val="11"/>
        </w:numPr>
        <w:ind w:firstLine="480" w:firstLineChars="0"/>
      </w:pPr>
      <w:r>
        <w:rPr>
          <w:rFonts w:hint="eastAsia"/>
        </w:rPr>
        <w:t>《广东省大气污染防治条例》（2018.11.29公布，2019.3.1起施行）；</w:t>
      </w:r>
    </w:p>
    <w:p>
      <w:pPr>
        <w:pStyle w:val="99"/>
        <w:numPr>
          <w:ilvl w:val="0"/>
          <w:numId w:val="11"/>
        </w:numPr>
        <w:ind w:firstLine="480" w:firstLineChars="0"/>
      </w:pPr>
      <w:r>
        <w:rPr>
          <w:rFonts w:hint="eastAsia"/>
        </w:rPr>
        <w:t>《广东省固体废物污染环境防治条例》（2018.11.29修订，2019.3.1起施行）；</w:t>
      </w:r>
    </w:p>
    <w:p>
      <w:pPr>
        <w:pStyle w:val="99"/>
        <w:numPr>
          <w:ilvl w:val="0"/>
          <w:numId w:val="11"/>
        </w:numPr>
        <w:ind w:firstLine="480" w:firstLineChars="0"/>
      </w:pPr>
      <w:r>
        <w:rPr>
          <w:rFonts w:hint="eastAsia"/>
        </w:rPr>
        <w:t>《广东省实施</w:t>
      </w:r>
      <w:r>
        <w:t>〈</w:t>
      </w:r>
      <w:r>
        <w:rPr>
          <w:rFonts w:hint="eastAsia"/>
        </w:rPr>
        <w:t>中华人民共和国环境噪声污染防治法</w:t>
      </w:r>
      <w:r>
        <w:t>〉</w:t>
      </w:r>
      <w:r>
        <w:rPr>
          <w:rFonts w:hint="eastAsia"/>
        </w:rPr>
        <w:t>办法》（2018.11.29第三次修正并施行）；</w:t>
      </w:r>
    </w:p>
    <w:p>
      <w:pPr>
        <w:pStyle w:val="99"/>
        <w:numPr>
          <w:ilvl w:val="0"/>
          <w:numId w:val="11"/>
        </w:numPr>
        <w:ind w:firstLine="480" w:firstLineChars="0"/>
      </w:pPr>
      <w:r>
        <w:rPr>
          <w:rFonts w:hint="eastAsia"/>
        </w:rPr>
        <w:t>《广东省实施〈中华人民共和国海洋环境保护法〉办法》（2018.11.29修正并施行）；</w:t>
      </w:r>
    </w:p>
    <w:p>
      <w:pPr>
        <w:pStyle w:val="99"/>
        <w:numPr>
          <w:ilvl w:val="0"/>
          <w:numId w:val="11"/>
        </w:numPr>
        <w:ind w:firstLine="480" w:firstLineChars="0"/>
      </w:pPr>
      <w:r>
        <w:rPr>
          <w:rFonts w:hint="eastAsia"/>
        </w:rPr>
        <w:t>《广东省实施〈中华人民共和国土壤污染防治法〉办法》（2018.11.29公布，2019.3.1起施行）；</w:t>
      </w:r>
    </w:p>
    <w:p>
      <w:pPr>
        <w:pStyle w:val="99"/>
        <w:numPr>
          <w:ilvl w:val="0"/>
          <w:numId w:val="11"/>
        </w:numPr>
        <w:ind w:firstLine="480" w:firstLineChars="0"/>
      </w:pPr>
      <w:r>
        <w:rPr>
          <w:rFonts w:hint="eastAsia"/>
        </w:rPr>
        <w:t>《广东省实施〈中华人民共和国水法〉办法》（2014.11.26第一次修订，2015.1.1起施行）；</w:t>
      </w:r>
    </w:p>
    <w:p>
      <w:pPr>
        <w:pStyle w:val="99"/>
        <w:numPr>
          <w:ilvl w:val="0"/>
          <w:numId w:val="11"/>
        </w:numPr>
        <w:ind w:firstLine="480" w:firstLineChars="0"/>
      </w:pPr>
      <w:r>
        <w:rPr>
          <w:rFonts w:hint="eastAsia"/>
        </w:rPr>
        <w:t>《广东省实施〈中华人民共和国文物保护法〉办法》（2014.9.25修正）；</w:t>
      </w:r>
    </w:p>
    <w:p>
      <w:pPr>
        <w:pStyle w:val="99"/>
        <w:numPr>
          <w:ilvl w:val="0"/>
          <w:numId w:val="11"/>
        </w:numPr>
        <w:ind w:firstLine="480" w:firstLineChars="0"/>
      </w:pPr>
      <w:r>
        <w:rPr>
          <w:rFonts w:hint="eastAsia"/>
        </w:rPr>
        <w:t>广东省实施《中华人民共和国土地管理法》办法（2008.11.28修正）；</w:t>
      </w:r>
    </w:p>
    <w:p>
      <w:pPr>
        <w:pStyle w:val="99"/>
        <w:numPr>
          <w:ilvl w:val="0"/>
          <w:numId w:val="11"/>
        </w:numPr>
        <w:ind w:firstLine="480" w:firstLineChars="0"/>
      </w:pPr>
      <w:r>
        <w:rPr>
          <w:rFonts w:hint="eastAsia"/>
        </w:rPr>
        <w:t>《广东省珠江三角洲大气污染防治办法》（粤府令第134号）。</w:t>
      </w:r>
    </w:p>
    <w:p>
      <w:pPr>
        <w:pStyle w:val="5"/>
      </w:pPr>
      <w:bookmarkStart w:id="42" w:name="_Toc372891280"/>
      <w:bookmarkStart w:id="43" w:name="_Toc346542778"/>
      <w:bookmarkStart w:id="44" w:name="_Toc419100818"/>
      <w:r>
        <w:rPr>
          <w:rFonts w:hint="eastAsia"/>
        </w:rPr>
        <w:t>相关政策</w:t>
      </w:r>
      <w:r>
        <w:t>及规划</w:t>
      </w:r>
    </w:p>
    <w:p>
      <w:pPr>
        <w:numPr>
          <w:ilvl w:val="0"/>
          <w:numId w:val="12"/>
        </w:numPr>
        <w:ind w:firstLine="480"/>
        <w:rPr>
          <w:rFonts w:eastAsiaTheme="minorEastAsia"/>
        </w:rPr>
      </w:pPr>
      <w:r>
        <w:rPr>
          <w:rFonts w:eastAsiaTheme="minorEastAsia"/>
        </w:rPr>
        <w:t>《挥发性有机物（VOCs）污染防治技术政策》（</w:t>
      </w:r>
      <w:r>
        <w:rPr>
          <w:rFonts w:hint="eastAsia" w:eastAsiaTheme="minorEastAsia"/>
        </w:rPr>
        <w:t>环保部</w:t>
      </w:r>
      <w:r>
        <w:rPr>
          <w:rFonts w:eastAsiaTheme="minorEastAsia"/>
        </w:rPr>
        <w:t>公告2013年第31号</w:t>
      </w:r>
      <w:r>
        <w:rPr>
          <w:rFonts w:hint="eastAsia" w:eastAsiaTheme="minorEastAsia"/>
        </w:rPr>
        <w:t xml:space="preserve"> 2013-05-24实施</w:t>
      </w:r>
      <w:r>
        <w:rPr>
          <w:rFonts w:eastAsiaTheme="minorEastAsia"/>
        </w:rPr>
        <w:t>）</w:t>
      </w:r>
      <w:r>
        <w:rPr>
          <w:rFonts w:hint="eastAsia" w:eastAsiaTheme="minorEastAsia"/>
        </w:rPr>
        <w:t>；</w:t>
      </w:r>
    </w:p>
    <w:p>
      <w:pPr>
        <w:numPr>
          <w:ilvl w:val="0"/>
          <w:numId w:val="12"/>
        </w:numPr>
        <w:ind w:firstLine="480"/>
        <w:rPr>
          <w:rFonts w:eastAsiaTheme="minorEastAsia"/>
        </w:rPr>
      </w:pPr>
      <w:r>
        <w:rPr>
          <w:rFonts w:hint="eastAsia" w:eastAsiaTheme="minorEastAsia"/>
        </w:rPr>
        <w:t>《广东省人民政府关于南粤水更清行动计划（</w:t>
      </w:r>
      <w:r>
        <w:rPr>
          <w:rFonts w:eastAsiaTheme="minorEastAsia"/>
        </w:rPr>
        <w:t>201</w:t>
      </w:r>
      <w:r>
        <w:rPr>
          <w:rFonts w:hint="eastAsia" w:eastAsiaTheme="minorEastAsia"/>
        </w:rPr>
        <w:t>7</w:t>
      </w:r>
      <w:r>
        <w:rPr>
          <w:rFonts w:eastAsiaTheme="minorEastAsia"/>
        </w:rPr>
        <w:t>-2020</w:t>
      </w:r>
      <w:r>
        <w:rPr>
          <w:rFonts w:hint="eastAsia" w:eastAsiaTheme="minorEastAsia"/>
        </w:rPr>
        <w:t>）修订本的批复》（粤府函〔2017〕123号）；</w:t>
      </w:r>
    </w:p>
    <w:p>
      <w:pPr>
        <w:numPr>
          <w:ilvl w:val="0"/>
          <w:numId w:val="12"/>
        </w:numPr>
        <w:ind w:firstLine="480"/>
        <w:rPr>
          <w:rFonts w:eastAsiaTheme="minorEastAsia"/>
        </w:rPr>
      </w:pPr>
      <w:r>
        <w:rPr>
          <w:rFonts w:hint="eastAsia" w:eastAsiaTheme="minorEastAsia"/>
        </w:rPr>
        <w:t>《印发广东省珠江三角洲清洁空气行动计划的通知》（粤环发</w:t>
      </w:r>
      <w:r>
        <w:rPr>
          <w:rFonts w:eastAsiaTheme="minorEastAsia"/>
        </w:rPr>
        <w:t>〔2010〕18</w:t>
      </w:r>
      <w:r>
        <w:rPr>
          <w:rFonts w:hint="eastAsia" w:eastAsiaTheme="minorEastAsia"/>
        </w:rPr>
        <w:t>号）；</w:t>
      </w:r>
    </w:p>
    <w:p>
      <w:pPr>
        <w:numPr>
          <w:ilvl w:val="0"/>
          <w:numId w:val="12"/>
        </w:numPr>
        <w:ind w:firstLine="480"/>
        <w:rPr>
          <w:rFonts w:eastAsiaTheme="minorEastAsia"/>
        </w:rPr>
      </w:pPr>
      <w:r>
        <w:rPr>
          <w:rFonts w:hint="eastAsia" w:eastAsiaTheme="minorEastAsia"/>
        </w:rPr>
        <w:t>《关于印发广东省主体功能区规划的配套环保政策的通知》（粤环〔</w:t>
      </w:r>
      <w:r>
        <w:rPr>
          <w:rFonts w:eastAsiaTheme="minorEastAsia"/>
        </w:rPr>
        <w:t>2014〕7</w:t>
      </w:r>
      <w:r>
        <w:rPr>
          <w:rFonts w:hint="eastAsia" w:eastAsiaTheme="minorEastAsia"/>
        </w:rPr>
        <w:t>号）；</w:t>
      </w:r>
    </w:p>
    <w:p>
      <w:pPr>
        <w:numPr>
          <w:ilvl w:val="0"/>
          <w:numId w:val="12"/>
        </w:numPr>
        <w:ind w:firstLine="480"/>
        <w:rPr>
          <w:rFonts w:eastAsiaTheme="minorEastAsia"/>
        </w:rPr>
      </w:pPr>
      <w:r>
        <w:rPr>
          <w:rFonts w:hint="eastAsia" w:eastAsiaTheme="minorEastAsia"/>
        </w:rPr>
        <w:t>《关于印发广东省污染源排污口规范化设置导则的通知》（粤环〔2008〕42号）；</w:t>
      </w:r>
    </w:p>
    <w:p>
      <w:pPr>
        <w:numPr>
          <w:ilvl w:val="0"/>
          <w:numId w:val="12"/>
        </w:numPr>
        <w:ind w:firstLine="480"/>
        <w:rPr>
          <w:rFonts w:eastAsiaTheme="minorEastAsia"/>
        </w:rPr>
      </w:pPr>
      <w:r>
        <w:rPr>
          <w:rFonts w:hint="eastAsia" w:eastAsiaTheme="minorEastAsia"/>
        </w:rPr>
        <w:t>《关于珠江三角洲地区严格控制工业企业挥发性有机物排放意见的函》（粤环〔20</w:t>
      </w:r>
      <w:r>
        <w:rPr>
          <w:rFonts w:eastAsiaTheme="minorEastAsia"/>
        </w:rPr>
        <w:t>12</w:t>
      </w:r>
      <w:r>
        <w:rPr>
          <w:rFonts w:hint="eastAsia" w:eastAsiaTheme="minorEastAsia"/>
        </w:rPr>
        <w:t>〕18号）；</w:t>
      </w:r>
    </w:p>
    <w:p>
      <w:pPr>
        <w:numPr>
          <w:ilvl w:val="0"/>
          <w:numId w:val="12"/>
        </w:numPr>
        <w:ind w:firstLine="480"/>
        <w:rPr>
          <w:rFonts w:eastAsiaTheme="minorEastAsia"/>
        </w:rPr>
      </w:pPr>
      <w:r>
        <w:rPr>
          <w:rFonts w:hint="eastAsia" w:eastAsiaTheme="minorEastAsia"/>
        </w:rPr>
        <w:t>《广东省环境广东省挥发性有机物（VOCs）整治与减排工作方案（2018-2020）》（粤环发〔2018〕6号）；</w:t>
      </w:r>
    </w:p>
    <w:p>
      <w:pPr>
        <w:numPr>
          <w:ilvl w:val="0"/>
          <w:numId w:val="12"/>
        </w:numPr>
        <w:ind w:firstLine="480"/>
        <w:rPr>
          <w:rFonts w:eastAsiaTheme="minorEastAsia"/>
        </w:rPr>
      </w:pPr>
      <w:r>
        <w:rPr>
          <w:rFonts w:hint="eastAsia" w:eastAsiaTheme="minorEastAsia"/>
        </w:rPr>
        <w:t>《关于发布广东省环境保护厅审批环境影响报告书（表）的建设项目名录（</w:t>
      </w:r>
      <w:r>
        <w:rPr>
          <w:rFonts w:eastAsiaTheme="minorEastAsia"/>
        </w:rPr>
        <w:t>2017</w:t>
      </w:r>
      <w:r>
        <w:rPr>
          <w:rFonts w:hint="eastAsia" w:eastAsiaTheme="minorEastAsia"/>
        </w:rPr>
        <w:t>年本）的通知》（粤环〔</w:t>
      </w:r>
      <w:r>
        <w:rPr>
          <w:rFonts w:eastAsiaTheme="minorEastAsia"/>
        </w:rPr>
        <w:t>2017</w:t>
      </w:r>
      <w:r>
        <w:rPr>
          <w:rFonts w:hint="eastAsia" w:eastAsiaTheme="minorEastAsia"/>
        </w:rPr>
        <w:t>〕</w:t>
      </w:r>
      <w:r>
        <w:rPr>
          <w:rFonts w:eastAsiaTheme="minorEastAsia"/>
        </w:rPr>
        <w:t>45</w:t>
      </w:r>
      <w:r>
        <w:rPr>
          <w:rFonts w:hint="eastAsia" w:eastAsiaTheme="minorEastAsia"/>
        </w:rPr>
        <w:t>号）</w:t>
      </w:r>
      <w:r>
        <w:rPr>
          <w:rFonts w:eastAsiaTheme="minorEastAsia"/>
        </w:rPr>
        <w:t>；</w:t>
      </w:r>
    </w:p>
    <w:p>
      <w:pPr>
        <w:numPr>
          <w:ilvl w:val="0"/>
          <w:numId w:val="12"/>
        </w:numPr>
        <w:ind w:firstLine="480"/>
        <w:rPr>
          <w:rFonts w:eastAsiaTheme="minorEastAsia"/>
        </w:rPr>
      </w:pPr>
      <w:r>
        <w:rPr>
          <w:rFonts w:eastAsiaTheme="minorEastAsia"/>
        </w:rPr>
        <w:t>《促进产业结构调整暂行规定》（2005年11月9日国务院第112次常务会议审议通过，国发〔2005〕第40号，2005年12月2日发布）；</w:t>
      </w:r>
    </w:p>
    <w:p>
      <w:pPr>
        <w:numPr>
          <w:ilvl w:val="0"/>
          <w:numId w:val="12"/>
        </w:numPr>
        <w:ind w:firstLine="480"/>
        <w:rPr>
          <w:rFonts w:eastAsiaTheme="minorEastAsia"/>
        </w:rPr>
      </w:pPr>
      <w:r>
        <w:rPr>
          <w:rFonts w:eastAsiaTheme="minorEastAsia"/>
        </w:rPr>
        <w:t>《产业结构调整指导目录（2011年本）》（中华人民共和国国家发展和改革委员会令第9号，2011年3月27日）；</w:t>
      </w:r>
    </w:p>
    <w:p>
      <w:pPr>
        <w:numPr>
          <w:ilvl w:val="0"/>
          <w:numId w:val="12"/>
        </w:numPr>
        <w:ind w:firstLine="480"/>
        <w:rPr>
          <w:rFonts w:eastAsiaTheme="minorEastAsia"/>
        </w:rPr>
      </w:pPr>
      <w:r>
        <w:rPr>
          <w:rFonts w:eastAsiaTheme="minorEastAsia"/>
        </w:rPr>
        <w:t>《关于修改&lt;产业结构调整指导目录</w:t>
      </w:r>
      <w:r>
        <w:rPr>
          <w:rFonts w:hint="eastAsia" w:eastAsiaTheme="minorEastAsia"/>
        </w:rPr>
        <w:t>（</w:t>
      </w:r>
      <w:r>
        <w:rPr>
          <w:rFonts w:eastAsiaTheme="minorEastAsia"/>
        </w:rPr>
        <w:t>2011</w:t>
      </w:r>
      <w:r>
        <w:rPr>
          <w:rFonts w:hint="eastAsia" w:eastAsiaTheme="minorEastAsia"/>
        </w:rPr>
        <w:t>）</w:t>
      </w:r>
      <w:r>
        <w:rPr>
          <w:rFonts w:eastAsiaTheme="minorEastAsia"/>
        </w:rPr>
        <w:t>年本&gt;有关条款的决定》（中华人民共和国国家发展和改革委员会令第21号，201</w:t>
      </w:r>
      <w:r>
        <w:rPr>
          <w:rFonts w:hint="eastAsia" w:eastAsiaTheme="minorEastAsia"/>
        </w:rPr>
        <w:t>3</w:t>
      </w:r>
      <w:r>
        <w:rPr>
          <w:rFonts w:eastAsiaTheme="minorEastAsia"/>
        </w:rPr>
        <w:t>年2月16日）；</w:t>
      </w:r>
    </w:p>
    <w:p>
      <w:pPr>
        <w:numPr>
          <w:ilvl w:val="0"/>
          <w:numId w:val="12"/>
        </w:numPr>
        <w:ind w:firstLine="480"/>
        <w:rPr>
          <w:rFonts w:eastAsiaTheme="minorEastAsia"/>
        </w:rPr>
      </w:pPr>
      <w:r>
        <w:rPr>
          <w:rFonts w:eastAsiaTheme="minorEastAsia"/>
        </w:rPr>
        <w:t>《广东省产业结构调整指导目录（2007年本）》（2008年1月14日广东省人民政府第十届132次常务会议通过，2008年3月17日广东省发展和改革委员会发布）；</w:t>
      </w:r>
    </w:p>
    <w:p>
      <w:pPr>
        <w:numPr>
          <w:ilvl w:val="0"/>
          <w:numId w:val="12"/>
        </w:numPr>
        <w:ind w:firstLine="480"/>
        <w:rPr>
          <w:rFonts w:cs="Times New Roman" w:eastAsiaTheme="minorEastAsia"/>
        </w:rPr>
      </w:pPr>
      <w:r>
        <w:rPr>
          <w:rFonts w:eastAsiaTheme="minorEastAsia"/>
        </w:rPr>
        <w:t>《广东省企业投资项目实行清单管理的意见（试行）》（粤府〔2015〕26号，自2015年3月1日起实施）；</w:t>
      </w:r>
    </w:p>
    <w:p>
      <w:pPr>
        <w:numPr>
          <w:ilvl w:val="0"/>
          <w:numId w:val="12"/>
        </w:numPr>
        <w:ind w:firstLine="480"/>
        <w:rPr>
          <w:rFonts w:eastAsiaTheme="minorEastAsia"/>
        </w:rPr>
      </w:pPr>
      <w:r>
        <w:rPr>
          <w:rFonts w:eastAsiaTheme="minorEastAsia"/>
        </w:rPr>
        <w:t>《江门市投资准入负面清单（2018年本）》</w:t>
      </w:r>
      <w:r>
        <w:rPr>
          <w:rFonts w:hint="eastAsia" w:eastAsiaTheme="minorEastAsia"/>
        </w:rPr>
        <w:t>（江府〔2018〕20号）；</w:t>
      </w:r>
    </w:p>
    <w:p>
      <w:pPr>
        <w:numPr>
          <w:ilvl w:val="0"/>
          <w:numId w:val="12"/>
        </w:numPr>
        <w:ind w:firstLine="480"/>
        <w:rPr>
          <w:rFonts w:eastAsiaTheme="minorEastAsia"/>
        </w:rPr>
      </w:pPr>
      <w:r>
        <w:rPr>
          <w:rFonts w:hint="eastAsia" w:eastAsiaTheme="minorEastAsia"/>
        </w:rPr>
        <w:t>《广东省国民经济和社会发展第十三</w:t>
      </w:r>
      <w:r>
        <w:rPr>
          <w:rFonts w:eastAsiaTheme="minorEastAsia"/>
        </w:rPr>
        <w:t>个五年规划纲要》（</w:t>
      </w:r>
      <w:r>
        <w:rPr>
          <w:rFonts w:hint="eastAsia" w:eastAsiaTheme="minorEastAsia"/>
        </w:rPr>
        <w:t>粤府〔2016〕35号，2016年4月20日</w:t>
      </w:r>
      <w:r>
        <w:rPr>
          <w:rFonts w:eastAsiaTheme="minorEastAsia"/>
        </w:rPr>
        <w:t>）；</w:t>
      </w:r>
    </w:p>
    <w:p>
      <w:pPr>
        <w:numPr>
          <w:ilvl w:val="0"/>
          <w:numId w:val="12"/>
        </w:numPr>
        <w:ind w:firstLine="480"/>
        <w:rPr>
          <w:rFonts w:eastAsiaTheme="minorEastAsia"/>
        </w:rPr>
      </w:pPr>
      <w:r>
        <w:rPr>
          <w:rFonts w:eastAsiaTheme="minorEastAsia"/>
        </w:rPr>
        <w:t>《珠江三角洲地区改革发展规划纲要（2008-2020年）》（国函〔2008〕129号，2008年12月31日）；</w:t>
      </w:r>
    </w:p>
    <w:p>
      <w:pPr>
        <w:numPr>
          <w:ilvl w:val="0"/>
          <w:numId w:val="12"/>
        </w:numPr>
        <w:ind w:firstLine="480"/>
        <w:rPr>
          <w:rFonts w:eastAsiaTheme="minorEastAsia"/>
        </w:rPr>
      </w:pPr>
      <w:r>
        <w:rPr>
          <w:rFonts w:hint="eastAsia" w:eastAsiaTheme="minorEastAsia"/>
        </w:rPr>
        <w:t>《国务院关于印发“十三五”生态环境保护规划的通知》（国发〔2016〕65号，2016年11月24日）；</w:t>
      </w:r>
    </w:p>
    <w:p>
      <w:pPr>
        <w:numPr>
          <w:ilvl w:val="0"/>
          <w:numId w:val="12"/>
        </w:numPr>
        <w:ind w:firstLine="480"/>
        <w:rPr>
          <w:rFonts w:eastAsiaTheme="minorEastAsia"/>
        </w:rPr>
      </w:pPr>
      <w:r>
        <w:rPr>
          <w:rFonts w:eastAsiaTheme="minorEastAsia"/>
        </w:rPr>
        <w:t>《全国地下水污染防治规划(2011-2020年)》(国函〔2011〕119号)</w:t>
      </w:r>
      <w:r>
        <w:rPr>
          <w:rFonts w:hint="eastAsia" w:eastAsiaTheme="minorEastAsia"/>
        </w:rPr>
        <w:t>；</w:t>
      </w:r>
    </w:p>
    <w:p>
      <w:pPr>
        <w:numPr>
          <w:ilvl w:val="0"/>
          <w:numId w:val="12"/>
        </w:numPr>
        <w:ind w:firstLine="480"/>
        <w:rPr>
          <w:rFonts w:eastAsiaTheme="minorEastAsia"/>
        </w:rPr>
      </w:pPr>
      <w:r>
        <w:rPr>
          <w:rFonts w:eastAsiaTheme="minorEastAsia"/>
        </w:rPr>
        <w:t>《广东省主体功能区规划》（粤府〔2012〕120号）；</w:t>
      </w:r>
    </w:p>
    <w:p>
      <w:pPr>
        <w:numPr>
          <w:ilvl w:val="0"/>
          <w:numId w:val="12"/>
        </w:numPr>
        <w:ind w:firstLine="480"/>
        <w:rPr>
          <w:rFonts w:eastAsiaTheme="minorEastAsia"/>
        </w:rPr>
      </w:pPr>
      <w:r>
        <w:rPr>
          <w:rFonts w:eastAsiaTheme="minorEastAsia"/>
        </w:rPr>
        <w:t>《广东省主体功能区产业准入负面清单（2018年本）》（粤发改</w:t>
      </w:r>
      <w:r>
        <w:rPr>
          <w:rFonts w:hint="eastAsia" w:eastAsiaTheme="minorEastAsia"/>
        </w:rPr>
        <w:t>规</w:t>
      </w:r>
      <w:r>
        <w:rPr>
          <w:rFonts w:eastAsiaTheme="minorEastAsia"/>
        </w:rPr>
        <w:t>〔2018〕12号）；</w:t>
      </w:r>
    </w:p>
    <w:p>
      <w:pPr>
        <w:numPr>
          <w:ilvl w:val="0"/>
          <w:numId w:val="12"/>
        </w:numPr>
        <w:ind w:firstLine="480"/>
        <w:rPr>
          <w:rFonts w:eastAsiaTheme="minorEastAsia"/>
        </w:rPr>
      </w:pPr>
      <w:r>
        <w:rPr>
          <w:rFonts w:eastAsiaTheme="minorEastAsia"/>
        </w:rPr>
        <w:t>《广东省环境保护规划纲要(2006-2020年)》；</w:t>
      </w:r>
    </w:p>
    <w:p>
      <w:pPr>
        <w:numPr>
          <w:ilvl w:val="0"/>
          <w:numId w:val="12"/>
        </w:numPr>
        <w:ind w:firstLine="480"/>
        <w:rPr>
          <w:rFonts w:eastAsiaTheme="minorEastAsia"/>
        </w:rPr>
      </w:pPr>
      <w:r>
        <w:rPr>
          <w:rFonts w:eastAsiaTheme="minorEastAsia"/>
        </w:rPr>
        <w:t>《广东省环境保护</w:t>
      </w:r>
      <w:r>
        <w:rPr>
          <w:rFonts w:hint="eastAsia" w:eastAsiaTheme="minorEastAsia"/>
        </w:rPr>
        <w:t>“</w:t>
      </w:r>
      <w:r>
        <w:rPr>
          <w:rFonts w:eastAsiaTheme="minorEastAsia"/>
        </w:rPr>
        <w:t>十三五</w:t>
      </w:r>
      <w:r>
        <w:rPr>
          <w:rFonts w:hint="eastAsia" w:eastAsiaTheme="minorEastAsia"/>
        </w:rPr>
        <w:t>”</w:t>
      </w:r>
      <w:r>
        <w:rPr>
          <w:rFonts w:eastAsiaTheme="minorEastAsia"/>
        </w:rPr>
        <w:t>规划》（粤环〔2016〕51号）；</w:t>
      </w:r>
    </w:p>
    <w:p>
      <w:pPr>
        <w:numPr>
          <w:ilvl w:val="0"/>
          <w:numId w:val="12"/>
        </w:numPr>
        <w:ind w:firstLine="480"/>
        <w:rPr>
          <w:rFonts w:eastAsiaTheme="minorEastAsia"/>
        </w:rPr>
      </w:pPr>
      <w:r>
        <w:rPr>
          <w:rFonts w:eastAsiaTheme="minorEastAsia"/>
        </w:rPr>
        <w:t>《广东省地表水环境功能区划》（粤府函〔2011〕29号，2011年1月30日）；</w:t>
      </w:r>
    </w:p>
    <w:p>
      <w:pPr>
        <w:numPr>
          <w:ilvl w:val="0"/>
          <w:numId w:val="12"/>
        </w:numPr>
        <w:ind w:firstLine="480"/>
        <w:rPr>
          <w:rFonts w:eastAsiaTheme="minorEastAsia"/>
        </w:rPr>
      </w:pPr>
      <w:r>
        <w:rPr>
          <w:rFonts w:eastAsiaTheme="minorEastAsia"/>
        </w:rPr>
        <w:t>《广东省地下水环境功能区划》（粤办函〔2009〕459号，2009年9月）；</w:t>
      </w:r>
    </w:p>
    <w:p>
      <w:pPr>
        <w:numPr>
          <w:ilvl w:val="0"/>
          <w:numId w:val="12"/>
        </w:numPr>
        <w:ind w:firstLine="480"/>
        <w:rPr>
          <w:rFonts w:cs="Times New Roman" w:eastAsiaTheme="minorEastAsia"/>
        </w:rPr>
      </w:pPr>
      <w:r>
        <w:rPr>
          <w:rFonts w:cs="Times New Roman" w:eastAsiaTheme="minorEastAsia"/>
        </w:rPr>
        <w:t>《广东省地下水保护与利用规划》(粤水资源函〔2011〕377号)；</w:t>
      </w:r>
    </w:p>
    <w:p>
      <w:pPr>
        <w:numPr>
          <w:ilvl w:val="0"/>
          <w:numId w:val="12"/>
        </w:numPr>
        <w:ind w:firstLine="480"/>
        <w:rPr>
          <w:rFonts w:cs="Times New Roman" w:eastAsiaTheme="minorEastAsia"/>
        </w:rPr>
      </w:pPr>
      <w:r>
        <w:rPr>
          <w:rFonts w:cs="Times New Roman" w:eastAsiaTheme="minorEastAsia"/>
        </w:rPr>
        <w:t>《广东省人民政府关于印发部分市乡镇集中式饮用水源保护区划分方案的通知》（粤府函〔2015〕17号）；</w:t>
      </w:r>
    </w:p>
    <w:p>
      <w:pPr>
        <w:numPr>
          <w:ilvl w:val="0"/>
          <w:numId w:val="12"/>
        </w:numPr>
        <w:ind w:firstLine="480"/>
        <w:rPr>
          <w:rFonts w:cs="Times New Roman" w:eastAsiaTheme="minorEastAsia"/>
        </w:rPr>
      </w:pPr>
      <w:r>
        <w:rPr>
          <w:rFonts w:cs="Times New Roman" w:eastAsiaTheme="minorEastAsia"/>
        </w:rPr>
        <w:t>《珠江三角洲环境保护规划纲要(2004-2020年)》（粤府〔2005〕16号，2005年2月18日）；</w:t>
      </w:r>
    </w:p>
    <w:p>
      <w:pPr>
        <w:numPr>
          <w:ilvl w:val="0"/>
          <w:numId w:val="12"/>
        </w:numPr>
        <w:ind w:firstLine="480"/>
        <w:rPr>
          <w:rFonts w:cs="Times New Roman" w:eastAsiaTheme="minorEastAsia"/>
        </w:rPr>
      </w:pPr>
      <w:r>
        <w:rPr>
          <w:rFonts w:cs="Times New Roman" w:eastAsiaTheme="minorEastAsia"/>
        </w:rPr>
        <w:t>《珠江三角洲环境保护一体化规划（2009-2020年）》（粤府办〔2010〕42号，2010年7月30日）</w:t>
      </w:r>
      <w:r>
        <w:rPr>
          <w:rFonts w:hint="eastAsia" w:cs="Times New Roman" w:eastAsiaTheme="minorEastAsia"/>
        </w:rPr>
        <w:t>；</w:t>
      </w:r>
    </w:p>
    <w:p>
      <w:pPr>
        <w:numPr>
          <w:ilvl w:val="0"/>
          <w:numId w:val="12"/>
        </w:numPr>
        <w:ind w:firstLine="480"/>
        <w:rPr>
          <w:rFonts w:eastAsiaTheme="minorEastAsia"/>
        </w:rPr>
      </w:pPr>
      <w:r>
        <w:rPr>
          <w:rFonts w:hint="eastAsia" w:eastAsiaTheme="minorEastAsia"/>
        </w:rPr>
        <w:t>《关于江门市生活饮用水地表水源保护区划分的批复》广东省人民政府（粤府函</w:t>
      </w:r>
      <w:r>
        <w:rPr>
          <w:rFonts w:eastAsiaTheme="minorEastAsia"/>
        </w:rPr>
        <w:t>〔1999〕188</w:t>
      </w:r>
      <w:r>
        <w:rPr>
          <w:rFonts w:hint="eastAsia" w:eastAsiaTheme="minorEastAsia"/>
        </w:rPr>
        <w:t>号）；</w:t>
      </w:r>
    </w:p>
    <w:p>
      <w:pPr>
        <w:numPr>
          <w:ilvl w:val="0"/>
          <w:numId w:val="12"/>
        </w:numPr>
        <w:ind w:firstLine="480"/>
        <w:rPr>
          <w:rFonts w:eastAsiaTheme="minorEastAsia"/>
        </w:rPr>
      </w:pPr>
      <w:r>
        <w:rPr>
          <w:rFonts w:hint="eastAsia" w:eastAsiaTheme="minorEastAsia"/>
        </w:rPr>
        <w:t>《江门市水环境综合整治方案》（</w:t>
      </w:r>
      <w:r>
        <w:rPr>
          <w:rFonts w:eastAsiaTheme="minorEastAsia"/>
        </w:rPr>
        <w:t>2002</w:t>
      </w:r>
      <w:r>
        <w:rPr>
          <w:rFonts w:hint="eastAsia" w:eastAsiaTheme="minorEastAsia"/>
        </w:rPr>
        <w:t>年</w:t>
      </w:r>
      <w:r>
        <w:rPr>
          <w:rFonts w:eastAsiaTheme="minorEastAsia"/>
        </w:rPr>
        <w:t>11</w:t>
      </w:r>
      <w:r>
        <w:rPr>
          <w:rFonts w:hint="eastAsia" w:eastAsiaTheme="minorEastAsia"/>
        </w:rPr>
        <w:t>月）；</w:t>
      </w:r>
    </w:p>
    <w:p>
      <w:pPr>
        <w:numPr>
          <w:ilvl w:val="0"/>
          <w:numId w:val="12"/>
        </w:numPr>
        <w:ind w:firstLine="480"/>
        <w:rPr>
          <w:rFonts w:eastAsiaTheme="minorEastAsia"/>
        </w:rPr>
      </w:pPr>
      <w:r>
        <w:rPr>
          <w:rFonts w:hint="eastAsia" w:eastAsiaTheme="minorEastAsia"/>
        </w:rPr>
        <w:t>《江门市环境保护规划</w:t>
      </w:r>
      <w:r>
        <w:rPr>
          <w:rFonts w:eastAsiaTheme="minorEastAsia"/>
        </w:rPr>
        <w:t>(2006-2020)</w:t>
      </w:r>
      <w:r>
        <w:rPr>
          <w:rFonts w:hint="eastAsia" w:eastAsiaTheme="minorEastAsia"/>
        </w:rPr>
        <w:t>》（</w:t>
      </w:r>
      <w:r>
        <w:rPr>
          <w:rFonts w:eastAsiaTheme="minorEastAsia"/>
        </w:rPr>
        <w:t>2007</w:t>
      </w:r>
      <w:r>
        <w:rPr>
          <w:rFonts w:hint="eastAsia" w:eastAsiaTheme="minorEastAsia"/>
        </w:rPr>
        <w:t>年</w:t>
      </w:r>
      <w:r>
        <w:rPr>
          <w:rFonts w:eastAsiaTheme="minorEastAsia"/>
        </w:rPr>
        <w:t>12</w:t>
      </w:r>
      <w:r>
        <w:rPr>
          <w:rFonts w:hint="eastAsia" w:eastAsiaTheme="minorEastAsia"/>
        </w:rPr>
        <w:t>月）；</w:t>
      </w:r>
    </w:p>
    <w:p>
      <w:pPr>
        <w:numPr>
          <w:ilvl w:val="0"/>
          <w:numId w:val="12"/>
        </w:numPr>
        <w:ind w:firstLine="480"/>
        <w:rPr>
          <w:rFonts w:eastAsiaTheme="minorEastAsia"/>
        </w:rPr>
      </w:pPr>
      <w:r>
        <w:rPr>
          <w:rFonts w:hint="eastAsia" w:eastAsiaTheme="minorEastAsia"/>
        </w:rPr>
        <w:t>《江门生态市建设规划纲要（</w:t>
      </w:r>
      <w:r>
        <w:rPr>
          <w:rFonts w:eastAsiaTheme="minorEastAsia"/>
        </w:rPr>
        <w:t>2006-2020</w:t>
      </w:r>
      <w:r>
        <w:rPr>
          <w:rFonts w:hint="eastAsia" w:eastAsiaTheme="minorEastAsia"/>
        </w:rPr>
        <w:t>）》（</w:t>
      </w:r>
      <w:r>
        <w:rPr>
          <w:rFonts w:eastAsiaTheme="minorEastAsia"/>
        </w:rPr>
        <w:t>2007</w:t>
      </w:r>
      <w:r>
        <w:rPr>
          <w:rFonts w:hint="eastAsia" w:eastAsiaTheme="minorEastAsia"/>
        </w:rPr>
        <w:t>年</w:t>
      </w:r>
      <w:r>
        <w:rPr>
          <w:rFonts w:eastAsiaTheme="minorEastAsia"/>
        </w:rPr>
        <w:t>8</w:t>
      </w:r>
      <w:r>
        <w:rPr>
          <w:rFonts w:hint="eastAsia" w:eastAsiaTheme="minorEastAsia"/>
        </w:rPr>
        <w:t>月）；</w:t>
      </w:r>
    </w:p>
    <w:p>
      <w:pPr>
        <w:numPr>
          <w:ilvl w:val="0"/>
          <w:numId w:val="12"/>
        </w:numPr>
        <w:ind w:firstLine="480"/>
        <w:rPr>
          <w:rFonts w:eastAsiaTheme="minorEastAsia"/>
        </w:rPr>
      </w:pPr>
      <w:r>
        <w:rPr>
          <w:rFonts w:hint="eastAsia" w:eastAsiaTheme="minorEastAsia"/>
        </w:rPr>
        <w:t>《江门市环境保护局审批环境影响评价文件的建设项目名录（</w:t>
      </w:r>
      <w:r>
        <w:rPr>
          <w:rFonts w:eastAsiaTheme="minorEastAsia"/>
        </w:rPr>
        <w:t>2015</w:t>
      </w:r>
      <w:r>
        <w:rPr>
          <w:rFonts w:hint="eastAsia" w:eastAsiaTheme="minorEastAsia"/>
        </w:rPr>
        <w:t>年本）》（</w:t>
      </w:r>
      <w:r>
        <w:rPr>
          <w:rFonts w:eastAsiaTheme="minorEastAsia"/>
        </w:rPr>
        <w:t>2015</w:t>
      </w:r>
      <w:r>
        <w:rPr>
          <w:rFonts w:hint="eastAsia" w:eastAsiaTheme="minorEastAsia"/>
        </w:rPr>
        <w:t>年</w:t>
      </w:r>
      <w:r>
        <w:rPr>
          <w:rFonts w:eastAsiaTheme="minorEastAsia"/>
        </w:rPr>
        <w:t>8</w:t>
      </w:r>
      <w:r>
        <w:rPr>
          <w:rFonts w:hint="eastAsia" w:eastAsiaTheme="minorEastAsia"/>
        </w:rPr>
        <w:t>月</w:t>
      </w:r>
      <w:r>
        <w:rPr>
          <w:rFonts w:eastAsiaTheme="minorEastAsia"/>
        </w:rPr>
        <w:t>10</w:t>
      </w:r>
      <w:r>
        <w:rPr>
          <w:rFonts w:hint="eastAsia" w:eastAsiaTheme="minorEastAsia"/>
        </w:rPr>
        <w:t>日实施）；</w:t>
      </w:r>
    </w:p>
    <w:p>
      <w:pPr>
        <w:numPr>
          <w:ilvl w:val="0"/>
          <w:numId w:val="12"/>
        </w:numPr>
        <w:ind w:firstLine="480"/>
        <w:rPr>
          <w:rFonts w:eastAsiaTheme="minorEastAsia"/>
        </w:rPr>
      </w:pPr>
      <w:r>
        <w:rPr>
          <w:rFonts w:hint="eastAsia" w:eastAsiaTheme="minorEastAsia"/>
        </w:rPr>
        <w:t>《关于</w:t>
      </w:r>
      <w:r>
        <w:rPr>
          <w:rFonts w:eastAsiaTheme="minorEastAsia"/>
        </w:rPr>
        <w:t>&lt;</w:t>
      </w:r>
      <w:r>
        <w:rPr>
          <w:rFonts w:hint="eastAsia" w:eastAsiaTheme="minorEastAsia"/>
        </w:rPr>
        <w:t>江门生态市建设规划纲要（</w:t>
      </w:r>
      <w:r>
        <w:rPr>
          <w:rFonts w:eastAsiaTheme="minorEastAsia"/>
        </w:rPr>
        <w:t>2006</w:t>
      </w:r>
      <w:r>
        <w:rPr>
          <w:rFonts w:hint="eastAsia" w:eastAsiaTheme="minorEastAsia"/>
        </w:rPr>
        <w:t>—</w:t>
      </w:r>
      <w:r>
        <w:rPr>
          <w:rFonts w:eastAsiaTheme="minorEastAsia"/>
        </w:rPr>
        <w:t>2020</w:t>
      </w:r>
      <w:r>
        <w:rPr>
          <w:rFonts w:hint="eastAsia" w:eastAsiaTheme="minorEastAsia"/>
        </w:rPr>
        <w:t>）</w:t>
      </w:r>
      <w:r>
        <w:rPr>
          <w:rFonts w:eastAsiaTheme="minorEastAsia"/>
        </w:rPr>
        <w:t>&gt;</w:t>
      </w:r>
      <w:r>
        <w:rPr>
          <w:rFonts w:hint="eastAsia" w:eastAsiaTheme="minorEastAsia"/>
        </w:rPr>
        <w:t>的决议》（</w:t>
      </w:r>
      <w:r>
        <w:rPr>
          <w:rFonts w:eastAsiaTheme="minorEastAsia"/>
        </w:rPr>
        <w:t>2007</w:t>
      </w:r>
      <w:r>
        <w:rPr>
          <w:rFonts w:hint="eastAsia" w:eastAsiaTheme="minorEastAsia"/>
        </w:rPr>
        <w:t>年</w:t>
      </w:r>
      <w:r>
        <w:rPr>
          <w:rFonts w:eastAsiaTheme="minorEastAsia"/>
        </w:rPr>
        <w:t>8</w:t>
      </w:r>
      <w:r>
        <w:rPr>
          <w:rFonts w:hint="eastAsia" w:eastAsiaTheme="minorEastAsia"/>
        </w:rPr>
        <w:t>月</w:t>
      </w:r>
      <w:r>
        <w:rPr>
          <w:rFonts w:eastAsiaTheme="minorEastAsia"/>
        </w:rPr>
        <w:t>3</w:t>
      </w:r>
      <w:r>
        <w:rPr>
          <w:rFonts w:hint="eastAsia" w:eastAsiaTheme="minorEastAsia"/>
        </w:rPr>
        <w:t>日，江门市第十三届人民代表大会常务委员会第四次会议通过）；</w:t>
      </w:r>
    </w:p>
    <w:p>
      <w:pPr>
        <w:numPr>
          <w:ilvl w:val="0"/>
          <w:numId w:val="12"/>
        </w:numPr>
        <w:ind w:firstLine="480"/>
        <w:rPr>
          <w:rFonts w:eastAsiaTheme="minorEastAsia"/>
        </w:rPr>
      </w:pPr>
      <w:r>
        <w:rPr>
          <w:rFonts w:hint="eastAsia" w:eastAsiaTheme="minorEastAsia"/>
        </w:rPr>
        <w:t>《江门市生态环保“十三五”规划》（江府办</w:t>
      </w:r>
      <w:r>
        <w:rPr>
          <w:rFonts w:eastAsiaTheme="minorEastAsia"/>
        </w:rPr>
        <w:t>〔2016〕41号</w:t>
      </w:r>
      <w:r>
        <w:rPr>
          <w:rFonts w:hint="eastAsia" w:eastAsiaTheme="minorEastAsia"/>
        </w:rPr>
        <w:t>）；</w:t>
      </w:r>
    </w:p>
    <w:p>
      <w:pPr>
        <w:numPr>
          <w:ilvl w:val="0"/>
          <w:numId w:val="12"/>
        </w:numPr>
        <w:ind w:firstLine="480"/>
        <w:rPr>
          <w:rFonts w:eastAsiaTheme="minorEastAsia"/>
        </w:rPr>
      </w:pPr>
      <w:r>
        <w:rPr>
          <w:rFonts w:eastAsiaTheme="minorEastAsia"/>
        </w:rPr>
        <w:t>《江门市城市总体规划（2011－2020）》</w:t>
      </w:r>
      <w:r>
        <w:rPr>
          <w:rFonts w:hint="eastAsia" w:eastAsiaTheme="minorEastAsia"/>
        </w:rPr>
        <w:t>；</w:t>
      </w:r>
    </w:p>
    <w:p>
      <w:pPr>
        <w:numPr>
          <w:ilvl w:val="0"/>
          <w:numId w:val="12"/>
        </w:numPr>
        <w:ind w:firstLine="480"/>
        <w:rPr>
          <w:rFonts w:eastAsiaTheme="minorEastAsia"/>
        </w:rPr>
      </w:pPr>
      <w:r>
        <w:rPr>
          <w:rFonts w:cs="Times New Roman" w:eastAsiaTheme="minorEastAsia"/>
        </w:rPr>
        <w:t>《关于同意调整</w:t>
      </w:r>
      <w:r>
        <w:rPr>
          <w:rFonts w:hint="eastAsia" w:cs="Times New Roman" w:eastAsiaTheme="minorEastAsia"/>
        </w:rPr>
        <w:t>开平市</w:t>
      </w:r>
      <w:r>
        <w:rPr>
          <w:rFonts w:cs="Times New Roman" w:eastAsiaTheme="minorEastAsia"/>
        </w:rPr>
        <w:t>饮用水源保护区划方案的批复》（粤府函〔201</w:t>
      </w:r>
      <w:r>
        <w:rPr>
          <w:rFonts w:hint="eastAsia" w:cs="Times New Roman" w:eastAsiaTheme="minorEastAsia"/>
        </w:rPr>
        <w:t>1</w:t>
      </w:r>
      <w:r>
        <w:rPr>
          <w:rFonts w:cs="Times New Roman" w:eastAsiaTheme="minorEastAsia"/>
        </w:rPr>
        <w:t>〕</w:t>
      </w:r>
      <w:r>
        <w:rPr>
          <w:rFonts w:hint="eastAsia" w:cs="Times New Roman" w:eastAsiaTheme="minorEastAsia"/>
        </w:rPr>
        <w:t>40</w:t>
      </w:r>
      <w:r>
        <w:rPr>
          <w:rFonts w:cs="Times New Roman" w:eastAsiaTheme="minorEastAsia"/>
        </w:rPr>
        <w:t>号）</w:t>
      </w:r>
      <w:r>
        <w:rPr>
          <w:rFonts w:hint="eastAsia" w:cs="Times New Roman" w:eastAsiaTheme="minorEastAsia"/>
        </w:rPr>
        <w:t>。</w:t>
      </w:r>
    </w:p>
    <w:p>
      <w:pPr>
        <w:pStyle w:val="5"/>
      </w:pPr>
      <w:r>
        <w:rPr>
          <w:rFonts w:hint="eastAsia"/>
        </w:rPr>
        <w:t>相关导则及</w:t>
      </w:r>
      <w:r>
        <w:t>技术规范</w:t>
      </w:r>
    </w:p>
    <w:p>
      <w:pPr>
        <w:numPr>
          <w:ilvl w:val="0"/>
          <w:numId w:val="13"/>
        </w:numPr>
        <w:ind w:firstLine="480"/>
        <w:rPr>
          <w:rFonts w:eastAsiaTheme="minorEastAsia"/>
        </w:rPr>
      </w:pPr>
      <w:bookmarkStart w:id="45" w:name="_Hlk479322872"/>
      <w:r>
        <w:rPr>
          <w:rFonts w:eastAsiaTheme="minorEastAsia"/>
        </w:rPr>
        <w:t>《</w:t>
      </w:r>
      <w:r>
        <w:rPr>
          <w:rFonts w:hint="eastAsia" w:eastAsiaTheme="minorEastAsia"/>
        </w:rPr>
        <w:t>建设项目</w:t>
      </w:r>
      <w:r>
        <w:rPr>
          <w:rFonts w:eastAsiaTheme="minorEastAsia"/>
        </w:rPr>
        <w:t>环境影响评价技术导则</w:t>
      </w:r>
      <w:r>
        <w:rPr>
          <w:rFonts w:hint="eastAsia" w:eastAsiaTheme="minorEastAsia"/>
        </w:rPr>
        <w:t xml:space="preserve"> </w:t>
      </w:r>
      <w:r>
        <w:rPr>
          <w:rFonts w:eastAsiaTheme="minorEastAsia"/>
        </w:rPr>
        <w:t>总纲》(HJ 2.1-2016)</w:t>
      </w:r>
      <w:bookmarkEnd w:id="45"/>
      <w:r>
        <w:rPr>
          <w:rFonts w:eastAsiaTheme="minorEastAsia"/>
        </w:rPr>
        <w:t>；</w:t>
      </w:r>
    </w:p>
    <w:p>
      <w:pPr>
        <w:numPr>
          <w:ilvl w:val="0"/>
          <w:numId w:val="13"/>
        </w:numPr>
        <w:ind w:firstLine="480"/>
        <w:rPr>
          <w:rFonts w:eastAsiaTheme="minorEastAsia"/>
        </w:rPr>
      </w:pPr>
      <w:r>
        <w:rPr>
          <w:rFonts w:eastAsiaTheme="minorEastAsia"/>
        </w:rPr>
        <w:t>《环境影响评价技术导则</w:t>
      </w:r>
      <w:r>
        <w:rPr>
          <w:rFonts w:hint="eastAsia" w:eastAsiaTheme="minorEastAsia"/>
        </w:rPr>
        <w:t xml:space="preserve"> </w:t>
      </w:r>
      <w:r>
        <w:rPr>
          <w:rFonts w:eastAsiaTheme="minorEastAsia"/>
        </w:rPr>
        <w:t>大气环境》(HJ 2.2-2018)；</w:t>
      </w:r>
    </w:p>
    <w:p>
      <w:pPr>
        <w:numPr>
          <w:ilvl w:val="0"/>
          <w:numId w:val="13"/>
        </w:numPr>
        <w:ind w:firstLine="480"/>
        <w:rPr>
          <w:rFonts w:eastAsiaTheme="minorEastAsia"/>
        </w:rPr>
      </w:pPr>
      <w:r>
        <w:rPr>
          <w:rFonts w:eastAsiaTheme="minorEastAsia"/>
        </w:rPr>
        <w:t>《环境影响评价技术导则</w:t>
      </w:r>
      <w:r>
        <w:rPr>
          <w:rFonts w:hint="eastAsia" w:eastAsiaTheme="minorEastAsia"/>
        </w:rPr>
        <w:t xml:space="preserve"> </w:t>
      </w:r>
      <w:r>
        <w:rPr>
          <w:rFonts w:eastAsiaTheme="minorEastAsia"/>
        </w:rPr>
        <w:t>地面水环境》(HJ 2.3-2018)；</w:t>
      </w:r>
    </w:p>
    <w:p>
      <w:pPr>
        <w:numPr>
          <w:ilvl w:val="0"/>
          <w:numId w:val="13"/>
        </w:numPr>
        <w:ind w:firstLine="480"/>
        <w:rPr>
          <w:rFonts w:eastAsiaTheme="minorEastAsia"/>
        </w:rPr>
      </w:pPr>
      <w:r>
        <w:rPr>
          <w:rFonts w:eastAsiaTheme="minorEastAsia"/>
        </w:rPr>
        <w:t>《环境影响评价技术导则</w:t>
      </w:r>
      <w:r>
        <w:rPr>
          <w:rFonts w:hint="eastAsia" w:eastAsiaTheme="minorEastAsia"/>
        </w:rPr>
        <w:t xml:space="preserve"> </w:t>
      </w:r>
      <w:r>
        <w:rPr>
          <w:rFonts w:eastAsiaTheme="minorEastAsia"/>
        </w:rPr>
        <w:t>地下水环境》（HJ 610-201</w:t>
      </w:r>
      <w:r>
        <w:rPr>
          <w:rFonts w:hint="eastAsia" w:eastAsiaTheme="minorEastAsia"/>
        </w:rPr>
        <w:t>6</w:t>
      </w:r>
      <w:r>
        <w:rPr>
          <w:rFonts w:eastAsiaTheme="minorEastAsia"/>
        </w:rPr>
        <w:t>）；</w:t>
      </w:r>
    </w:p>
    <w:p>
      <w:pPr>
        <w:numPr>
          <w:ilvl w:val="0"/>
          <w:numId w:val="13"/>
        </w:numPr>
        <w:ind w:firstLine="480"/>
        <w:rPr>
          <w:rFonts w:eastAsiaTheme="minorEastAsia"/>
        </w:rPr>
      </w:pPr>
      <w:r>
        <w:rPr>
          <w:rFonts w:eastAsiaTheme="minorEastAsia"/>
        </w:rPr>
        <w:t>《环境影响评价技术导则</w:t>
      </w:r>
      <w:r>
        <w:rPr>
          <w:rFonts w:hint="eastAsia" w:eastAsiaTheme="minorEastAsia"/>
        </w:rPr>
        <w:t xml:space="preserve"> </w:t>
      </w:r>
      <w:r>
        <w:rPr>
          <w:rFonts w:eastAsiaTheme="minorEastAsia"/>
        </w:rPr>
        <w:t>声环境》（HJ 2.4-2009）；</w:t>
      </w:r>
    </w:p>
    <w:p>
      <w:pPr>
        <w:numPr>
          <w:ilvl w:val="0"/>
          <w:numId w:val="13"/>
        </w:numPr>
        <w:ind w:firstLine="480"/>
        <w:rPr>
          <w:rFonts w:eastAsiaTheme="minorEastAsia"/>
        </w:rPr>
      </w:pPr>
      <w:r>
        <w:rPr>
          <w:rFonts w:eastAsiaTheme="minorEastAsia"/>
        </w:rPr>
        <w:t>《环境影响评价技术导则</w:t>
      </w:r>
      <w:r>
        <w:rPr>
          <w:rFonts w:hint="eastAsia" w:eastAsiaTheme="minorEastAsia"/>
        </w:rPr>
        <w:t xml:space="preserve"> </w:t>
      </w:r>
      <w:r>
        <w:rPr>
          <w:rFonts w:eastAsiaTheme="minorEastAsia"/>
        </w:rPr>
        <w:t>生态影响》（HJ 19-2011）；</w:t>
      </w:r>
    </w:p>
    <w:p>
      <w:pPr>
        <w:numPr>
          <w:ilvl w:val="0"/>
          <w:numId w:val="13"/>
        </w:numPr>
        <w:ind w:firstLine="480"/>
        <w:rPr>
          <w:rFonts w:eastAsiaTheme="minorEastAsia"/>
        </w:rPr>
      </w:pPr>
      <w:r>
        <w:rPr>
          <w:rFonts w:eastAsiaTheme="minorEastAsia"/>
        </w:rPr>
        <w:t>《建设项目环境风险评价</w:t>
      </w:r>
      <w:r>
        <w:rPr>
          <w:rFonts w:hint="eastAsia" w:eastAsiaTheme="minorEastAsia"/>
        </w:rPr>
        <w:t>技术</w:t>
      </w:r>
      <w:r>
        <w:rPr>
          <w:rFonts w:eastAsiaTheme="minorEastAsia"/>
        </w:rPr>
        <w:t>导则》（HJ 169-2018）；</w:t>
      </w:r>
    </w:p>
    <w:p>
      <w:pPr>
        <w:numPr>
          <w:ilvl w:val="0"/>
          <w:numId w:val="13"/>
        </w:numPr>
        <w:ind w:firstLine="480"/>
        <w:rPr>
          <w:rFonts w:eastAsiaTheme="minorEastAsia"/>
        </w:rPr>
      </w:pPr>
      <w:r>
        <w:rPr>
          <w:rFonts w:hint="eastAsia" w:eastAsiaTheme="minorEastAsia"/>
        </w:rPr>
        <w:t>《建设项目危险废物环境影响评价指南》（环境保护部公告 2017年 第43号）；</w:t>
      </w:r>
    </w:p>
    <w:p>
      <w:pPr>
        <w:numPr>
          <w:ilvl w:val="0"/>
          <w:numId w:val="13"/>
        </w:numPr>
        <w:ind w:firstLine="480"/>
        <w:rPr>
          <w:rFonts w:eastAsiaTheme="minorEastAsia"/>
        </w:rPr>
      </w:pPr>
      <w:r>
        <w:rPr>
          <w:rFonts w:eastAsiaTheme="minorEastAsia"/>
        </w:rPr>
        <w:t>《橡胶工厂环境保护设计规范》（GB 50469-2016）</w:t>
      </w:r>
      <w:r>
        <w:rPr>
          <w:rFonts w:hint="eastAsia" w:eastAsiaTheme="minorEastAsia"/>
        </w:rPr>
        <w:t>；</w:t>
      </w:r>
    </w:p>
    <w:p>
      <w:pPr>
        <w:numPr>
          <w:ilvl w:val="0"/>
          <w:numId w:val="13"/>
        </w:numPr>
        <w:ind w:firstLine="480"/>
        <w:rPr>
          <w:rFonts w:eastAsiaTheme="minorEastAsia"/>
        </w:rPr>
      </w:pPr>
      <w:r>
        <w:rPr>
          <w:rFonts w:hint="eastAsia" w:eastAsiaTheme="minorEastAsia"/>
        </w:rPr>
        <w:t>《工业循环冷却设计规范》（GB</w:t>
      </w:r>
      <w:r>
        <w:rPr>
          <w:rFonts w:eastAsiaTheme="minorEastAsia"/>
        </w:rPr>
        <w:t xml:space="preserve"> </w:t>
      </w:r>
      <w:r>
        <w:rPr>
          <w:rFonts w:hint="eastAsia" w:eastAsiaTheme="minorEastAsia"/>
        </w:rPr>
        <w:t>50102-2014）；</w:t>
      </w:r>
    </w:p>
    <w:p>
      <w:pPr>
        <w:numPr>
          <w:ilvl w:val="0"/>
          <w:numId w:val="13"/>
        </w:numPr>
        <w:ind w:firstLine="480"/>
        <w:rPr>
          <w:rFonts w:eastAsiaTheme="minorEastAsia"/>
        </w:rPr>
      </w:pPr>
      <w:r>
        <w:rPr>
          <w:rFonts w:hint="eastAsia" w:eastAsiaTheme="minorEastAsia"/>
        </w:rPr>
        <w:t>《建筑给水排水设计规范》（GB</w:t>
      </w:r>
      <w:r>
        <w:rPr>
          <w:rFonts w:eastAsiaTheme="minorEastAsia"/>
        </w:rPr>
        <w:t xml:space="preserve"> </w:t>
      </w:r>
      <w:r>
        <w:rPr>
          <w:rFonts w:hint="eastAsia" w:eastAsiaTheme="minorEastAsia"/>
        </w:rPr>
        <w:t>50015-2003，2009年修订版）；</w:t>
      </w:r>
    </w:p>
    <w:p>
      <w:pPr>
        <w:numPr>
          <w:ilvl w:val="0"/>
          <w:numId w:val="13"/>
        </w:numPr>
        <w:ind w:firstLine="480"/>
        <w:rPr>
          <w:rFonts w:eastAsiaTheme="minorEastAsia"/>
        </w:rPr>
      </w:pPr>
      <w:r>
        <w:rPr>
          <w:rFonts w:hint="eastAsia" w:eastAsiaTheme="minorEastAsia"/>
        </w:rPr>
        <w:t>《工业企业总平面设计规范》（GB</w:t>
      </w:r>
      <w:r>
        <w:rPr>
          <w:rFonts w:eastAsiaTheme="minorEastAsia"/>
        </w:rPr>
        <w:t xml:space="preserve"> </w:t>
      </w:r>
      <w:r>
        <w:rPr>
          <w:rFonts w:hint="eastAsia" w:eastAsiaTheme="minorEastAsia"/>
        </w:rPr>
        <w:t>50187－2012）；</w:t>
      </w:r>
    </w:p>
    <w:p>
      <w:pPr>
        <w:numPr>
          <w:ilvl w:val="0"/>
          <w:numId w:val="13"/>
        </w:numPr>
        <w:ind w:firstLine="480"/>
        <w:rPr>
          <w:rFonts w:eastAsiaTheme="minorEastAsia"/>
        </w:rPr>
      </w:pPr>
      <w:r>
        <w:rPr>
          <w:rFonts w:hint="eastAsia" w:eastAsiaTheme="minorEastAsia"/>
        </w:rPr>
        <w:t>《建筑设计防火规范》（GB</w:t>
      </w:r>
      <w:r>
        <w:rPr>
          <w:rFonts w:eastAsiaTheme="minorEastAsia"/>
        </w:rPr>
        <w:t xml:space="preserve"> </w:t>
      </w:r>
      <w:r>
        <w:rPr>
          <w:rFonts w:hint="eastAsia" w:eastAsiaTheme="minorEastAsia"/>
        </w:rPr>
        <w:t>50016-2006）；</w:t>
      </w:r>
    </w:p>
    <w:p>
      <w:pPr>
        <w:numPr>
          <w:ilvl w:val="0"/>
          <w:numId w:val="13"/>
        </w:numPr>
        <w:ind w:firstLine="480"/>
        <w:rPr>
          <w:rFonts w:eastAsiaTheme="minorEastAsia"/>
        </w:rPr>
      </w:pPr>
      <w:r>
        <w:rPr>
          <w:rFonts w:eastAsiaTheme="minorEastAsia"/>
        </w:rPr>
        <w:t>《大气污染治理工程技术导则》（HJ 2000-2010）；</w:t>
      </w:r>
    </w:p>
    <w:p>
      <w:pPr>
        <w:numPr>
          <w:ilvl w:val="0"/>
          <w:numId w:val="13"/>
        </w:numPr>
        <w:ind w:firstLine="480"/>
        <w:rPr>
          <w:rFonts w:eastAsiaTheme="minorEastAsia"/>
        </w:rPr>
      </w:pPr>
      <w:r>
        <w:rPr>
          <w:rFonts w:eastAsiaTheme="minorEastAsia"/>
        </w:rPr>
        <w:t>《水污染治理工程技术导则》（HJ 2015-2012）；</w:t>
      </w:r>
    </w:p>
    <w:p>
      <w:pPr>
        <w:numPr>
          <w:ilvl w:val="0"/>
          <w:numId w:val="13"/>
        </w:numPr>
        <w:ind w:firstLine="480"/>
        <w:rPr>
          <w:rFonts w:eastAsiaTheme="minorEastAsia"/>
        </w:rPr>
      </w:pPr>
      <w:r>
        <w:rPr>
          <w:rFonts w:eastAsiaTheme="minorEastAsia"/>
        </w:rPr>
        <w:t>《环境噪声与振动控制工程技术导则》（HJ 2034-2013）；</w:t>
      </w:r>
    </w:p>
    <w:p>
      <w:pPr>
        <w:numPr>
          <w:ilvl w:val="0"/>
          <w:numId w:val="13"/>
        </w:numPr>
        <w:ind w:firstLine="480"/>
        <w:rPr>
          <w:rFonts w:eastAsiaTheme="minorEastAsia"/>
        </w:rPr>
      </w:pPr>
      <w:r>
        <w:rPr>
          <w:rFonts w:hint="eastAsia" w:eastAsiaTheme="minorEastAsia"/>
        </w:rPr>
        <w:t>《</w:t>
      </w:r>
      <w:r>
        <w:rPr>
          <w:rFonts w:eastAsiaTheme="minorEastAsia"/>
        </w:rPr>
        <w:t>一般工业固体废物贮存、处置场污染控制标准</w:t>
      </w:r>
      <w:r>
        <w:rPr>
          <w:rFonts w:hint="eastAsia" w:eastAsiaTheme="minorEastAsia"/>
        </w:rPr>
        <w:t>》（</w:t>
      </w:r>
      <w:r>
        <w:rPr>
          <w:rFonts w:eastAsiaTheme="minorEastAsia"/>
        </w:rPr>
        <w:t>GB 18599-2001</w:t>
      </w:r>
      <w:r>
        <w:rPr>
          <w:rFonts w:hint="eastAsia" w:eastAsiaTheme="minorEastAsia"/>
        </w:rPr>
        <w:t>及2</w:t>
      </w:r>
      <w:r>
        <w:rPr>
          <w:rFonts w:eastAsiaTheme="minorEastAsia"/>
        </w:rPr>
        <w:t>013</w:t>
      </w:r>
      <w:r>
        <w:rPr>
          <w:rFonts w:hint="eastAsia" w:eastAsiaTheme="minorEastAsia"/>
        </w:rPr>
        <w:t>年修改单）；</w:t>
      </w:r>
    </w:p>
    <w:p>
      <w:pPr>
        <w:numPr>
          <w:ilvl w:val="0"/>
          <w:numId w:val="13"/>
        </w:numPr>
        <w:ind w:firstLine="480"/>
        <w:rPr>
          <w:rFonts w:eastAsiaTheme="minorEastAsia"/>
        </w:rPr>
      </w:pPr>
      <w:r>
        <w:rPr>
          <w:rFonts w:eastAsiaTheme="minorEastAsia"/>
        </w:rPr>
        <w:t>《固体废物处理处置工程技术导则》（HJ 2035-2013）；</w:t>
      </w:r>
    </w:p>
    <w:p>
      <w:pPr>
        <w:numPr>
          <w:ilvl w:val="0"/>
          <w:numId w:val="13"/>
        </w:numPr>
        <w:ind w:firstLine="480"/>
        <w:rPr>
          <w:rFonts w:eastAsiaTheme="minorEastAsia"/>
        </w:rPr>
      </w:pPr>
      <w:r>
        <w:rPr>
          <w:rFonts w:hint="eastAsia" w:eastAsiaTheme="minorEastAsia"/>
        </w:rPr>
        <w:t>《</w:t>
      </w:r>
      <w:r>
        <w:rPr>
          <w:rFonts w:eastAsiaTheme="minorEastAsia"/>
        </w:rPr>
        <w:t>危险废物贮存污染控制标准</w:t>
      </w:r>
      <w:r>
        <w:rPr>
          <w:rFonts w:hint="eastAsia" w:eastAsiaTheme="minorEastAsia"/>
        </w:rPr>
        <w:t>》（GB</w:t>
      </w:r>
      <w:r>
        <w:rPr>
          <w:rFonts w:eastAsiaTheme="minorEastAsia"/>
        </w:rPr>
        <w:t xml:space="preserve"> </w:t>
      </w:r>
      <w:r>
        <w:rPr>
          <w:rFonts w:hint="eastAsia" w:eastAsiaTheme="minorEastAsia"/>
        </w:rPr>
        <w:t>18597－2001及2013年修改单）；</w:t>
      </w:r>
    </w:p>
    <w:p>
      <w:pPr>
        <w:numPr>
          <w:ilvl w:val="0"/>
          <w:numId w:val="13"/>
        </w:numPr>
        <w:ind w:firstLine="480"/>
        <w:rPr>
          <w:rFonts w:eastAsiaTheme="minorEastAsia"/>
        </w:rPr>
      </w:pPr>
      <w:r>
        <w:rPr>
          <w:rFonts w:hint="eastAsia" w:eastAsiaTheme="minorEastAsia"/>
        </w:rPr>
        <w:t>《</w:t>
      </w:r>
      <w:r>
        <w:rPr>
          <w:rFonts w:eastAsiaTheme="minorEastAsia"/>
        </w:rPr>
        <w:t>危险化学品重大危险源辨识</w:t>
      </w:r>
      <w:r>
        <w:rPr>
          <w:rFonts w:hint="eastAsia" w:eastAsiaTheme="minorEastAsia"/>
        </w:rPr>
        <w:t>》（</w:t>
      </w:r>
      <w:r>
        <w:rPr>
          <w:rFonts w:eastAsiaTheme="minorEastAsia"/>
        </w:rPr>
        <w:t>GB 18218-2018</w:t>
      </w:r>
      <w:r>
        <w:rPr>
          <w:rFonts w:hint="eastAsia" w:eastAsiaTheme="minorEastAsia"/>
        </w:rPr>
        <w:t>）；</w:t>
      </w:r>
    </w:p>
    <w:p>
      <w:pPr>
        <w:numPr>
          <w:ilvl w:val="0"/>
          <w:numId w:val="13"/>
        </w:numPr>
        <w:ind w:firstLine="480"/>
        <w:rPr>
          <w:rFonts w:eastAsiaTheme="minorEastAsia"/>
        </w:rPr>
      </w:pPr>
      <w:r>
        <w:rPr>
          <w:rFonts w:hint="eastAsia" w:eastAsiaTheme="minorEastAsia"/>
        </w:rPr>
        <w:t>《危险废物收集贮存 运输技术规范》（HJ 2025-2012）；</w:t>
      </w:r>
    </w:p>
    <w:p>
      <w:pPr>
        <w:numPr>
          <w:ilvl w:val="0"/>
          <w:numId w:val="13"/>
        </w:numPr>
        <w:ind w:firstLine="480"/>
        <w:rPr>
          <w:rFonts w:eastAsiaTheme="minorEastAsia"/>
        </w:rPr>
      </w:pPr>
      <w:r>
        <w:rPr>
          <w:rFonts w:hint="eastAsia" w:eastAsiaTheme="minorEastAsia"/>
        </w:rPr>
        <w:t>《</w:t>
      </w:r>
      <w:r>
        <w:rPr>
          <w:rFonts w:eastAsiaTheme="minorEastAsia"/>
        </w:rPr>
        <w:t>环境保护图形标志</w:t>
      </w:r>
      <w:r>
        <w:rPr>
          <w:rFonts w:hint="eastAsia" w:eastAsiaTheme="minorEastAsia"/>
        </w:rPr>
        <w:t>—</w:t>
      </w:r>
      <w:r>
        <w:rPr>
          <w:rFonts w:eastAsiaTheme="minorEastAsia"/>
        </w:rPr>
        <w:t>固体废物贮存（处置）场</w:t>
      </w:r>
      <w:r>
        <w:rPr>
          <w:rFonts w:hint="eastAsia" w:eastAsiaTheme="minorEastAsia"/>
        </w:rPr>
        <w:t>》（</w:t>
      </w:r>
      <w:r>
        <w:rPr>
          <w:rFonts w:eastAsiaTheme="minorEastAsia"/>
        </w:rPr>
        <w:t>GB 15562.2</w:t>
      </w:r>
      <w:r>
        <w:rPr>
          <w:rFonts w:hint="eastAsia" w:eastAsiaTheme="minorEastAsia"/>
        </w:rPr>
        <w:t>-1995）；</w:t>
      </w:r>
    </w:p>
    <w:p>
      <w:pPr>
        <w:numPr>
          <w:ilvl w:val="0"/>
          <w:numId w:val="13"/>
        </w:numPr>
        <w:ind w:firstLine="480"/>
        <w:rPr>
          <w:rFonts w:eastAsiaTheme="minorEastAsia"/>
        </w:rPr>
      </w:pPr>
      <w:r>
        <w:rPr>
          <w:rFonts w:eastAsiaTheme="minorEastAsia"/>
        </w:rPr>
        <w:t>《吸附法工业有机废气治理工程技术规范》（HJ 2026-2013）；</w:t>
      </w:r>
    </w:p>
    <w:p>
      <w:pPr>
        <w:numPr>
          <w:ilvl w:val="0"/>
          <w:numId w:val="13"/>
        </w:numPr>
        <w:ind w:firstLine="480"/>
        <w:rPr>
          <w:rFonts w:eastAsiaTheme="minorEastAsia"/>
        </w:rPr>
      </w:pPr>
      <w:r>
        <w:rPr>
          <w:rFonts w:hint="eastAsia" w:eastAsiaTheme="minorEastAsia"/>
        </w:rPr>
        <w:t>《袋式除尘工程通用技术规范》（</w:t>
      </w:r>
      <w:r>
        <w:rPr>
          <w:rFonts w:eastAsiaTheme="minorEastAsia"/>
        </w:rPr>
        <w:t>HJ</w:t>
      </w:r>
      <w:r>
        <w:rPr>
          <w:rFonts w:hint="eastAsia" w:eastAsiaTheme="minorEastAsia"/>
        </w:rPr>
        <w:t xml:space="preserve"> 2020</w:t>
      </w:r>
      <w:r>
        <w:rPr>
          <w:rFonts w:eastAsiaTheme="minorEastAsia"/>
        </w:rPr>
        <w:t>-20</w:t>
      </w:r>
      <w:r>
        <w:rPr>
          <w:rFonts w:hint="eastAsia" w:eastAsiaTheme="minorEastAsia"/>
        </w:rPr>
        <w:t>12）；</w:t>
      </w:r>
    </w:p>
    <w:p>
      <w:pPr>
        <w:numPr>
          <w:ilvl w:val="0"/>
          <w:numId w:val="13"/>
        </w:numPr>
        <w:ind w:firstLine="480"/>
        <w:rPr>
          <w:rFonts w:eastAsiaTheme="minorEastAsia"/>
        </w:rPr>
      </w:pPr>
      <w:r>
        <w:rPr>
          <w:rFonts w:hint="eastAsia" w:eastAsiaTheme="minorEastAsia"/>
        </w:rPr>
        <w:t>《排污单位自行监测技术指南 总则》 ( HJ 819-2017)。</w:t>
      </w:r>
    </w:p>
    <w:p>
      <w:pPr>
        <w:pStyle w:val="5"/>
      </w:pPr>
      <w:bookmarkStart w:id="46" w:name="_Toc19116"/>
      <w:bookmarkStart w:id="47" w:name="_Toc5403"/>
      <w:r>
        <w:t>其他有关依据</w:t>
      </w:r>
      <w:bookmarkEnd w:id="42"/>
      <w:bookmarkEnd w:id="43"/>
      <w:bookmarkEnd w:id="44"/>
      <w:bookmarkEnd w:id="46"/>
      <w:bookmarkEnd w:id="47"/>
    </w:p>
    <w:bookmarkEnd w:id="38"/>
    <w:p>
      <w:pPr>
        <w:numPr>
          <w:ilvl w:val="0"/>
          <w:numId w:val="14"/>
        </w:numPr>
        <w:ind w:firstLineChars="0"/>
        <w:rPr>
          <w:rFonts w:eastAsiaTheme="minorEastAsia"/>
        </w:rPr>
      </w:pPr>
      <w:r>
        <w:rPr>
          <w:rFonts w:eastAsiaTheme="minorEastAsia"/>
        </w:rPr>
        <w:t>环评任务委托</w:t>
      </w:r>
      <w:r>
        <w:rPr>
          <w:rFonts w:hint="eastAsia" w:eastAsiaTheme="minorEastAsia"/>
        </w:rPr>
        <w:t>书，开平市骑达橡胶制品厂</w:t>
      </w:r>
      <w:r>
        <w:rPr>
          <w:rFonts w:eastAsiaTheme="minorEastAsia"/>
        </w:rPr>
        <w:t>；</w:t>
      </w:r>
    </w:p>
    <w:p>
      <w:pPr>
        <w:numPr>
          <w:ilvl w:val="0"/>
          <w:numId w:val="14"/>
        </w:numPr>
        <w:ind w:firstLine="480"/>
        <w:rPr>
          <w:rFonts w:eastAsiaTheme="minorEastAsia"/>
        </w:rPr>
      </w:pPr>
      <w:r>
        <w:rPr>
          <w:rFonts w:eastAsiaTheme="minorEastAsia"/>
        </w:rPr>
        <w:t>监测、调查资料，与项目有关的其他资料、文件；</w:t>
      </w:r>
    </w:p>
    <w:p>
      <w:pPr>
        <w:numPr>
          <w:ilvl w:val="0"/>
          <w:numId w:val="14"/>
        </w:numPr>
        <w:ind w:firstLine="480"/>
        <w:rPr>
          <w:rFonts w:eastAsiaTheme="minorEastAsia"/>
        </w:rPr>
      </w:pPr>
      <w:r>
        <w:rPr>
          <w:rFonts w:eastAsiaTheme="minorEastAsia"/>
        </w:rPr>
        <w:t>建设单位提供的其他有关工程资料</w:t>
      </w:r>
      <w:r>
        <w:rPr>
          <w:rFonts w:hint="eastAsia" w:eastAsiaTheme="minorEastAsia"/>
        </w:rPr>
        <w:t>；</w:t>
      </w:r>
    </w:p>
    <w:p>
      <w:pPr>
        <w:numPr>
          <w:ilvl w:val="0"/>
          <w:numId w:val="14"/>
        </w:numPr>
        <w:ind w:firstLine="480"/>
        <w:rPr>
          <w:rFonts w:eastAsiaTheme="minorEastAsia"/>
        </w:rPr>
      </w:pPr>
      <w:r>
        <w:rPr>
          <w:rFonts w:hint="eastAsia" w:eastAsiaTheme="minorEastAsia"/>
        </w:rPr>
        <w:t>《化工产品手册（第三版）橡胶及橡胶制品》，化学工业出版社，2001年1月；</w:t>
      </w:r>
    </w:p>
    <w:p>
      <w:pPr>
        <w:numPr>
          <w:ilvl w:val="0"/>
          <w:numId w:val="14"/>
        </w:numPr>
        <w:ind w:firstLine="480"/>
        <w:rPr>
          <w:rFonts w:eastAsiaTheme="minorEastAsia"/>
        </w:rPr>
      </w:pPr>
      <w:r>
        <w:rPr>
          <w:rFonts w:hint="eastAsia" w:eastAsiaTheme="minorEastAsia"/>
        </w:rPr>
        <w:t>《橡胶材料简明读本》，化学工业出版社，2013年6月。</w:t>
      </w:r>
    </w:p>
    <w:p>
      <w:pPr>
        <w:spacing w:line="240" w:lineRule="auto"/>
        <w:ind w:firstLine="0" w:firstLineChars="0"/>
        <w:rPr>
          <w:rFonts w:eastAsiaTheme="minorEastAsia"/>
        </w:rPr>
      </w:pPr>
      <w:r>
        <w:rPr>
          <w:rFonts w:eastAsiaTheme="minorEastAsia"/>
        </w:rPr>
        <w:br w:type="page"/>
      </w:r>
    </w:p>
    <w:p>
      <w:pPr>
        <w:pStyle w:val="4"/>
      </w:pPr>
      <w:bookmarkStart w:id="48" w:name="_Toc331536078"/>
      <w:bookmarkStart w:id="49" w:name="_Toc329784184"/>
      <w:bookmarkStart w:id="50" w:name="_Toc297650727"/>
      <w:bookmarkStart w:id="51" w:name="_Toc5531"/>
      <w:bookmarkStart w:id="52" w:name="_Toc306606122"/>
      <w:bookmarkStart w:id="53" w:name="_Toc293409811"/>
      <w:bookmarkStart w:id="54" w:name="_Toc293410063"/>
      <w:bookmarkStart w:id="55" w:name="_Toc293409668"/>
      <w:bookmarkStart w:id="56" w:name="_Toc3538772"/>
      <w:bookmarkStart w:id="57" w:name="_Toc31411"/>
      <w:r>
        <w:t>相关规划及环境功能区划</w:t>
      </w:r>
      <w:bookmarkEnd w:id="48"/>
      <w:bookmarkEnd w:id="49"/>
      <w:bookmarkEnd w:id="50"/>
      <w:bookmarkEnd w:id="51"/>
      <w:bookmarkEnd w:id="52"/>
      <w:bookmarkEnd w:id="53"/>
      <w:bookmarkEnd w:id="54"/>
      <w:bookmarkEnd w:id="55"/>
      <w:bookmarkEnd w:id="56"/>
      <w:bookmarkEnd w:id="57"/>
    </w:p>
    <w:p>
      <w:pPr>
        <w:pStyle w:val="5"/>
      </w:pPr>
      <w:bookmarkStart w:id="58" w:name="_Toc331536079"/>
      <w:bookmarkStart w:id="59" w:name="_Toc293409669"/>
      <w:r>
        <w:rPr>
          <w:rFonts w:hint="eastAsia"/>
        </w:rPr>
        <w:t>开平市环境功能区划图</w:t>
      </w:r>
    </w:p>
    <w:p>
      <w:pPr>
        <w:keepNext/>
        <w:ind w:firstLine="0" w:firstLineChars="0"/>
        <w:jc w:val="center"/>
        <w:rPr>
          <w:rFonts w:eastAsiaTheme="minorEastAsia"/>
        </w:rPr>
      </w:pPr>
      <w:r>
        <w:rPr>
          <w:rFonts w:eastAsiaTheme="minorEastAsia"/>
          <w:sz w:val="21"/>
        </w:rPr>
        <mc:AlternateContent>
          <mc:Choice Requires="wpg">
            <w:drawing>
              <wp:anchor distT="0" distB="0" distL="114300" distR="114300" simplePos="0" relativeHeight="251444224" behindDoc="0" locked="0" layoutInCell="1" allowOverlap="1">
                <wp:simplePos x="0" y="0"/>
                <wp:positionH relativeFrom="column">
                  <wp:posOffset>1038225</wp:posOffset>
                </wp:positionH>
                <wp:positionV relativeFrom="paragraph">
                  <wp:posOffset>1548765</wp:posOffset>
                </wp:positionV>
                <wp:extent cx="2473960" cy="1067435"/>
                <wp:effectExtent l="0" t="0" r="21590" b="18415"/>
                <wp:wrapNone/>
                <wp:docPr id="61" name="组合 61"/>
                <wp:cNvGraphicFramePr/>
                <a:graphic xmlns:a="http://schemas.openxmlformats.org/drawingml/2006/main">
                  <a:graphicData uri="http://schemas.microsoft.com/office/word/2010/wordprocessingGroup">
                    <wpg:wgp>
                      <wpg:cNvGrpSpPr/>
                      <wpg:grpSpPr>
                        <a:xfrm>
                          <a:off x="0" y="0"/>
                          <a:ext cx="2473960" cy="1067435"/>
                          <a:chOff x="1233" y="352668"/>
                          <a:chExt cx="3896" cy="1253"/>
                        </a:xfrm>
                        <a:solidFill>
                          <a:srgbClr val="FFFFFF">
                            <a:alpha val="50196"/>
                          </a:srgbClr>
                        </a:solidFill>
                      </wpg:grpSpPr>
                      <wps:wsp>
                        <wps:cNvPr id="58" name="矩形标注 15"/>
                        <wps:cNvSpPr/>
                        <wps:spPr>
                          <a:xfrm>
                            <a:off x="1233" y="353338"/>
                            <a:ext cx="3896" cy="583"/>
                          </a:xfrm>
                          <a:prstGeom prst="wedgeRectCallout">
                            <a:avLst>
                              <a:gd name="adj1" fmla="val 16255"/>
                              <a:gd name="adj2" fmla="val -152484"/>
                            </a:avLst>
                          </a:prstGeom>
                          <a:grpFill/>
                          <a:ln>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txbx>
                          <w:txbxContent>
                            <w:p>
                              <w:pPr>
                                <w:widowControl w:val="0"/>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p>
                              <w:pPr>
                                <w:pStyle w:val="145"/>
                                <w:rPr>
                                  <w:rFonts w:eastAsiaTheme="minorEastAsia"/>
                                </w:rPr>
                              </w:pPr>
                              <w:r>
                                <w:rPr>
                                  <w:rFonts w:hint="eastAsia"/>
                                </w:rPr>
                                <w:t>N</w:t>
                              </w:r>
                              <w:r>
                                <w:t xml:space="preserve"> 22°28'41.95"</w:t>
                              </w:r>
                              <w:r>
                                <w:rPr>
                                  <w:rFonts w:hint="eastAsia"/>
                                </w:rPr>
                                <w:t>，E</w:t>
                              </w:r>
                              <w:r>
                                <w:t xml:space="preserve"> 112°32'49.10"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0" name="流程图: 联系 16"/>
                        <wps:cNvSpPr/>
                        <wps:spPr>
                          <a:xfrm>
                            <a:off x="3748" y="352668"/>
                            <a:ext cx="102" cy="102"/>
                          </a:xfrm>
                          <a:prstGeom prst="flowChartConnector">
                            <a:avLst/>
                          </a:prstGeom>
                          <a:grp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81.75pt;margin-top:121.95pt;height:84.05pt;width:194.8pt;z-index:251444224;mso-width-relative:page;mso-height-relative:page;" coordorigin="1233,352668" coordsize="3896,1253" o:gfxdata="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">
                <o:lock v:ext="edit" aspectratio="f"/>
                <v:shape id="矩形标注 15" o:spid="_x0000_s1026" o:spt="61" type="#_x0000_t61" style="position:absolute;left:1233;top:353338;height:583;width:3896;v-text-anchor:middle;" filled="t" stroked="t" coordsize="21600,21600" o:gfxdata="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jS7We8AAAA&#10;2wAAAA8AAAAAAAAAAQAgAAAAIgAAAGRycy9kb3ducmV2LnhtbFBLAQIUABQAAAAIAIdO4kAzLwWe&#10;OwAAADkAAAAQAAAAAAAAAAEAIAAAAAsBAABkcnMvc2hhcGV4bWwueG1sUEsFBgAAAAAGAAYAWwEA&#10;ALUDAAAAAA==&#10;" adj="14311,-22137">
                  <v:fill on="t" focussize="0,0"/>
                  <v:stroke weight="1pt" color="#FF00FF [3204]" miterlimit="8" joinstyle="miter"/>
                  <v:imagedata o:title=""/>
                  <o:lock v:ext="edit" aspectratio="f"/>
                  <v:textbox>
                    <w:txbxContent>
                      <w:p>
                        <w:pPr>
                          <w:widowControl w:val="0"/>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p>
                        <w:pPr>
                          <w:pStyle w:val="145"/>
                          <w:rPr>
                            <w:rFonts w:eastAsiaTheme="minorEastAsia"/>
                          </w:rPr>
                        </w:pPr>
                        <w:r>
                          <w:rPr>
                            <w:rFonts w:hint="eastAsia"/>
                          </w:rPr>
                          <w:t>N</w:t>
                        </w:r>
                        <w:r>
                          <w:t xml:space="preserve"> 22°28'41.95"</w:t>
                        </w:r>
                        <w:r>
                          <w:rPr>
                            <w:rFonts w:hint="eastAsia"/>
                          </w:rPr>
                          <w:t>，E</w:t>
                        </w:r>
                        <w:r>
                          <w:t xml:space="preserve"> 112°32'49.10"</w:t>
                        </w:r>
                      </w:p>
                    </w:txbxContent>
                  </v:textbox>
                </v:shape>
                <v:shape id="流程图: 联系 16" o:spid="_x0000_s1026" o:spt="120" type="#_x0000_t120" style="position:absolute;left:3748;top:352668;height:102;width:102;v-text-anchor:middle;" filled="t" stroked="t" coordsize="21600,21600" o:gfxdata="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n95L7sAAADb&#10;AAAADwAAAAAAAAABACAAAAAiAAAAZHJzL2Rvd25yZXYueG1sUEsBAhQAFAAAAAgAh07iQDMvBZ47&#10;AAAAOQAAABAAAAAAAAAAAQAgAAAACgEAAGRycy9zaGFwZXhtbC54bWxQSwUGAAAAAAYABgBbAQAA&#10;tAMAAAAA&#10;">
                  <v:fill on="t" focussize="0,0"/>
                  <v:stroke weight="1pt" color="#FF0000 [3204]" miterlimit="8" joinstyle="miter"/>
                  <v:imagedata o:title=""/>
                  <o:lock v:ext="edit" aspectratio="f"/>
                </v:shape>
              </v:group>
            </w:pict>
          </mc:Fallback>
        </mc:AlternateContent>
      </w:r>
      <w:r>
        <w:rPr>
          <w:rFonts w:eastAsiaTheme="minorEastAsia"/>
          <w:sz w:val="21"/>
        </w:rPr>
        <mc:AlternateContent>
          <mc:Choice Requires="wps">
            <w:drawing>
              <wp:anchor distT="0" distB="0" distL="114300" distR="114300" simplePos="0" relativeHeight="251784192" behindDoc="0" locked="0" layoutInCell="1" allowOverlap="1">
                <wp:simplePos x="0" y="0"/>
                <wp:positionH relativeFrom="column">
                  <wp:posOffset>115570</wp:posOffset>
                </wp:positionH>
                <wp:positionV relativeFrom="paragraph">
                  <wp:posOffset>66040</wp:posOffset>
                </wp:positionV>
                <wp:extent cx="1057275" cy="1047750"/>
                <wp:effectExtent l="0" t="0" r="28575" b="19050"/>
                <wp:wrapNone/>
                <wp:docPr id="481" name="文本框 481"/>
                <wp:cNvGraphicFramePr/>
                <a:graphic xmlns:a="http://schemas.openxmlformats.org/drawingml/2006/main">
                  <a:graphicData uri="http://schemas.microsoft.com/office/word/2010/wordprocessingShape">
                    <wps:wsp>
                      <wps:cNvSpPr txBox="1">
                        <a:spLocks noChangeArrowheads="1"/>
                      </wps:cNvSpPr>
                      <wps:spPr bwMode="auto">
                        <a:xfrm>
                          <a:off x="0" y="0"/>
                          <a:ext cx="1057275" cy="1047750"/>
                        </a:xfrm>
                        <a:prstGeom prst="rect">
                          <a:avLst/>
                        </a:prstGeom>
                        <a:solidFill>
                          <a:srgbClr val="FFFFFF"/>
                        </a:solidFill>
                        <a:ln w="9525">
                          <a:solidFill>
                            <a:srgbClr val="000000"/>
                          </a:solidFill>
                          <a:miter lim="800000"/>
                        </a:ln>
                      </wps:spPr>
                      <wps:txbx>
                        <w:txbxContent>
                          <w:p>
                            <w:pPr>
                              <w:spacing w:line="240" w:lineRule="auto"/>
                              <w:ind w:firstLine="0" w:firstLineChars="0"/>
                            </w:pPr>
                            <w:r>
                              <w:drawing>
                                <wp:inline distT="0" distB="0" distL="0" distR="0">
                                  <wp:extent cx="933450" cy="923925"/>
                                  <wp:effectExtent l="0" t="0" r="0" b="9525"/>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933450" cy="9239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9.1pt;margin-top:5.2pt;height:82.5pt;width:83.25pt;z-index:251784192;mso-width-relative:page;mso-height-relative:page;" fillcolor="#FFFFFF" filled="t" stroked="t" coordsize="21600,21600" o:gfxdata="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5PL5s9cAAAAJAQAADwAAAAAAAAABACAAAAAiAAAAZHJzL2Rvd25yZXYueG1sUEsBAhQAFAAA&#10;AAgAh07iQFpjy8opAgAAPgQAAA4AAAAAAAAAAQAgAAAAJgEAAGRycy9lMm9Eb2MueG1sUEsFBgAA&#10;AAAGAAYAWQEAAMEFAAAAAA==&#10;">
                <v:fill on="t" focussize="0,0"/>
                <v:stroke color="#000000" miterlimit="8" joinstyle="miter"/>
                <v:imagedata o:title=""/>
                <o:lock v:ext="edit" aspectratio="f"/>
                <v:textbox>
                  <w:txbxContent>
                    <w:p>
                      <w:pPr>
                        <w:spacing w:line="240" w:lineRule="auto"/>
                        <w:ind w:firstLine="0" w:firstLineChars="0"/>
                      </w:pPr>
                      <w:r>
                        <w:drawing>
                          <wp:inline distT="0" distB="0" distL="0" distR="0">
                            <wp:extent cx="933450" cy="923925"/>
                            <wp:effectExtent l="0" t="0" r="0" b="9525"/>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933450" cy="923925"/>
                                    </a:xfrm>
                                    <a:prstGeom prst="rect">
                                      <a:avLst/>
                                    </a:prstGeom>
                                    <a:noFill/>
                                    <a:ln>
                                      <a:noFill/>
                                    </a:ln>
                                  </pic:spPr>
                                </pic:pic>
                              </a:graphicData>
                            </a:graphic>
                          </wp:inline>
                        </w:drawing>
                      </w:r>
                    </w:p>
                  </w:txbxContent>
                </v:textbox>
              </v:shape>
            </w:pict>
          </mc:Fallback>
        </mc:AlternateContent>
      </w:r>
      <w:r>
        <w:rPr>
          <w:rFonts w:eastAsiaTheme="minorEastAsia"/>
        </w:rPr>
        <w:drawing>
          <wp:inline distT="0" distB="0" distL="114300" distR="114300">
            <wp:extent cx="5316855" cy="4625340"/>
            <wp:effectExtent l="0" t="0" r="0" b="3810"/>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30"/>
                    <a:stretch>
                      <a:fillRect/>
                    </a:stretch>
                  </pic:blipFill>
                  <pic:spPr>
                    <a:xfrm>
                      <a:off x="0" y="0"/>
                      <a:ext cx="5316855" cy="4625663"/>
                    </a:xfrm>
                    <a:prstGeom prst="rect">
                      <a:avLst/>
                    </a:prstGeom>
                    <a:noFill/>
                    <a:ln w="9525">
                      <a:noFill/>
                    </a:ln>
                  </pic:spPr>
                </pic:pic>
              </a:graphicData>
            </a:graphic>
          </wp:inline>
        </w:drawing>
      </w:r>
    </w:p>
    <w:p>
      <w:pPr>
        <w:pStyle w:val="18"/>
      </w:pPr>
      <w:bookmarkStart w:id="60" w:name="_Ref522822458"/>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bookmarkEnd w:id="60"/>
      <w:r>
        <w:rPr>
          <w:rFonts w:hint="eastAsia"/>
        </w:rPr>
        <w:t>江门市大气环境功能分区图</w:t>
      </w:r>
    </w:p>
    <w:p>
      <w:pPr>
        <w:ind w:firstLine="0" w:firstLineChars="0"/>
        <w:rPr>
          <w:rFonts w:eastAsiaTheme="minorEastAsia"/>
        </w:rPr>
      </w:pPr>
    </w:p>
    <w:p>
      <w:pPr>
        <w:ind w:firstLine="0" w:firstLineChars="0"/>
        <w:rPr>
          <w:rFonts w:eastAsiaTheme="minorEastAsia"/>
        </w:rPr>
        <w:sectPr>
          <w:pgSz w:w="11906" w:h="16838"/>
          <w:pgMar w:top="1418" w:right="1418" w:bottom="1418" w:left="1418" w:header="851" w:footer="992" w:gutter="0"/>
          <w:cols w:space="720" w:num="1"/>
          <w:docGrid w:type="lines" w:linePitch="312" w:charSpace="0"/>
        </w:sectPr>
      </w:pPr>
    </w:p>
    <w:p>
      <w:pPr>
        <w:pStyle w:val="107"/>
        <w:keepNext/>
      </w:pPr>
      <w:r>
        <w:drawing>
          <wp:inline distT="0" distB="0" distL="0" distR="0">
            <wp:extent cx="7606030" cy="5156200"/>
            <wp:effectExtent l="0" t="0" r="0" b="635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1"/>
                    <a:stretch>
                      <a:fillRect/>
                    </a:stretch>
                  </pic:blipFill>
                  <pic:spPr>
                    <a:xfrm>
                      <a:off x="0" y="0"/>
                      <a:ext cx="7607661" cy="5157833"/>
                    </a:xfrm>
                    <a:prstGeom prst="rect">
                      <a:avLst/>
                    </a:prstGeom>
                  </pic:spPr>
                </pic:pic>
              </a:graphicData>
            </a:graphic>
          </wp:inline>
        </w:drawing>
      </w:r>
    </w:p>
    <w:p>
      <w:pPr>
        <w:pStyle w:val="18"/>
      </w:pPr>
      <w:bookmarkStart w:id="61" w:name="_Hlk3482210"/>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r>
        <w:t xml:space="preserve"> </w:t>
      </w:r>
      <w:r>
        <w:rPr>
          <w:rFonts w:hint="eastAsia"/>
        </w:rPr>
        <w:t>项目所在区域水系图</w:t>
      </w:r>
      <w:bookmarkEnd w:id="61"/>
      <w:r>
        <w:br w:type="page"/>
      </w:r>
    </w:p>
    <w:p>
      <w:pPr>
        <w:keepNext/>
        <w:spacing w:line="240" w:lineRule="auto"/>
        <w:ind w:firstLine="0" w:firstLineChars="0"/>
        <w:rPr>
          <w:rFonts w:eastAsiaTheme="minorEastAsia"/>
        </w:rPr>
      </w:pPr>
      <w:r>
        <w:rPr>
          <w:rFonts w:eastAsiaTheme="minorEastAsia"/>
        </w:rPr>
        <mc:AlternateContent>
          <mc:Choice Requires="wpg">
            <w:drawing>
              <wp:anchor distT="0" distB="0" distL="114300" distR="114300" simplePos="0" relativeHeight="251475968" behindDoc="0" locked="0" layoutInCell="1" allowOverlap="1">
                <wp:simplePos x="0" y="0"/>
                <wp:positionH relativeFrom="column">
                  <wp:posOffset>2077720</wp:posOffset>
                </wp:positionH>
                <wp:positionV relativeFrom="paragraph">
                  <wp:posOffset>1268730</wp:posOffset>
                </wp:positionV>
                <wp:extent cx="1575435" cy="365760"/>
                <wp:effectExtent l="57150" t="0" r="24765" b="15240"/>
                <wp:wrapNone/>
                <wp:docPr id="31" name="组合 31"/>
                <wp:cNvGraphicFramePr/>
                <a:graphic xmlns:a="http://schemas.openxmlformats.org/drawingml/2006/main">
                  <a:graphicData uri="http://schemas.microsoft.com/office/word/2010/wordprocessingGroup">
                    <wpg:wgp>
                      <wpg:cNvGrpSpPr/>
                      <wpg:grpSpPr>
                        <a:xfrm>
                          <a:off x="0" y="0"/>
                          <a:ext cx="1575435" cy="365760"/>
                          <a:chOff x="3333" y="397705"/>
                          <a:chExt cx="2482" cy="577"/>
                        </a:xfrm>
                      </wpg:grpSpPr>
                      <wps:wsp>
                        <wps:cNvPr id="17" name="流程图: 联系 16"/>
                        <wps:cNvSpPr/>
                        <wps:spPr>
                          <a:xfrm rot="12540000">
                            <a:off x="3333" y="398176"/>
                            <a:ext cx="94" cy="89"/>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 name="矩形标注 15"/>
                        <wps:cNvSpPr/>
                        <wps:spPr>
                          <a:xfrm>
                            <a:off x="4266" y="397705"/>
                            <a:ext cx="1549" cy="577"/>
                          </a:xfrm>
                          <a:prstGeom prst="wedgeRectCallout">
                            <a:avLst>
                              <a:gd name="adj1" fmla="val -109150"/>
                              <a:gd name="adj2" fmla="val 35282"/>
                            </a:avLst>
                          </a:prstGeom>
                          <a:solidFill>
                            <a:srgbClr val="FFFFFF">
                              <a:alpha val="40000"/>
                            </a:srgbClr>
                          </a:solidFill>
                          <a:ln>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txbx>
                          <w:txbxContent>
                            <w:p>
                              <w:pPr>
                                <w:widowControl w:val="0"/>
                                <w:spacing w:line="240" w:lineRule="auto"/>
                                <w:ind w:firstLine="0" w:firstLineChars="0"/>
                                <w:jc w:val="center"/>
                                <w:rPr>
                                  <w:rFonts w:eastAsiaTheme="minorEastAsia"/>
                                </w:rPr>
                              </w:pPr>
                              <w:r>
                                <w:rPr>
                                  <w:rFonts w:hint="eastAsia"/>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63.6pt;margin-top:99.9pt;height:28.8pt;width:124.05pt;z-index:251475968;mso-width-relative:page;mso-height-relative:page;" coordorigin="3333,397705" coordsize="2482,577" o:gfxdata="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">
                <o:lock v:ext="edit" aspectratio="f"/>
                <v:shape id="流程图: 联系 16" o:spid="_x0000_s1026" o:spt="120" type="#_x0000_t120" style="position:absolute;left:3333;top:398176;height:89;width:94;rotation:-9895936f;v-text-anchor:middle;" fillcolor="#FF0000" filled="t" stroked="t" coordsize="21600,21600" o:gfxdata="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EDHWugAAANsA&#10;AAAPAAAAAAAAAAEAIAAAACIAAABkcnMvZG93bnJldi54bWxQSwECFAAUAAAACACHTuJAMy8FnjsA&#10;AAA5AAAAEAAAAAAAAAABACAAAAAJAQAAZHJzL3NoYXBleG1sLnhtbFBLBQYAAAAABgAGAFsBAACz&#10;AwAAAAA=&#10;">
                  <v:fill on="t" focussize="0,0"/>
                  <v:stroke weight="1pt" color="#FF0000 [3204]" miterlimit="8" joinstyle="miter"/>
                  <v:imagedata o:title=""/>
                  <o:lock v:ext="edit" aspectratio="f"/>
                </v:shape>
                <v:shape id="矩形标注 15" o:spid="_x0000_s1026" o:spt="61" type="#_x0000_t61" style="position:absolute;left:4266;top:397705;height:577;width:1549;v-text-anchor:middle;" fillcolor="#FFFFFF" filled="t" stroked="t" coordsize="21600,21600" o:gfxdata="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adrXvQAA&#10;ANsAAAAPAAAAAAAAAAEAIAAAACIAAABkcnMvZG93bnJldi54bWxQSwECFAAUAAAACACHTuJAMy8F&#10;njsAAAA5AAAAEAAAAAAAAAABACAAAAAMAQAAZHJzL3NoYXBleG1sLnhtbFBLBQYAAAAABgAGAFsB&#10;AAC2AwAAAAA=&#10;" adj="-12776,18421">
                  <v:fill on="t" opacity="26214f" focussize="0,0"/>
                  <v:stroke weight="1pt" color="#FF00FF [3204]" miterlimit="8" joinstyle="miter"/>
                  <v:imagedata o:title=""/>
                  <o:lock v:ext="edit" aspectratio="f"/>
                  <v:textbox>
                    <w:txbxContent>
                      <w:p>
                        <w:pPr>
                          <w:widowControl w:val="0"/>
                          <w:spacing w:line="240" w:lineRule="auto"/>
                          <w:ind w:firstLine="0" w:firstLineChars="0"/>
                          <w:jc w:val="center"/>
                          <w:rPr>
                            <w:rFonts w:eastAsiaTheme="minorEastAsia"/>
                          </w:rPr>
                        </w:pPr>
                        <w:r>
                          <w:rPr>
                            <w:rFonts w:hint="eastAsia"/>
                            <w:color w:val="000000" w:themeColor="text1"/>
                            <w14:textFill>
                              <w14:solidFill>
                                <w14:schemeClr w14:val="tx1"/>
                              </w14:solidFill>
                            </w14:textFill>
                          </w:rPr>
                          <w:t>项目位置</w:t>
                        </w:r>
                      </w:p>
                    </w:txbxContent>
                  </v:textbox>
                </v:shape>
              </v:group>
            </w:pict>
          </mc:Fallback>
        </mc:AlternateContent>
      </w:r>
      <w:r>
        <w:rPr>
          <w:rFonts w:eastAsiaTheme="minorEastAsia"/>
        </w:rPr>
        <mc:AlternateContent>
          <mc:Choice Requires="wps">
            <w:drawing>
              <wp:anchor distT="0" distB="0" distL="114300" distR="114300" simplePos="0" relativeHeight="251706368" behindDoc="0" locked="0" layoutInCell="1" allowOverlap="1">
                <wp:simplePos x="0" y="0"/>
                <wp:positionH relativeFrom="column">
                  <wp:posOffset>241300</wp:posOffset>
                </wp:positionH>
                <wp:positionV relativeFrom="paragraph">
                  <wp:posOffset>794385</wp:posOffset>
                </wp:positionV>
                <wp:extent cx="657225" cy="361950"/>
                <wp:effectExtent l="0" t="0" r="0" b="0"/>
                <wp:wrapNone/>
                <wp:docPr id="490" name="文本框 490"/>
                <wp:cNvGraphicFramePr/>
                <a:graphic xmlns:a="http://schemas.openxmlformats.org/drawingml/2006/main">
                  <a:graphicData uri="http://schemas.microsoft.com/office/word/2010/wordprocessingShape">
                    <wps:wsp>
                      <wps:cNvSpPr txBox="1"/>
                      <wps:spPr>
                        <a:xfrm>
                          <a:off x="0" y="0"/>
                          <a:ext cx="657225" cy="361950"/>
                        </a:xfrm>
                        <a:prstGeom prst="rect">
                          <a:avLst/>
                        </a:prstGeom>
                        <a:noFill/>
                        <a:ln w="6350">
                          <a:noFill/>
                        </a:ln>
                      </wps:spPr>
                      <wps:txbx>
                        <w:txbxContent>
                          <w:p>
                            <w:pPr>
                              <w:ind w:firstLine="0" w:firstLineChars="0"/>
                            </w:pPr>
                            <w:r>
                              <w:rPr>
                                <w:rFonts w:hint="eastAsia"/>
                              </w:rPr>
                              <w:t>开平水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pt;margin-top:62.55pt;height:28.5pt;width:51.75pt;z-index:251706368;mso-width-relative:page;mso-height-relative:page;" filled="f" stroked="f" coordsize="21600,21600" o:gfxdata="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WI4Xm&#10;2gAAAAoBAAAPAAAAAAAAAAEAIAAAACIAAABkcnMvZG93bnJldi54bWxQSwECFAAUAAAACACHTuJA&#10;M1Mq/R8CAAAbBAAADgAAAAAAAAABACAAAAApAQAAZHJzL2Uyb0RvYy54bWxQSwUGAAAAAAYABgBZ&#10;AQAAugUAAAAA&#10;">
                <v:fill on="f" focussize="0,0"/>
                <v:stroke on="f" weight="0.5pt"/>
                <v:imagedata o:title=""/>
                <o:lock v:ext="edit" aspectratio="f"/>
                <v:textbox>
                  <w:txbxContent>
                    <w:p>
                      <w:pPr>
                        <w:ind w:firstLine="0" w:firstLineChars="0"/>
                      </w:pPr>
                      <w:r>
                        <w:rPr>
                          <w:rFonts w:hint="eastAsia"/>
                        </w:rPr>
                        <w:t>开平水</w:t>
                      </w:r>
                    </w:p>
                  </w:txbxContent>
                </v:textbox>
              </v:shape>
            </w:pict>
          </mc:Fallback>
        </mc:AlternateContent>
      </w:r>
      <w:r>
        <w:rPr>
          <w:rFonts w:eastAsiaTheme="minorEastAsia"/>
        </w:rPr>
        <mc:AlternateContent>
          <mc:Choice Requires="wps">
            <w:drawing>
              <wp:anchor distT="0" distB="0" distL="114300" distR="114300" simplePos="0" relativeHeight="251686912" behindDoc="0" locked="0" layoutInCell="1" allowOverlap="1">
                <wp:simplePos x="0" y="0"/>
                <wp:positionH relativeFrom="column">
                  <wp:posOffset>600710</wp:posOffset>
                </wp:positionH>
                <wp:positionV relativeFrom="paragraph">
                  <wp:posOffset>77470</wp:posOffset>
                </wp:positionV>
                <wp:extent cx="486410" cy="1152525"/>
                <wp:effectExtent l="0" t="0" r="28575" b="28575"/>
                <wp:wrapNone/>
                <wp:docPr id="489" name="任意多边形 489"/>
                <wp:cNvGraphicFramePr/>
                <a:graphic xmlns:a="http://schemas.openxmlformats.org/drawingml/2006/main">
                  <a:graphicData uri="http://schemas.microsoft.com/office/word/2010/wordprocessingShape">
                    <wps:wsp>
                      <wps:cNvSpPr/>
                      <wps:spPr>
                        <a:xfrm>
                          <a:off x="0" y="0"/>
                          <a:ext cx="486242" cy="1152525"/>
                        </a:xfrm>
                        <a:custGeom>
                          <a:avLst/>
                          <a:gdLst>
                            <a:gd name="connsiteX0" fmla="*/ 29042 w 486242"/>
                            <a:gd name="connsiteY0" fmla="*/ 0 h 1152525"/>
                            <a:gd name="connsiteX1" fmla="*/ 19517 w 486242"/>
                            <a:gd name="connsiteY1" fmla="*/ 47625 h 1152525"/>
                            <a:gd name="connsiteX2" fmla="*/ 467 w 486242"/>
                            <a:gd name="connsiteY2" fmla="*/ 85725 h 1152525"/>
                            <a:gd name="connsiteX3" fmla="*/ 19517 w 486242"/>
                            <a:gd name="connsiteY3" fmla="*/ 247650 h 1152525"/>
                            <a:gd name="connsiteX4" fmla="*/ 29042 w 486242"/>
                            <a:gd name="connsiteY4" fmla="*/ 323850 h 1152525"/>
                            <a:gd name="connsiteX5" fmla="*/ 48092 w 486242"/>
                            <a:gd name="connsiteY5" fmla="*/ 352425 h 1152525"/>
                            <a:gd name="connsiteX6" fmla="*/ 76667 w 486242"/>
                            <a:gd name="connsiteY6" fmla="*/ 381000 h 1152525"/>
                            <a:gd name="connsiteX7" fmla="*/ 143342 w 486242"/>
                            <a:gd name="connsiteY7" fmla="*/ 409575 h 1152525"/>
                            <a:gd name="connsiteX8" fmla="*/ 171917 w 486242"/>
                            <a:gd name="connsiteY8" fmla="*/ 438150 h 1152525"/>
                            <a:gd name="connsiteX9" fmla="*/ 190967 w 486242"/>
                            <a:gd name="connsiteY9" fmla="*/ 466725 h 1152525"/>
                            <a:gd name="connsiteX10" fmla="*/ 219542 w 486242"/>
                            <a:gd name="connsiteY10" fmla="*/ 485775 h 1152525"/>
                            <a:gd name="connsiteX11" fmla="*/ 229067 w 486242"/>
                            <a:gd name="connsiteY11" fmla="*/ 514350 h 1152525"/>
                            <a:gd name="connsiteX12" fmla="*/ 267167 w 486242"/>
                            <a:gd name="connsiteY12" fmla="*/ 571500 h 1152525"/>
                            <a:gd name="connsiteX13" fmla="*/ 343367 w 486242"/>
                            <a:gd name="connsiteY13" fmla="*/ 657225 h 1152525"/>
                            <a:gd name="connsiteX14" fmla="*/ 381467 w 486242"/>
                            <a:gd name="connsiteY14" fmla="*/ 666750 h 1152525"/>
                            <a:gd name="connsiteX15" fmla="*/ 457667 w 486242"/>
                            <a:gd name="connsiteY15" fmla="*/ 733425 h 1152525"/>
                            <a:gd name="connsiteX16" fmla="*/ 476717 w 486242"/>
                            <a:gd name="connsiteY16" fmla="*/ 790575 h 1152525"/>
                            <a:gd name="connsiteX17" fmla="*/ 486242 w 486242"/>
                            <a:gd name="connsiteY17" fmla="*/ 819150 h 1152525"/>
                            <a:gd name="connsiteX18" fmla="*/ 476717 w 486242"/>
                            <a:gd name="connsiteY18" fmla="*/ 885825 h 1152525"/>
                            <a:gd name="connsiteX19" fmla="*/ 448142 w 486242"/>
                            <a:gd name="connsiteY19" fmla="*/ 914400 h 1152525"/>
                            <a:gd name="connsiteX20" fmla="*/ 419567 w 486242"/>
                            <a:gd name="connsiteY20" fmla="*/ 971550 h 1152525"/>
                            <a:gd name="connsiteX21" fmla="*/ 429092 w 486242"/>
                            <a:gd name="connsiteY21" fmla="*/ 1114425 h 1152525"/>
                            <a:gd name="connsiteX22" fmla="*/ 410042 w 486242"/>
                            <a:gd name="connsiteY22" fmla="*/ 1152525 h 1152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486242" h="1152525">
                              <a:moveTo>
                                <a:pt x="29042" y="0"/>
                              </a:moveTo>
                              <a:cubicBezTo>
                                <a:pt x="25867" y="15875"/>
                                <a:pt x="24637" y="32266"/>
                                <a:pt x="19517" y="47625"/>
                              </a:cubicBezTo>
                              <a:cubicBezTo>
                                <a:pt x="15027" y="61095"/>
                                <a:pt x="1412" y="71557"/>
                                <a:pt x="467" y="85725"/>
                              </a:cubicBezTo>
                              <a:cubicBezTo>
                                <a:pt x="-2845" y="135401"/>
                                <a:pt x="12259" y="196843"/>
                                <a:pt x="19517" y="247650"/>
                              </a:cubicBezTo>
                              <a:cubicBezTo>
                                <a:pt x="23137" y="272990"/>
                                <a:pt x="22307" y="299154"/>
                                <a:pt x="29042" y="323850"/>
                              </a:cubicBezTo>
                              <a:cubicBezTo>
                                <a:pt x="32054" y="334894"/>
                                <a:pt x="40763" y="343631"/>
                                <a:pt x="48092" y="352425"/>
                              </a:cubicBezTo>
                              <a:cubicBezTo>
                                <a:pt x="56716" y="362773"/>
                                <a:pt x="65706" y="373170"/>
                                <a:pt x="76667" y="381000"/>
                              </a:cubicBezTo>
                              <a:cubicBezTo>
                                <a:pt x="97265" y="395713"/>
                                <a:pt x="120023" y="401802"/>
                                <a:pt x="143342" y="409575"/>
                              </a:cubicBezTo>
                              <a:cubicBezTo>
                                <a:pt x="152867" y="419100"/>
                                <a:pt x="163293" y="427802"/>
                                <a:pt x="171917" y="438150"/>
                              </a:cubicBezTo>
                              <a:cubicBezTo>
                                <a:pt x="179246" y="446944"/>
                                <a:pt x="182872" y="458630"/>
                                <a:pt x="190967" y="466725"/>
                              </a:cubicBezTo>
                              <a:cubicBezTo>
                                <a:pt x="199062" y="474820"/>
                                <a:pt x="210017" y="479425"/>
                                <a:pt x="219542" y="485775"/>
                              </a:cubicBezTo>
                              <a:cubicBezTo>
                                <a:pt x="222717" y="495300"/>
                                <a:pt x="224191" y="505573"/>
                                <a:pt x="229067" y="514350"/>
                              </a:cubicBezTo>
                              <a:cubicBezTo>
                                <a:pt x="240186" y="534364"/>
                                <a:pt x="254467" y="552450"/>
                                <a:pt x="267167" y="571500"/>
                              </a:cubicBezTo>
                              <a:cubicBezTo>
                                <a:pt x="284527" y="597540"/>
                                <a:pt x="317269" y="650701"/>
                                <a:pt x="343367" y="657225"/>
                              </a:cubicBezTo>
                              <a:lnTo>
                                <a:pt x="381467" y="666750"/>
                              </a:lnTo>
                              <a:cubicBezTo>
                                <a:pt x="418063" y="691147"/>
                                <a:pt x="440956" y="695826"/>
                                <a:pt x="457667" y="733425"/>
                              </a:cubicBezTo>
                              <a:cubicBezTo>
                                <a:pt x="465822" y="751775"/>
                                <a:pt x="470367" y="771525"/>
                                <a:pt x="476717" y="790575"/>
                              </a:cubicBezTo>
                              <a:lnTo>
                                <a:pt x="486242" y="819150"/>
                              </a:lnTo>
                              <a:cubicBezTo>
                                <a:pt x="483067" y="841375"/>
                                <a:pt x="485055" y="864980"/>
                                <a:pt x="476717" y="885825"/>
                              </a:cubicBezTo>
                              <a:cubicBezTo>
                                <a:pt x="471714" y="898332"/>
                                <a:pt x="456766" y="904052"/>
                                <a:pt x="448142" y="914400"/>
                              </a:cubicBezTo>
                              <a:cubicBezTo>
                                <a:pt x="427626" y="939019"/>
                                <a:pt x="429113" y="942911"/>
                                <a:pt x="419567" y="971550"/>
                              </a:cubicBezTo>
                              <a:cubicBezTo>
                                <a:pt x="444975" y="1047774"/>
                                <a:pt x="444749" y="1020485"/>
                                <a:pt x="429092" y="1114425"/>
                              </a:cubicBezTo>
                              <a:cubicBezTo>
                                <a:pt x="424714" y="1140693"/>
                                <a:pt x="423730" y="1138837"/>
                                <a:pt x="410042" y="115252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47.3pt;margin-top:6.1pt;height:90.75pt;width:38.3pt;z-index:251686912;v-text-anchor:middle;mso-width-relative:page;mso-height-relative:page;" filled="f" stroked="t" coordsize="486242,1152525" o:gfxdata="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" path="m29042,0c25867,15875,24637,32266,19517,47625c15027,61095,1412,71557,467,85725c-2845,135401,12259,196843,19517,247650c23137,272990,22307,299154,29042,323850c32054,334894,40763,343631,48092,352425c56716,362773,65706,373170,76667,381000c97265,395713,120023,401802,143342,409575c152867,419100,163293,427802,171917,438150c179246,446944,182872,458630,190967,466725c199062,474820,210017,479425,219542,485775c222717,495300,224191,505573,229067,514350c240186,534364,254467,552450,267167,571500c284527,597540,317269,650701,343367,657225l381467,666750c418063,691147,440956,695826,457667,733425c465822,751775,470367,771525,476717,790575l486242,819150c483067,841375,485055,864980,476717,885825c471714,898332,456766,904052,448142,914400c427626,939019,429113,942911,419567,971550c444975,1047774,444749,1020485,429092,1114425c424714,1140693,423730,1138837,410042,1152525e">
                <v:path o:connectlocs="29042,0;19517,47625;467,85725;19517,247650;29042,323850;48092,352425;76667,381000;143342,409575;171917,438150;190967,466725;219542,485775;229067,514350;267167,571500;343367,657225;381467,666750;457667,733425;476717,790575;486242,819150;476717,885825;448142,914400;419567,971550;429092,1114425;410042,1152525" o:connectangles="0,0,0,0,0,0,0,0,0,0,0,0,0,0,0,0,0,0,0,0,0,0,0"/>
                <v:fill on="f" focussize="0,0"/>
                <v:stroke weight="1pt" color="#41719C [3204]" miterlimit="8" joinstyle="miter"/>
                <v:imagedata o:title=""/>
                <o:lock v:ext="edit" aspectratio="f"/>
              </v:shape>
            </w:pict>
          </mc:Fallback>
        </mc:AlternateContent>
      </w:r>
      <w:r>
        <w:rPr>
          <w:rFonts w:eastAsiaTheme="minorEastAsia"/>
        </w:rPr>
        <w:drawing>
          <wp:inline distT="0" distB="0" distL="0" distR="0">
            <wp:extent cx="7667625" cy="5170805"/>
            <wp:effectExtent l="0" t="0" r="0"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pic:cNvPicPr>
                  </pic:nvPicPr>
                  <pic:blipFill>
                    <a:blip r:embed="rId32" cstate="email"/>
                    <a:stretch>
                      <a:fillRect/>
                    </a:stretch>
                  </pic:blipFill>
                  <pic:spPr>
                    <a:xfrm>
                      <a:off x="0" y="0"/>
                      <a:ext cx="7667625" cy="5170805"/>
                    </a:xfrm>
                    <a:prstGeom prst="rect">
                      <a:avLst/>
                    </a:prstGeom>
                  </pic:spPr>
                </pic:pic>
              </a:graphicData>
            </a:graphic>
          </wp:inline>
        </w:drawing>
      </w:r>
    </w:p>
    <w:p>
      <w:pPr>
        <w:pStyle w:val="18"/>
      </w:pPr>
      <w:bookmarkStart w:id="62" w:name="_Ref522822475"/>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3</w:t>
      </w:r>
      <w:r>
        <w:fldChar w:fldCharType="end"/>
      </w:r>
      <w:bookmarkEnd w:id="62"/>
      <w:r>
        <w:rPr>
          <w:rFonts w:hint="eastAsia"/>
        </w:rPr>
        <w:t>地表水功能区划及饮用水源规划图</w:t>
      </w:r>
      <w:r>
        <w:br w:type="page"/>
      </w:r>
    </w:p>
    <w:p>
      <w:pPr>
        <w:ind w:firstLine="480"/>
        <w:jc w:val="center"/>
        <w:rPr>
          <w:rFonts w:eastAsiaTheme="minorEastAsia" w:cstheme="minorBidi"/>
        </w:rPr>
      </w:pPr>
      <w:r>
        <w:rPr>
          <w:rFonts w:eastAsiaTheme="minorEastAsia"/>
        </w:rPr>
        <mc:AlternateContent>
          <mc:Choice Requires="wpg">
            <w:drawing>
              <wp:anchor distT="0" distB="0" distL="114300" distR="114300" simplePos="0" relativeHeight="251522048" behindDoc="0" locked="0" layoutInCell="1" allowOverlap="1">
                <wp:simplePos x="0" y="0"/>
                <wp:positionH relativeFrom="column">
                  <wp:posOffset>4043045</wp:posOffset>
                </wp:positionH>
                <wp:positionV relativeFrom="paragraph">
                  <wp:posOffset>868045</wp:posOffset>
                </wp:positionV>
                <wp:extent cx="1753235" cy="680720"/>
                <wp:effectExtent l="0" t="0" r="18415" b="24130"/>
                <wp:wrapNone/>
                <wp:docPr id="143" name="组合 143"/>
                <wp:cNvGraphicFramePr/>
                <a:graphic xmlns:a="http://schemas.openxmlformats.org/drawingml/2006/main">
                  <a:graphicData uri="http://schemas.microsoft.com/office/word/2010/wordprocessingGroup">
                    <wpg:wgp>
                      <wpg:cNvGrpSpPr/>
                      <wpg:grpSpPr>
                        <a:xfrm>
                          <a:off x="0" y="0"/>
                          <a:ext cx="1753235" cy="680720"/>
                          <a:chOff x="8380" y="357966"/>
                          <a:chExt cx="2761" cy="1072"/>
                        </a:xfrm>
                        <a:solidFill>
                          <a:srgbClr val="FFFFFF">
                            <a:alpha val="40000"/>
                          </a:srgbClr>
                        </a:solidFill>
                      </wpg:grpSpPr>
                      <wps:wsp>
                        <wps:cNvPr id="144" name="矩形标注 15"/>
                        <wps:cNvSpPr/>
                        <wps:spPr>
                          <a:xfrm>
                            <a:off x="9626" y="357966"/>
                            <a:ext cx="1515" cy="660"/>
                          </a:xfrm>
                          <a:prstGeom prst="wedgeRectCallout">
                            <a:avLst>
                              <a:gd name="adj1" fmla="val -127264"/>
                              <a:gd name="adj2" fmla="val 105757"/>
                            </a:avLst>
                          </a:prstGeom>
                          <a:grpFill/>
                          <a:ln>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txbx>
                          <w:txbxContent>
                            <w:p>
                              <w:pPr>
                                <w:widowControl w:val="0"/>
                                <w:spacing w:line="240" w:lineRule="auto"/>
                                <w:ind w:firstLine="0" w:firstLineChars="0"/>
                                <w:jc w:val="center"/>
                                <w:rPr>
                                  <w:rFonts w:eastAsiaTheme="minorEastAsia"/>
                                </w:rPr>
                              </w:pPr>
                              <w:r>
                                <w:rPr>
                                  <w:rFonts w:hint="eastAsia"/>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5" name="流程图: 联系 16"/>
                        <wps:cNvSpPr/>
                        <wps:spPr>
                          <a:xfrm>
                            <a:off x="8380" y="358936"/>
                            <a:ext cx="102" cy="102"/>
                          </a:xfrm>
                          <a:prstGeom prst="flowChartConnector">
                            <a:avLst/>
                          </a:prstGeom>
                          <a:grpFill/>
                          <a:ln>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18.35pt;margin-top:68.35pt;height:53.6pt;width:138.05pt;z-index:251522048;mso-width-relative:page;mso-height-relative:page;" coordorigin="8380,357966" coordsize="2761,1072" o:gfxdata="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">
                <o:lock v:ext="edit" aspectratio="f"/>
                <v:shape id="矩形标注 15" o:spid="_x0000_s1026" o:spt="61" type="#_x0000_t61" style="position:absolute;left:9626;top:357966;height:660;width:1515;v-text-anchor:middle;" filled="t" stroked="t" coordsize="21600,21600" o:gfxdata="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6+FoArgAAADcAAAA&#10;DwAAAAAAAAABACAAAAAiAAAAZHJzL2Rvd25yZXYueG1sUEsBAhQAFAAAAAgAh07iQDMvBZ47AAAA&#10;OQAAABAAAAAAAAAAAQAgAAAABwEAAGRycy9zaGFwZXhtbC54bWxQSwUGAAAAAAYABgBbAQAAsQMA&#10;AAAA&#10;" adj="-16689,33644">
                  <v:fill on="t" focussize="0,0"/>
                  <v:stroke weight="1pt" color="#FF00FF [3204]" miterlimit="8" joinstyle="miter"/>
                  <v:imagedata o:title=""/>
                  <o:lock v:ext="edit" aspectratio="f"/>
                  <v:textbox>
                    <w:txbxContent>
                      <w:p>
                        <w:pPr>
                          <w:widowControl w:val="0"/>
                          <w:spacing w:line="240" w:lineRule="auto"/>
                          <w:ind w:firstLine="0" w:firstLineChars="0"/>
                          <w:jc w:val="center"/>
                          <w:rPr>
                            <w:rFonts w:eastAsiaTheme="minorEastAsia"/>
                          </w:rPr>
                        </w:pPr>
                        <w:r>
                          <w:rPr>
                            <w:rFonts w:hint="eastAsia"/>
                            <w:color w:val="000000" w:themeColor="text1"/>
                            <w14:textFill>
                              <w14:solidFill>
                                <w14:schemeClr w14:val="tx1"/>
                              </w14:solidFill>
                            </w14:textFill>
                          </w:rPr>
                          <w:t>项目位置</w:t>
                        </w:r>
                      </w:p>
                    </w:txbxContent>
                  </v:textbox>
                </v:shape>
                <v:shape id="流程图: 联系 16" o:spid="_x0000_s1026" o:spt="120" type="#_x0000_t120" style="position:absolute;left:8380;top:358936;height:102;width:102;v-text-anchor:middle;" filled="t" stroked="t" coordsize="21600,21600" o:gfxdata="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SMzQC8AAAA&#10;3AAAAA8AAAAAAAAAAQAgAAAAIgAAAGRycy9kb3ducmV2LnhtbFBLAQIUABQAAAAIAIdO4kAzLwWe&#10;OwAAADkAAAAQAAAAAAAAAAEAIAAAAAsBAABkcnMvc2hhcGV4bWwueG1sUEsFBgAAAAAGAAYAWwEA&#10;ALUDAAAAAA==&#10;">
                  <v:fill on="t" focussize="0,0"/>
                  <v:stroke weight="1pt" color="#FF00FF [3204]" miterlimit="8" joinstyle="miter"/>
                  <v:imagedata o:title=""/>
                  <o:lock v:ext="edit" aspectratio="f"/>
                </v:shape>
              </v:group>
            </w:pict>
          </mc:Fallback>
        </mc:AlternateContent>
      </w:r>
      <w:r>
        <w:rPr>
          <w:rFonts w:eastAsiaTheme="minorEastAsia"/>
          <w:sz w:val="21"/>
        </w:rPr>
        <mc:AlternateContent>
          <mc:Choice Requires="wps">
            <w:drawing>
              <wp:anchor distT="0" distB="0" distL="114300" distR="114300" simplePos="0" relativeHeight="251842560" behindDoc="0" locked="0" layoutInCell="1" allowOverlap="1">
                <wp:simplePos x="0" y="0"/>
                <wp:positionH relativeFrom="column">
                  <wp:posOffset>1325245</wp:posOffset>
                </wp:positionH>
                <wp:positionV relativeFrom="paragraph">
                  <wp:posOffset>29845</wp:posOffset>
                </wp:positionV>
                <wp:extent cx="1257300" cy="1276350"/>
                <wp:effectExtent l="0" t="0" r="19050" b="19050"/>
                <wp:wrapNone/>
                <wp:docPr id="40" name="文本框 40"/>
                <wp:cNvGraphicFramePr/>
                <a:graphic xmlns:a="http://schemas.openxmlformats.org/drawingml/2006/main">
                  <a:graphicData uri="http://schemas.microsoft.com/office/word/2010/wordprocessingShape">
                    <wps:wsp>
                      <wps:cNvSpPr txBox="1">
                        <a:spLocks noChangeArrowheads="1"/>
                      </wps:cNvSpPr>
                      <wps:spPr bwMode="auto">
                        <a:xfrm>
                          <a:off x="0" y="0"/>
                          <a:ext cx="1257300" cy="1276350"/>
                        </a:xfrm>
                        <a:prstGeom prst="rect">
                          <a:avLst/>
                        </a:prstGeom>
                        <a:solidFill>
                          <a:srgbClr val="FFFFFF"/>
                        </a:solidFill>
                        <a:ln w="9525">
                          <a:solidFill>
                            <a:srgbClr val="000000"/>
                          </a:solidFill>
                          <a:miter lim="800000"/>
                        </a:ln>
                      </wps:spPr>
                      <wps:txbx>
                        <w:txbxContent>
                          <w:p>
                            <w:pPr>
                              <w:spacing w:line="240" w:lineRule="auto"/>
                              <w:ind w:firstLine="0" w:firstLineChars="0"/>
                            </w:pPr>
                            <w:r>
                              <w:drawing>
                                <wp:inline distT="0" distB="0" distL="0" distR="0">
                                  <wp:extent cx="1104900" cy="1093470"/>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106759" cy="109546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04.35pt;margin-top:2.35pt;height:100.5pt;width:99pt;z-index:251842560;mso-width-relative:page;mso-height-relative:page;" fillcolor="#FFFFFF" filled="t" stroked="t" coordsize="21600,21600" o:gfxdata="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DPUFbdgAAAAJAQAADwAAAAAAAAABACAAAAAiAAAAZHJzL2Rvd25yZXYueG1sUEsBAhQAFAAAAAgA&#10;h07iQDmilT8lAgAAPAQAAA4AAAAAAAAAAQAgAAAAJwEAAGRycy9lMm9Eb2MueG1sUEsFBgAAAAAG&#10;AAYAWQEAAL4FAAAAAA==&#10;">
                <v:fill on="t" focussize="0,0"/>
                <v:stroke color="#000000" miterlimit="8" joinstyle="miter"/>
                <v:imagedata o:title=""/>
                <o:lock v:ext="edit" aspectratio="f"/>
                <v:textbox>
                  <w:txbxContent>
                    <w:p>
                      <w:pPr>
                        <w:spacing w:line="240" w:lineRule="auto"/>
                        <w:ind w:firstLine="0" w:firstLineChars="0"/>
                      </w:pPr>
                      <w:r>
                        <w:drawing>
                          <wp:inline distT="0" distB="0" distL="0" distR="0">
                            <wp:extent cx="1104900" cy="1093470"/>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106759" cy="1095466"/>
                                    </a:xfrm>
                                    <a:prstGeom prst="rect">
                                      <a:avLst/>
                                    </a:prstGeom>
                                    <a:noFill/>
                                    <a:ln>
                                      <a:noFill/>
                                    </a:ln>
                                  </pic:spPr>
                                </pic:pic>
                              </a:graphicData>
                            </a:graphic>
                          </wp:inline>
                        </w:drawing>
                      </w:r>
                    </w:p>
                  </w:txbxContent>
                </v:textbox>
              </v:shape>
            </w:pict>
          </mc:Fallback>
        </mc:AlternateContent>
      </w:r>
      <w:r>
        <w:rPr>
          <w:rFonts w:eastAsiaTheme="minorEastAsia" w:cstheme="minorBidi"/>
        </w:rPr>
        <w:drawing>
          <wp:inline distT="0" distB="0" distL="0" distR="0">
            <wp:extent cx="6447790" cy="5119370"/>
            <wp:effectExtent l="19050" t="19050" r="10160" b="2413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pic:cNvPicPr>
                  </pic:nvPicPr>
                  <pic:blipFill>
                    <a:blip r:embed="rId33" cstate="print"/>
                    <a:srcRect/>
                    <a:stretch>
                      <a:fillRect/>
                    </a:stretch>
                  </pic:blipFill>
                  <pic:spPr>
                    <a:xfrm>
                      <a:off x="0" y="0"/>
                      <a:ext cx="6470794" cy="5137326"/>
                    </a:xfrm>
                    <a:prstGeom prst="rect">
                      <a:avLst/>
                    </a:prstGeom>
                    <a:ln>
                      <a:solidFill>
                        <a:schemeClr val="tx1"/>
                      </a:solidFill>
                    </a:ln>
                  </pic:spPr>
                </pic:pic>
              </a:graphicData>
            </a:graphic>
          </wp:inline>
        </w:drawing>
      </w:r>
    </w:p>
    <w:p>
      <w:pPr>
        <w:pStyle w:val="18"/>
      </w:pPr>
      <w:bookmarkStart w:id="63" w:name="_Ref522822486"/>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4</w:t>
      </w:r>
      <w:r>
        <w:fldChar w:fldCharType="end"/>
      </w:r>
      <w:bookmarkEnd w:id="63"/>
      <w:r>
        <w:rPr>
          <w:rFonts w:hint="eastAsia"/>
        </w:rPr>
        <w:t>江门市浅层地下水功能区划图</w:t>
      </w:r>
      <w:r>
        <w:br w:type="page"/>
      </w:r>
    </w:p>
    <w:p>
      <w:pPr>
        <w:keepNext/>
        <w:ind w:firstLine="0" w:firstLineChars="0"/>
        <w:jc w:val="center"/>
        <w:rPr>
          <w:rFonts w:eastAsiaTheme="minorEastAsia"/>
        </w:rPr>
      </w:pPr>
      <w:r>
        <w:rPr>
          <w:rFonts w:eastAsiaTheme="minorEastAsia"/>
          <w:sz w:val="21"/>
        </w:rPr>
        <mc:AlternateContent>
          <mc:Choice Requires="wpg">
            <w:drawing>
              <wp:anchor distT="0" distB="0" distL="114300" distR="114300" simplePos="0" relativeHeight="251764736" behindDoc="0" locked="0" layoutInCell="1" allowOverlap="1">
                <wp:simplePos x="0" y="0"/>
                <wp:positionH relativeFrom="column">
                  <wp:posOffset>3024505</wp:posOffset>
                </wp:positionH>
                <wp:positionV relativeFrom="paragraph">
                  <wp:posOffset>972820</wp:posOffset>
                </wp:positionV>
                <wp:extent cx="2486025" cy="859790"/>
                <wp:effectExtent l="0" t="0" r="28575" b="35560"/>
                <wp:wrapNone/>
                <wp:docPr id="473" name="组合 473"/>
                <wp:cNvGraphicFramePr/>
                <a:graphic xmlns:a="http://schemas.openxmlformats.org/drawingml/2006/main">
                  <a:graphicData uri="http://schemas.microsoft.com/office/word/2010/wordprocessingGroup">
                    <wpg:wgp>
                      <wpg:cNvGrpSpPr/>
                      <wpg:grpSpPr>
                        <a:xfrm>
                          <a:off x="0" y="0"/>
                          <a:ext cx="2486025" cy="859790"/>
                          <a:chOff x="5007" y="352540"/>
                          <a:chExt cx="3915" cy="1231"/>
                        </a:xfrm>
                        <a:solidFill>
                          <a:srgbClr val="FFFFFF">
                            <a:alpha val="50196"/>
                          </a:srgbClr>
                        </a:solidFill>
                      </wpg:grpSpPr>
                      <wps:wsp>
                        <wps:cNvPr id="474" name="矩形标注 15"/>
                        <wps:cNvSpPr/>
                        <wps:spPr>
                          <a:xfrm>
                            <a:off x="5007" y="352540"/>
                            <a:ext cx="3915" cy="810"/>
                          </a:xfrm>
                          <a:prstGeom prst="wedgeRectCallout">
                            <a:avLst>
                              <a:gd name="adj1" fmla="val -41690"/>
                              <a:gd name="adj2" fmla="val 99792"/>
                            </a:avLst>
                          </a:prstGeom>
                          <a:grpFill/>
                          <a:ln>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txbx>
                          <w:txbxContent>
                            <w:p>
                              <w:pPr>
                                <w:widowControl w:val="0"/>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p>
                              <w:pPr>
                                <w:pStyle w:val="145"/>
                                <w:rPr>
                                  <w:rFonts w:eastAsiaTheme="minorEastAsia"/>
                                </w:rPr>
                              </w:pPr>
                              <w:r>
                                <w:rPr>
                                  <w:rFonts w:hint="eastAsia"/>
                                </w:rPr>
                                <w:t>N</w:t>
                              </w:r>
                              <w:r>
                                <w:t xml:space="preserve"> 22°28'41.95"</w:t>
                              </w:r>
                              <w:r>
                                <w:rPr>
                                  <w:rFonts w:hint="eastAsia"/>
                                </w:rPr>
                                <w:t>，E</w:t>
                              </w:r>
                              <w:r>
                                <w:t xml:space="preserve"> 112°32'49.10"</w:t>
                              </w:r>
                            </w:p>
                            <w:p>
                              <w:pPr>
                                <w:widowControl w:val="0"/>
                                <w:spacing w:line="240" w:lineRule="auto"/>
                                <w:ind w:firstLine="0" w:firstLineChars="0"/>
                                <w:jc w:val="center"/>
                                <w:rPr>
                                  <w:rFonts w:eastAsiaTheme="minorEastAsia"/>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75" name="流程图: 联系 16"/>
                        <wps:cNvSpPr/>
                        <wps:spPr>
                          <a:xfrm>
                            <a:off x="5278" y="353703"/>
                            <a:ext cx="68" cy="68"/>
                          </a:xfrm>
                          <a:prstGeom prst="flowChartConnector">
                            <a:avLst/>
                          </a:prstGeom>
                          <a:grp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38.15pt;margin-top:76.6pt;height:67.7pt;width:195.75pt;z-index:251764736;mso-width-relative:page;mso-height-relative:page;" coordorigin="5007,352540" coordsize="3915,1231" o:gfxdata="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">
                <o:lock v:ext="edit" aspectratio="f"/>
                <v:shape id="矩形标注 15" o:spid="_x0000_s1026" o:spt="61" type="#_x0000_t61" style="position:absolute;left:5007;top:352540;height:810;width:3915;v-text-anchor:middle;" filled="t" stroked="t" coordsize="21600,21600" o:gfxdata="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hWTTL4A&#10;AADcAAAADwAAAAAAAAABACAAAAAiAAAAZHJzL2Rvd25yZXYueG1sUEsBAhQAFAAAAAgAh07iQDMv&#10;BZ47AAAAOQAAABAAAAAAAAAAAQAgAAAADQEAAGRycy9zaGFwZXhtbC54bWxQSwUGAAAAAAYABgBb&#10;AQAAtwMAAAAA&#10;" adj="1795,32355">
                  <v:fill on="t" focussize="0,0"/>
                  <v:stroke weight="1pt" color="#FF00FF [3204]" miterlimit="8" joinstyle="miter"/>
                  <v:imagedata o:title=""/>
                  <o:lock v:ext="edit" aspectratio="f"/>
                  <v:textbox>
                    <w:txbxContent>
                      <w:p>
                        <w:pPr>
                          <w:widowControl w:val="0"/>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p>
                        <w:pPr>
                          <w:pStyle w:val="145"/>
                          <w:rPr>
                            <w:rFonts w:eastAsiaTheme="minorEastAsia"/>
                          </w:rPr>
                        </w:pPr>
                        <w:r>
                          <w:rPr>
                            <w:rFonts w:hint="eastAsia"/>
                          </w:rPr>
                          <w:t>N</w:t>
                        </w:r>
                        <w:r>
                          <w:t xml:space="preserve"> 22°28'41.95"</w:t>
                        </w:r>
                        <w:r>
                          <w:rPr>
                            <w:rFonts w:hint="eastAsia"/>
                          </w:rPr>
                          <w:t>，E</w:t>
                        </w:r>
                        <w:r>
                          <w:t xml:space="preserve"> 112°32'49.10"</w:t>
                        </w:r>
                      </w:p>
                      <w:p>
                        <w:pPr>
                          <w:widowControl w:val="0"/>
                          <w:spacing w:line="240" w:lineRule="auto"/>
                          <w:ind w:firstLine="0" w:firstLineChars="0"/>
                          <w:jc w:val="center"/>
                          <w:rPr>
                            <w:rFonts w:eastAsiaTheme="minorEastAsia"/>
                          </w:rPr>
                        </w:pPr>
                      </w:p>
                    </w:txbxContent>
                  </v:textbox>
                </v:shape>
                <v:shape id="流程图: 联系 16" o:spid="_x0000_s1026" o:spt="120" type="#_x0000_t120" style="position:absolute;left:5278;top:353703;height:68;width:68;v-text-anchor:middle;" filled="t" stroked="t" coordsize="21600,21600" o:gfxdata="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ooeQq/&#10;AAAA3AAAAA8AAAAAAAAAAQAgAAAAIgAAAGRycy9kb3ducmV2LnhtbFBLAQIUABQAAAAIAIdO4kAz&#10;LwWeOwAAADkAAAAQAAAAAAAAAAEAIAAAAA4BAABkcnMvc2hhcGV4bWwueG1sUEsFBgAAAAAGAAYA&#10;WwEAALgDAAAAAA==&#10;">
                  <v:fill on="t" focussize="0,0"/>
                  <v:stroke weight="1pt" color="#FF0000 [3204]" miterlimit="8" joinstyle="miter"/>
                  <v:imagedata o:title=""/>
                  <o:lock v:ext="edit" aspectratio="f"/>
                </v:shape>
              </v:group>
            </w:pict>
          </mc:Fallback>
        </mc:AlternateContent>
      </w:r>
      <w:r>
        <w:rPr>
          <w:rFonts w:eastAsiaTheme="minorEastAsia"/>
          <w:sz w:val="21"/>
        </w:rPr>
        <mc:AlternateContent>
          <mc:Choice Requires="wps">
            <w:drawing>
              <wp:anchor distT="0" distB="0" distL="114300" distR="114300" simplePos="0" relativeHeight="251862016" behindDoc="0" locked="0" layoutInCell="1" allowOverlap="1">
                <wp:simplePos x="0" y="0"/>
                <wp:positionH relativeFrom="column">
                  <wp:posOffset>763270</wp:posOffset>
                </wp:positionH>
                <wp:positionV relativeFrom="paragraph">
                  <wp:posOffset>10795</wp:posOffset>
                </wp:positionV>
                <wp:extent cx="1304925" cy="1285875"/>
                <wp:effectExtent l="0" t="0" r="28575" b="28575"/>
                <wp:wrapNone/>
                <wp:docPr id="470" name="文本框 470"/>
                <wp:cNvGraphicFramePr/>
                <a:graphic xmlns:a="http://schemas.openxmlformats.org/drawingml/2006/main">
                  <a:graphicData uri="http://schemas.microsoft.com/office/word/2010/wordprocessingShape">
                    <wps:wsp>
                      <wps:cNvSpPr txBox="1">
                        <a:spLocks noChangeArrowheads="1"/>
                      </wps:cNvSpPr>
                      <wps:spPr bwMode="auto">
                        <a:xfrm>
                          <a:off x="0" y="0"/>
                          <a:ext cx="1304925" cy="1285875"/>
                        </a:xfrm>
                        <a:prstGeom prst="rect">
                          <a:avLst/>
                        </a:prstGeom>
                        <a:solidFill>
                          <a:srgbClr val="FFFFFF"/>
                        </a:solidFill>
                        <a:ln w="9525">
                          <a:solidFill>
                            <a:srgbClr val="000000"/>
                          </a:solidFill>
                          <a:miter lim="800000"/>
                        </a:ln>
                      </wps:spPr>
                      <wps:txbx>
                        <w:txbxContent>
                          <w:p>
                            <w:pPr>
                              <w:spacing w:line="240" w:lineRule="auto"/>
                              <w:ind w:firstLine="0" w:firstLineChars="0"/>
                            </w:pPr>
                            <w:r>
                              <w:drawing>
                                <wp:inline distT="0" distB="0" distL="0" distR="0">
                                  <wp:extent cx="1109345" cy="1098550"/>
                                  <wp:effectExtent l="0" t="0" r="0" b="635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112579" cy="110122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60.1pt;margin-top:0.85pt;height:101.25pt;width:102.75pt;z-index:251862016;mso-width-relative:page;mso-height-relative:page;" fillcolor="#FFFFFF" filled="t" stroked="t" coordsize="21600,21600" o:gfxdata="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W&#10;1tjP1wAAAAkBAAAPAAAAAAAAAAEAIAAAACIAAABkcnMvZG93bnJldi54bWxQSwECFAAUAAAACACH&#10;TuJAqwGvFSUCAAA+BAAADgAAAAAAAAABACAAAAAmAQAAZHJzL2Uyb0RvYy54bWxQSwUGAAAAAAYA&#10;BgBZAQAAvQUAAAAA&#10;">
                <v:fill on="t" focussize="0,0"/>
                <v:stroke color="#000000" miterlimit="8" joinstyle="miter"/>
                <v:imagedata o:title=""/>
                <o:lock v:ext="edit" aspectratio="f"/>
                <v:textbox>
                  <w:txbxContent>
                    <w:p>
                      <w:pPr>
                        <w:spacing w:line="240" w:lineRule="auto"/>
                        <w:ind w:firstLine="0" w:firstLineChars="0"/>
                      </w:pPr>
                      <w:r>
                        <w:drawing>
                          <wp:inline distT="0" distB="0" distL="0" distR="0">
                            <wp:extent cx="1109345" cy="1098550"/>
                            <wp:effectExtent l="0" t="0" r="0" b="635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112579" cy="1101227"/>
                                    </a:xfrm>
                                    <a:prstGeom prst="rect">
                                      <a:avLst/>
                                    </a:prstGeom>
                                    <a:noFill/>
                                    <a:ln>
                                      <a:noFill/>
                                    </a:ln>
                                  </pic:spPr>
                                </pic:pic>
                              </a:graphicData>
                            </a:graphic>
                          </wp:inline>
                        </w:drawing>
                      </w:r>
                    </w:p>
                  </w:txbxContent>
                </v:textbox>
              </v:shape>
            </w:pict>
          </mc:Fallback>
        </mc:AlternateContent>
      </w:r>
      <w:r>
        <w:rPr>
          <w:rFonts w:eastAsiaTheme="minorEastAsia"/>
        </w:rPr>
        <w:drawing>
          <wp:inline distT="0" distB="0" distL="0" distR="0">
            <wp:extent cx="7257415" cy="5158740"/>
            <wp:effectExtent l="0" t="0" r="635" b="381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34"/>
                    <a:stretch>
                      <a:fillRect/>
                    </a:stretch>
                  </pic:blipFill>
                  <pic:spPr>
                    <a:xfrm>
                      <a:off x="0" y="0"/>
                      <a:ext cx="7276884" cy="5172381"/>
                    </a:xfrm>
                    <a:prstGeom prst="rect">
                      <a:avLst/>
                    </a:prstGeom>
                  </pic:spPr>
                </pic:pic>
              </a:graphicData>
            </a:graphic>
          </wp:inline>
        </w:drawing>
      </w:r>
    </w:p>
    <w:p>
      <w:pPr>
        <w:pStyle w:val="18"/>
      </w:pPr>
      <w:bookmarkStart w:id="64" w:name="_Ref522822512"/>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5</w:t>
      </w:r>
      <w:r>
        <w:fldChar w:fldCharType="end"/>
      </w:r>
      <w:bookmarkEnd w:id="64"/>
      <w:r>
        <w:rPr>
          <w:rFonts w:hint="eastAsia"/>
        </w:rPr>
        <w:t>江门市生态功能区划图</w:t>
      </w:r>
    </w:p>
    <w:p>
      <w:pPr>
        <w:ind w:firstLine="480"/>
        <w:rPr>
          <w:rFonts w:eastAsiaTheme="minorEastAsia"/>
        </w:rPr>
        <w:sectPr>
          <w:pgSz w:w="16838" w:h="11906" w:orient="landscape"/>
          <w:pgMar w:top="1418" w:right="1418" w:bottom="1418" w:left="1418" w:header="851" w:footer="850" w:gutter="0"/>
          <w:cols w:space="720" w:num="1"/>
          <w:docGrid w:type="lines" w:linePitch="326" w:charSpace="0"/>
        </w:sectPr>
      </w:pPr>
    </w:p>
    <w:p>
      <w:pPr>
        <w:keepNext/>
        <w:ind w:firstLine="0" w:firstLineChars="0"/>
        <w:jc w:val="center"/>
        <w:rPr>
          <w:rFonts w:eastAsiaTheme="minorEastAsia"/>
        </w:rPr>
      </w:pPr>
      <w:r>
        <w:rPr>
          <w:rFonts w:eastAsiaTheme="minorEastAsia"/>
          <w:sz w:val="21"/>
        </w:rPr>
        <mc:AlternateContent>
          <mc:Choice Requires="wpg">
            <w:drawing>
              <wp:anchor distT="0" distB="0" distL="114300" distR="114300" simplePos="0" relativeHeight="251745280" behindDoc="0" locked="0" layoutInCell="1" allowOverlap="1">
                <wp:simplePos x="0" y="0"/>
                <wp:positionH relativeFrom="column">
                  <wp:posOffset>2986405</wp:posOffset>
                </wp:positionH>
                <wp:positionV relativeFrom="paragraph">
                  <wp:posOffset>937895</wp:posOffset>
                </wp:positionV>
                <wp:extent cx="3295650" cy="677545"/>
                <wp:effectExtent l="38100" t="0" r="19050" b="27305"/>
                <wp:wrapNone/>
                <wp:docPr id="66" name="组合 66"/>
                <wp:cNvGraphicFramePr/>
                <a:graphic xmlns:a="http://schemas.openxmlformats.org/drawingml/2006/main">
                  <a:graphicData uri="http://schemas.microsoft.com/office/word/2010/wordprocessingGroup">
                    <wpg:wgp>
                      <wpg:cNvGrpSpPr/>
                      <wpg:grpSpPr>
                        <a:xfrm>
                          <a:off x="0" y="0"/>
                          <a:ext cx="3295650" cy="677545"/>
                          <a:chOff x="5278" y="352704"/>
                          <a:chExt cx="5190" cy="1067"/>
                        </a:xfrm>
                        <a:solidFill>
                          <a:srgbClr val="FFFFFF">
                            <a:alpha val="60000"/>
                          </a:srgbClr>
                        </a:solidFill>
                      </wpg:grpSpPr>
                      <wps:wsp>
                        <wps:cNvPr id="67" name="矩形标注 15"/>
                        <wps:cNvSpPr/>
                        <wps:spPr>
                          <a:xfrm>
                            <a:off x="6477" y="352704"/>
                            <a:ext cx="3991" cy="810"/>
                          </a:xfrm>
                          <a:prstGeom prst="wedgeRectCallout">
                            <a:avLst>
                              <a:gd name="adj1" fmla="val -79952"/>
                              <a:gd name="adj2" fmla="val 77979"/>
                            </a:avLst>
                          </a:prstGeom>
                          <a:grpFill/>
                          <a:ln>
                            <a:solidFill>
                              <a:srgbClr val="FF00FF"/>
                            </a:solidFill>
                          </a:ln>
                        </wps:spPr>
                        <wps:style>
                          <a:lnRef idx="2">
                            <a:schemeClr val="accent1">
                              <a:shade val="50000"/>
                            </a:schemeClr>
                          </a:lnRef>
                          <a:fillRef idx="1">
                            <a:schemeClr val="accent1"/>
                          </a:fillRef>
                          <a:effectRef idx="0">
                            <a:schemeClr val="accent1"/>
                          </a:effectRef>
                          <a:fontRef idx="minor">
                            <a:schemeClr val="lt1"/>
                          </a:fontRef>
                        </wps:style>
                        <wps:txbx>
                          <w:txbxContent>
                            <w:p>
                              <w:pPr>
                                <w:widowControl w:val="0"/>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p>
                              <w:pPr>
                                <w:pStyle w:val="145"/>
                                <w:rPr>
                                  <w:rFonts w:eastAsiaTheme="minorEastAsia"/>
                                </w:rPr>
                              </w:pPr>
                              <w:r>
                                <w:rPr>
                                  <w:rFonts w:hint="eastAsia"/>
                                </w:rPr>
                                <w:t>N N</w:t>
                              </w:r>
                              <w:r>
                                <w:t xml:space="preserve"> 22°28'41.95"</w:t>
                              </w:r>
                              <w:r>
                                <w:rPr>
                                  <w:rFonts w:hint="eastAsia"/>
                                </w:rPr>
                                <w:t>，E</w:t>
                              </w:r>
                              <w:r>
                                <w:t xml:space="preserve"> 112°32'49.10"</w:t>
                              </w:r>
                            </w:p>
                            <w:p>
                              <w:pPr>
                                <w:pStyle w:val="145"/>
                                <w:rPr>
                                  <w:rFonts w:eastAsiaTheme="minorEastAsia"/>
                                </w:rPr>
                              </w:pPr>
                            </w:p>
                            <w:p>
                              <w:pPr>
                                <w:widowControl w:val="0"/>
                                <w:spacing w:line="240" w:lineRule="auto"/>
                                <w:ind w:firstLine="0" w:firstLineChars="0"/>
                                <w:jc w:val="center"/>
                                <w:rPr>
                                  <w:rFonts w:eastAsiaTheme="minorEastAsia"/>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8" name="流程图: 联系 16"/>
                        <wps:cNvSpPr/>
                        <wps:spPr>
                          <a:xfrm>
                            <a:off x="5278" y="353703"/>
                            <a:ext cx="68" cy="68"/>
                          </a:xfrm>
                          <a:prstGeom prst="flowChartConnector">
                            <a:avLst/>
                          </a:prstGeom>
                          <a:grp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35.15pt;margin-top:73.85pt;height:53.35pt;width:259.5pt;z-index:251745280;mso-width-relative:page;mso-height-relative:page;" coordorigin="5278,352704" coordsize="5190,1067" o:gfxdata="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">
                <o:lock v:ext="edit" aspectratio="f"/>
                <v:shape id="矩形标注 15" o:spid="_x0000_s1026" o:spt="61" type="#_x0000_t61" style="position:absolute;left:6477;top:352704;height:810;width:3991;v-text-anchor:middle;" filled="t" stroked="t" coordsize="21600,21600" o:gfxdata="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4vNP74A&#10;AADbAAAADwAAAAAAAAABACAAAAAiAAAAZHJzL2Rvd25yZXYueG1sUEsBAhQAFAAAAAgAh07iQDMv&#10;BZ47AAAAOQAAABAAAAAAAAAAAQAgAAAADQEAAGRycy9zaGFwZXhtbC54bWxQSwUGAAAAAAYABgBb&#10;AQAAtwMAAAAA&#10;" adj="-6470,27643">
                  <v:fill on="t" focussize="0,0"/>
                  <v:stroke weight="1pt" color="#FF00FF [3204]" miterlimit="8" joinstyle="miter"/>
                  <v:imagedata o:title=""/>
                  <o:lock v:ext="edit" aspectratio="f"/>
                  <v:textbox>
                    <w:txbxContent>
                      <w:p>
                        <w:pPr>
                          <w:widowControl w:val="0"/>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p>
                        <w:pPr>
                          <w:pStyle w:val="145"/>
                          <w:rPr>
                            <w:rFonts w:eastAsiaTheme="minorEastAsia"/>
                          </w:rPr>
                        </w:pPr>
                        <w:r>
                          <w:rPr>
                            <w:rFonts w:hint="eastAsia"/>
                          </w:rPr>
                          <w:t>N N</w:t>
                        </w:r>
                        <w:r>
                          <w:t xml:space="preserve"> 22°28'41.95"</w:t>
                        </w:r>
                        <w:r>
                          <w:rPr>
                            <w:rFonts w:hint="eastAsia"/>
                          </w:rPr>
                          <w:t>，E</w:t>
                        </w:r>
                        <w:r>
                          <w:t xml:space="preserve"> 112°32'49.10"</w:t>
                        </w:r>
                      </w:p>
                      <w:p>
                        <w:pPr>
                          <w:pStyle w:val="145"/>
                          <w:rPr>
                            <w:rFonts w:eastAsiaTheme="minorEastAsia"/>
                          </w:rPr>
                        </w:pPr>
                      </w:p>
                      <w:p>
                        <w:pPr>
                          <w:widowControl w:val="0"/>
                          <w:spacing w:line="240" w:lineRule="auto"/>
                          <w:ind w:firstLine="0" w:firstLineChars="0"/>
                          <w:jc w:val="center"/>
                          <w:rPr>
                            <w:rFonts w:eastAsiaTheme="minorEastAsia"/>
                          </w:rPr>
                        </w:pPr>
                      </w:p>
                    </w:txbxContent>
                  </v:textbox>
                </v:shape>
                <v:shape id="流程图: 联系 16" o:spid="_x0000_s1026" o:spt="120" type="#_x0000_t120" style="position:absolute;left:5278;top:353703;height:68;width:68;v-text-anchor:middle;" filled="t" stroked="t" coordsize="21600,21600" o:gfxdata="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Al1KbsAAADb&#10;AAAADwAAAAAAAAABACAAAAAiAAAAZHJzL2Rvd25yZXYueG1sUEsBAhQAFAAAAAgAh07iQDMvBZ47&#10;AAAAOQAAABAAAAAAAAAAAQAgAAAACgEAAGRycy9zaGFwZXhtbC54bWxQSwUGAAAAAAYABgBbAQAA&#10;tAMAAAAA&#10;">
                  <v:fill on="t" focussize="0,0"/>
                  <v:stroke weight="1pt" color="#FF0000 [3204]" miterlimit="8" joinstyle="miter"/>
                  <v:imagedata o:title=""/>
                  <o:lock v:ext="edit" aspectratio="f"/>
                </v:shape>
              </v:group>
            </w:pict>
          </mc:Fallback>
        </mc:AlternateContent>
      </w:r>
      <w:r>
        <w:rPr>
          <w:rFonts w:eastAsiaTheme="minorEastAsia"/>
          <w:sz w:val="21"/>
        </w:rPr>
        <mc:AlternateContent>
          <mc:Choice Requires="wps">
            <w:drawing>
              <wp:anchor distT="0" distB="0" distL="114300" distR="114300" simplePos="0" relativeHeight="251881472" behindDoc="0" locked="0" layoutInCell="1" allowOverlap="1">
                <wp:simplePos x="0" y="0"/>
                <wp:positionH relativeFrom="column">
                  <wp:posOffset>1270</wp:posOffset>
                </wp:positionH>
                <wp:positionV relativeFrom="paragraph">
                  <wp:posOffset>67945</wp:posOffset>
                </wp:positionV>
                <wp:extent cx="1238250" cy="1181100"/>
                <wp:effectExtent l="0" t="0" r="19050" b="19050"/>
                <wp:wrapNone/>
                <wp:docPr id="477" name="文本框 477"/>
                <wp:cNvGraphicFramePr/>
                <a:graphic xmlns:a="http://schemas.openxmlformats.org/drawingml/2006/main">
                  <a:graphicData uri="http://schemas.microsoft.com/office/word/2010/wordprocessingShape">
                    <wps:wsp>
                      <wps:cNvSpPr txBox="1">
                        <a:spLocks noChangeArrowheads="1"/>
                      </wps:cNvSpPr>
                      <wps:spPr bwMode="auto">
                        <a:xfrm>
                          <a:off x="0" y="0"/>
                          <a:ext cx="1238250" cy="1181100"/>
                        </a:xfrm>
                        <a:prstGeom prst="rect">
                          <a:avLst/>
                        </a:prstGeom>
                        <a:solidFill>
                          <a:srgbClr val="FFFFFF"/>
                        </a:solidFill>
                        <a:ln w="9525">
                          <a:solidFill>
                            <a:srgbClr val="000000"/>
                          </a:solidFill>
                          <a:miter lim="800000"/>
                        </a:ln>
                      </wps:spPr>
                      <wps:txbx>
                        <w:txbxContent>
                          <w:p>
                            <w:pPr>
                              <w:spacing w:line="240" w:lineRule="auto"/>
                              <w:ind w:firstLine="0" w:firstLineChars="0"/>
                            </w:pPr>
                            <w:r>
                              <w:drawing>
                                <wp:inline distT="0" distB="0" distL="0" distR="0">
                                  <wp:extent cx="1068070" cy="1057275"/>
                                  <wp:effectExtent l="0" t="0" r="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068869" cy="105796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0.1pt;margin-top:5.35pt;height:93pt;width:97.5pt;z-index:251881472;mso-width-relative:page;mso-height-relative:page;" fillcolor="#FFFFFF" filled="t" stroked="t" coordsize="21600,21600" o:gfxdata="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TB&#10;fSPUAAAABwEAAA8AAAAAAAAAAQAgAAAAIgAAAGRycy9kb3ducmV2LnhtbFBLAQIUABQAAAAIAIdO&#10;4kB9jCdjJwIAAD4EAAAOAAAAAAAAAAEAIAAAACMBAABkcnMvZTJvRG9jLnhtbFBLBQYAAAAABgAG&#10;AFkBAAC8BQAAAAA=&#10;">
                <v:fill on="t" focussize="0,0"/>
                <v:stroke color="#000000" miterlimit="8" joinstyle="miter"/>
                <v:imagedata o:title=""/>
                <o:lock v:ext="edit" aspectratio="f"/>
                <v:textbox>
                  <w:txbxContent>
                    <w:p>
                      <w:pPr>
                        <w:spacing w:line="240" w:lineRule="auto"/>
                        <w:ind w:firstLine="0" w:firstLineChars="0"/>
                      </w:pPr>
                      <w:r>
                        <w:drawing>
                          <wp:inline distT="0" distB="0" distL="0" distR="0">
                            <wp:extent cx="1068070" cy="1057275"/>
                            <wp:effectExtent l="0" t="0" r="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068869" cy="1057962"/>
                                    </a:xfrm>
                                    <a:prstGeom prst="rect">
                                      <a:avLst/>
                                    </a:prstGeom>
                                    <a:noFill/>
                                    <a:ln>
                                      <a:noFill/>
                                    </a:ln>
                                  </pic:spPr>
                                </pic:pic>
                              </a:graphicData>
                            </a:graphic>
                          </wp:inline>
                        </w:drawing>
                      </w:r>
                    </w:p>
                  </w:txbxContent>
                </v:textbox>
              </v:shape>
            </w:pict>
          </mc:Fallback>
        </mc:AlternateContent>
      </w:r>
      <w:r>
        <w:rPr>
          <w:rFonts w:hint="eastAsia" w:eastAsiaTheme="minorEastAsia"/>
        </w:rPr>
        <w:drawing>
          <wp:inline distT="0" distB="0" distL="114300" distR="114300">
            <wp:extent cx="6033135" cy="5800725"/>
            <wp:effectExtent l="0" t="0" r="5715" b="0"/>
            <wp:docPr id="65" name="图片 65" descr="05开平市分级控制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05开平市分级控制规划"/>
                    <pic:cNvPicPr>
                      <a:picLocks noChangeAspect="1"/>
                    </pic:cNvPicPr>
                  </pic:nvPicPr>
                  <pic:blipFill>
                    <a:blip r:embed="rId35" cstate="print"/>
                    <a:srcRect l="1210" t="3321" r="22527" b="2818"/>
                    <a:stretch>
                      <a:fillRect/>
                    </a:stretch>
                  </pic:blipFill>
                  <pic:spPr>
                    <a:xfrm>
                      <a:off x="0" y="0"/>
                      <a:ext cx="6041100" cy="5808224"/>
                    </a:xfrm>
                    <a:prstGeom prst="rect">
                      <a:avLst/>
                    </a:prstGeom>
                    <a:ln>
                      <a:noFill/>
                    </a:ln>
                  </pic:spPr>
                </pic:pic>
              </a:graphicData>
            </a:graphic>
          </wp:inline>
        </w:drawing>
      </w:r>
    </w:p>
    <w:p>
      <w:pPr>
        <w:pStyle w:val="18"/>
      </w:pPr>
      <w:bookmarkStart w:id="65" w:name="_Ref522822527"/>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6</w:t>
      </w:r>
      <w:r>
        <w:fldChar w:fldCharType="end"/>
      </w:r>
      <w:bookmarkEnd w:id="65"/>
      <w:r>
        <w:t xml:space="preserve"> </w:t>
      </w:r>
      <w:r>
        <w:rPr>
          <w:rFonts w:hint="eastAsia"/>
        </w:rPr>
        <w:t>开平市生态分级控制图</w:t>
      </w:r>
    </w:p>
    <w:p>
      <w:pPr>
        <w:ind w:firstLine="0" w:firstLineChars="0"/>
        <w:jc w:val="center"/>
        <w:rPr>
          <w:rFonts w:eastAsiaTheme="minorEastAsia"/>
        </w:rPr>
      </w:pPr>
    </w:p>
    <w:p>
      <w:pPr>
        <w:ind w:firstLine="0" w:firstLineChars="0"/>
        <w:jc w:val="center"/>
        <w:rPr>
          <w:rFonts w:eastAsiaTheme="minorEastAsia"/>
        </w:rPr>
      </w:pPr>
    </w:p>
    <w:p>
      <w:pPr>
        <w:keepNext/>
        <w:ind w:firstLine="0" w:firstLineChars="0"/>
        <w:rPr>
          <w:rFonts w:eastAsiaTheme="minorEastAsia"/>
        </w:rPr>
      </w:pPr>
      <w:r>
        <w:rPr>
          <w:rFonts w:eastAsiaTheme="minorEastAsia"/>
        </w:rPr>
        <mc:AlternateContent>
          <mc:Choice Requires="wps">
            <w:drawing>
              <wp:anchor distT="0" distB="0" distL="114300" distR="114300" simplePos="0" relativeHeight="251823104" behindDoc="0" locked="0" layoutInCell="1" allowOverlap="1">
                <wp:simplePos x="0" y="0"/>
                <wp:positionH relativeFrom="column">
                  <wp:posOffset>1401445</wp:posOffset>
                </wp:positionH>
                <wp:positionV relativeFrom="paragraph">
                  <wp:posOffset>3455670</wp:posOffset>
                </wp:positionV>
                <wp:extent cx="676275" cy="229870"/>
                <wp:effectExtent l="0" t="304800" r="485775" b="17780"/>
                <wp:wrapNone/>
                <wp:docPr id="462" name="矩形标注 462"/>
                <wp:cNvGraphicFramePr/>
                <a:graphic xmlns:a="http://schemas.openxmlformats.org/drawingml/2006/main">
                  <a:graphicData uri="http://schemas.microsoft.com/office/word/2010/wordprocessingShape">
                    <wps:wsp>
                      <wps:cNvSpPr/>
                      <wps:spPr>
                        <a:xfrm>
                          <a:off x="0" y="0"/>
                          <a:ext cx="676275" cy="229870"/>
                        </a:xfrm>
                        <a:prstGeom prst="wedgeRectCallout">
                          <a:avLst>
                            <a:gd name="adj1" fmla="val 115367"/>
                            <a:gd name="adj2" fmla="val -17682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napToGrid w:val="0"/>
                              <w:spacing w:line="240" w:lineRule="auto"/>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110.35pt;margin-top:272.1pt;height:18.1pt;width:53.25pt;z-index:251823104;v-text-anchor:middle;mso-width-relative:page;mso-height-relative:page;" fillcolor="#FFFFFF [3212]" filled="t" stroked="t" coordsize="21600,21600" o:gfxdata="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OOKtPDYAAAACwEA&#10;AA8AAAAAAAAAAQAgAAAAIgAAAGRycy9kb3ducmV2LnhtbFBLAQIUABQAAAAIAIdO4kCYzkVLjAIA&#10;AAoFAAAOAAAAAAAAAAEAIAAAACcBAABkcnMvZTJvRG9jLnhtbFBLBQYAAAAABgAGAFkBAAAlBgAA&#10;AAA=&#10;" adj="35719,-27393">
                <v:fill on="t" focussize="0,0"/>
                <v:stroke weight="1pt" color="#000000 [3213]" miterlimit="8" joinstyle="miter"/>
                <v:imagedata o:title=""/>
                <o:lock v:ext="edit" aspectratio="f"/>
                <v:textbox inset="0mm,0mm,0mm,0mm">
                  <w:txbxContent>
                    <w:p>
                      <w:pPr>
                        <w:snapToGrid w:val="0"/>
                        <w:spacing w:line="240" w:lineRule="auto"/>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v:textbox>
              </v:shape>
            </w:pict>
          </mc:Fallback>
        </mc:AlternateContent>
      </w:r>
      <w:r>
        <w:rPr>
          <w:rFonts w:eastAsiaTheme="minorEastAsia"/>
        </w:rPr>
        <w:drawing>
          <wp:inline distT="0" distB="0" distL="0" distR="0">
            <wp:extent cx="5759450" cy="7680325"/>
            <wp:effectExtent l="0" t="0" r="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pic:cNvPicPr>
                  </pic:nvPicPr>
                  <pic:blipFill>
                    <a:blip r:embed="rId36" cstate="print"/>
                    <a:stretch>
                      <a:fillRect/>
                    </a:stretch>
                  </pic:blipFill>
                  <pic:spPr>
                    <a:xfrm>
                      <a:off x="0" y="0"/>
                      <a:ext cx="5759450" cy="7680325"/>
                    </a:xfrm>
                    <a:prstGeom prst="rect">
                      <a:avLst/>
                    </a:prstGeom>
                  </pic:spPr>
                </pic:pic>
              </a:graphicData>
            </a:graphic>
          </wp:inline>
        </w:drawing>
      </w:r>
    </w:p>
    <w:p>
      <w:pPr>
        <w:pStyle w:val="18"/>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7</w:t>
      </w:r>
      <w:r>
        <w:fldChar w:fldCharType="end"/>
      </w:r>
      <w:r>
        <w:rPr>
          <w:rFonts w:hint="eastAsia"/>
        </w:rPr>
        <w:t>江门市土地利用总体规划（2006-2020年）图</w:t>
      </w:r>
    </w:p>
    <w:p>
      <w:pPr>
        <w:spacing w:line="240" w:lineRule="auto"/>
        <w:ind w:firstLine="0" w:firstLineChars="0"/>
        <w:rPr>
          <w:rFonts w:eastAsiaTheme="minorEastAsia"/>
          <w:b/>
          <w:bCs/>
          <w:sz w:val="21"/>
          <w:szCs w:val="22"/>
        </w:rPr>
      </w:pPr>
      <w:r>
        <w:rPr>
          <w:rFonts w:eastAsiaTheme="minorEastAsia"/>
          <w:szCs w:val="22"/>
        </w:rPr>
        <w:br w:type="page"/>
      </w:r>
    </w:p>
    <w:p>
      <w:pPr>
        <w:pStyle w:val="5"/>
      </w:pPr>
      <w:bookmarkStart w:id="66" w:name="_Toc331536081"/>
      <w:r>
        <w:rPr>
          <w:rFonts w:hint="eastAsia"/>
        </w:rPr>
        <w:t>大气环境</w:t>
      </w:r>
      <w:r>
        <w:t>功能区划</w:t>
      </w:r>
      <w:bookmarkEnd w:id="66"/>
    </w:p>
    <w:p>
      <w:pPr>
        <w:ind w:firstLine="480"/>
        <w:rPr>
          <w:rFonts w:cs="Times New Roman" w:eastAsiaTheme="minorEastAsia"/>
        </w:rPr>
      </w:pPr>
      <w:r>
        <w:rPr>
          <w:rFonts w:cs="Times New Roman" w:eastAsiaTheme="minorEastAsia"/>
        </w:rPr>
        <w:t>根据《江门市环境保护规划</w:t>
      </w:r>
      <w:r>
        <w:rPr>
          <w:rFonts w:hint="eastAsia" w:cs="Times New Roman" w:eastAsiaTheme="minorEastAsia"/>
        </w:rPr>
        <w:t>（2006-2020）</w:t>
      </w:r>
      <w:r>
        <w:rPr>
          <w:rFonts w:cs="Times New Roman" w:eastAsiaTheme="minorEastAsia"/>
        </w:rPr>
        <w:t>》</w:t>
      </w:r>
      <w:r>
        <w:rPr>
          <w:rFonts w:hint="eastAsia" w:cs="Times New Roman" w:eastAsiaTheme="minorEastAsia"/>
        </w:rPr>
        <w:t>（2007年12月）</w:t>
      </w:r>
      <w:r>
        <w:rPr>
          <w:rFonts w:cs="Times New Roman" w:eastAsiaTheme="minorEastAsia"/>
        </w:rPr>
        <w:t>中的大气环境功能区划分，本项目所在区域属环境空气二类</w:t>
      </w:r>
      <w:r>
        <w:rPr>
          <w:rFonts w:hint="eastAsia" w:cs="Times New Roman" w:eastAsiaTheme="minorEastAsia"/>
        </w:rPr>
        <w:t>功能</w:t>
      </w:r>
      <w:r>
        <w:rPr>
          <w:rFonts w:cs="Times New Roman" w:eastAsiaTheme="minorEastAsia"/>
        </w:rPr>
        <w:t>区，空气环境质量执行《环境空气质量标准》（GB 3095-2012）二级标准。</w:t>
      </w:r>
    </w:p>
    <w:p>
      <w:pPr>
        <w:ind w:firstLine="480"/>
        <w:rPr>
          <w:rFonts w:cs="Times New Roman" w:eastAsiaTheme="minorEastAsia"/>
        </w:rPr>
      </w:pPr>
      <w:r>
        <w:rPr>
          <w:rFonts w:cs="Times New Roman" w:eastAsiaTheme="minorEastAsia"/>
          <w:szCs w:val="22"/>
        </w:rPr>
        <w:t>具体环境空气功能区划情况见</w:t>
      </w:r>
      <w:r>
        <w:rPr>
          <w:rFonts w:cs="Times New Roman" w:eastAsiaTheme="minorEastAsia"/>
          <w:szCs w:val="22"/>
        </w:rPr>
        <w:fldChar w:fldCharType="begin"/>
      </w:r>
      <w:r>
        <w:rPr>
          <w:rFonts w:cs="Times New Roman" w:eastAsiaTheme="minorEastAsia"/>
          <w:szCs w:val="22"/>
        </w:rPr>
        <w:instrText xml:space="preserve"> REF _Ref522822458 \h  \* MERGEFORMAT </w:instrText>
      </w:r>
      <w:r>
        <w:rPr>
          <w:rFonts w:cs="Times New Roman" w:eastAsiaTheme="minorEastAsia"/>
          <w:szCs w:val="22"/>
        </w:rPr>
        <w:fldChar w:fldCharType="separate"/>
      </w:r>
      <w:r>
        <w:rPr>
          <w:rFonts w:hint="eastAsia" w:eastAsiaTheme="minorEastAsia"/>
        </w:rPr>
        <w:t xml:space="preserve">图 </w:t>
      </w:r>
      <w:r>
        <w:rPr>
          <w:rFonts w:eastAsiaTheme="minorEastAsia"/>
        </w:rPr>
        <w:t>1.2</w:t>
      </w:r>
      <w:r>
        <w:rPr>
          <w:rFonts w:eastAsiaTheme="minorEastAsia"/>
        </w:rPr>
        <w:noBreakHyphen/>
      </w:r>
      <w:r>
        <w:rPr>
          <w:rFonts w:eastAsiaTheme="minorEastAsia"/>
        </w:rPr>
        <w:t>1</w:t>
      </w:r>
      <w:r>
        <w:rPr>
          <w:rFonts w:cs="Times New Roman" w:eastAsiaTheme="minorEastAsia"/>
          <w:szCs w:val="22"/>
        </w:rPr>
        <w:fldChar w:fldCharType="end"/>
      </w:r>
      <w:r>
        <w:rPr>
          <w:rFonts w:hint="eastAsia" w:cs="Times New Roman" w:eastAsiaTheme="minorEastAsia"/>
          <w:szCs w:val="22"/>
        </w:rPr>
        <w:t>。</w:t>
      </w:r>
    </w:p>
    <w:p>
      <w:pPr>
        <w:pStyle w:val="5"/>
      </w:pPr>
      <w:r>
        <w:t>地表水环境功能区划</w:t>
      </w:r>
      <w:bookmarkEnd w:id="58"/>
      <w:bookmarkEnd w:id="59"/>
    </w:p>
    <w:p>
      <w:pPr>
        <w:ind w:firstLine="480"/>
        <w:rPr>
          <w:rFonts w:cs="Times New Roman" w:eastAsiaTheme="minorEastAsia"/>
        </w:rPr>
      </w:pPr>
      <w:r>
        <w:rPr>
          <w:rFonts w:hint="eastAsia" w:cs="Times New Roman" w:eastAsiaTheme="minorEastAsia"/>
        </w:rPr>
        <w:t>项目位于开平市苍城镇西郊工业园三区7号，属于苍城污水处理厂的纳污范围，因此本项目产生的生活污水经处理达标后排入苍城污水处理厂的纳污范围，污水处理厂尾水排入镇海水，最终汇入潭江。</w:t>
      </w:r>
    </w:p>
    <w:p>
      <w:pPr>
        <w:ind w:firstLine="480"/>
        <w:rPr>
          <w:rFonts w:cs="Times New Roman" w:eastAsiaTheme="minorEastAsia"/>
        </w:rPr>
      </w:pPr>
      <w:r>
        <w:rPr>
          <w:rFonts w:hint="eastAsia" w:cs="Times New Roman" w:eastAsiaTheme="minorEastAsia"/>
        </w:rPr>
        <w:t>根据《广东省地表水环境功能区划》</w:t>
      </w:r>
      <w:r>
        <w:rPr>
          <w:rFonts w:hint="eastAsia" w:eastAsiaTheme="minorEastAsia"/>
        </w:rPr>
        <w:t>（粤环函〔2011〕</w:t>
      </w:r>
      <w:r>
        <w:rPr>
          <w:rFonts w:eastAsiaTheme="minorEastAsia"/>
        </w:rPr>
        <w:t>14</w:t>
      </w:r>
      <w:r>
        <w:rPr>
          <w:rFonts w:hint="eastAsia" w:eastAsiaTheme="minorEastAsia"/>
        </w:rPr>
        <w:t>号），镇海水</w:t>
      </w:r>
      <w:r>
        <w:rPr>
          <w:rFonts w:hint="eastAsia" w:cs="Times New Roman" w:eastAsiaTheme="minorEastAsia"/>
        </w:rPr>
        <w:t>执行《地表水环境质量标准》</w:t>
      </w:r>
      <w:r>
        <w:rPr>
          <w:rFonts w:cs="Times New Roman" w:eastAsiaTheme="minorEastAsia"/>
        </w:rPr>
        <w:t>（GB 3838-2002）</w:t>
      </w:r>
      <w:r>
        <w:rPr>
          <w:rFonts w:hint="eastAsia" w:cs="Times New Roman" w:eastAsiaTheme="minorEastAsia"/>
        </w:rPr>
        <w:t>III类标准，镇海水属潭江水系，水体功能现状为工农业用水，</w:t>
      </w:r>
      <w:r>
        <w:rPr>
          <w:rFonts w:cs="Times New Roman" w:eastAsiaTheme="minorEastAsia"/>
        </w:rPr>
        <w:t>水质目标</w:t>
      </w:r>
      <w:r>
        <w:rPr>
          <w:rFonts w:hint="eastAsia" w:cs="Times New Roman" w:eastAsiaTheme="minorEastAsia"/>
        </w:rPr>
        <w:t>为II</w:t>
      </w:r>
      <w:r>
        <w:rPr>
          <w:rFonts w:cs="Times New Roman" w:eastAsiaTheme="minorEastAsia"/>
        </w:rPr>
        <w:t>类</w:t>
      </w:r>
      <w:r>
        <w:rPr>
          <w:rFonts w:hint="eastAsia" w:cs="Times New Roman" w:eastAsiaTheme="minorEastAsia"/>
        </w:rPr>
        <w:t>水质</w:t>
      </w:r>
      <w:r>
        <w:rPr>
          <w:rFonts w:cs="Times New Roman" w:eastAsiaTheme="minorEastAsia"/>
        </w:rPr>
        <w:t>，执行《地表水环境质量标准》（GB 3838-2002）</w:t>
      </w:r>
      <w:r>
        <w:rPr>
          <w:rFonts w:hint="eastAsia" w:cs="Times New Roman" w:eastAsiaTheme="minorEastAsia"/>
        </w:rPr>
        <w:t>II</w:t>
      </w:r>
      <w:r>
        <w:rPr>
          <w:rFonts w:cs="Times New Roman" w:eastAsiaTheme="minorEastAsia"/>
        </w:rPr>
        <w:t>类标准</w:t>
      </w:r>
      <w:r>
        <w:rPr>
          <w:rFonts w:hint="eastAsia" w:cs="Times New Roman" w:eastAsiaTheme="minorEastAsia"/>
        </w:rPr>
        <w:t>，详见</w:t>
      </w:r>
      <w:r>
        <w:rPr>
          <w:rFonts w:cs="Times New Roman" w:eastAsiaTheme="minorEastAsia"/>
        </w:rPr>
        <w:fldChar w:fldCharType="begin"/>
      </w:r>
      <w:r>
        <w:rPr>
          <w:rFonts w:cs="Times New Roman" w:eastAsiaTheme="minorEastAsia"/>
        </w:rPr>
        <w:instrText xml:space="preserve"> </w:instrText>
      </w:r>
      <w:r>
        <w:rPr>
          <w:rFonts w:hint="eastAsia" w:cs="Times New Roman" w:eastAsiaTheme="minorEastAsia"/>
        </w:rPr>
        <w:instrText xml:space="preserve">REF _Ref521664271 \h</w:instrText>
      </w:r>
      <w:r>
        <w:rPr>
          <w:rFonts w:cs="Times New Roman" w:eastAsiaTheme="minorEastAsia"/>
        </w:rPr>
        <w:instrText xml:space="preserve">  \* MERGEFORMAT </w:instrText>
      </w:r>
      <w:r>
        <w:rPr>
          <w:rFonts w:cs="Times New Roman" w:eastAsiaTheme="minorEastAsia"/>
        </w:rPr>
        <w:fldChar w:fldCharType="separate"/>
      </w:r>
      <w:r>
        <w:rPr>
          <w:rFonts w:hint="eastAsia" w:eastAsiaTheme="minorEastAsia"/>
        </w:rPr>
        <w:t xml:space="preserve">表 </w:t>
      </w:r>
      <w:r>
        <w:rPr>
          <w:rFonts w:eastAsiaTheme="minorEastAsia"/>
        </w:rPr>
        <w:t>1.2</w:t>
      </w:r>
      <w:r>
        <w:rPr>
          <w:rFonts w:eastAsiaTheme="minorEastAsia"/>
        </w:rPr>
        <w:noBreakHyphen/>
      </w:r>
      <w:r>
        <w:rPr>
          <w:rFonts w:eastAsiaTheme="minorEastAsia"/>
        </w:rPr>
        <w:t>1</w:t>
      </w:r>
      <w:r>
        <w:rPr>
          <w:rFonts w:cs="Times New Roman" w:eastAsiaTheme="minorEastAsia"/>
        </w:rPr>
        <w:fldChar w:fldCharType="end"/>
      </w:r>
      <w:r>
        <w:rPr>
          <w:rFonts w:hint="eastAsia" w:cs="Times New Roman" w:eastAsiaTheme="minorEastAsia"/>
        </w:rPr>
        <w:t>。</w:t>
      </w:r>
      <w:r>
        <w:rPr>
          <w:rFonts w:cs="Times New Roman" w:eastAsiaTheme="minorEastAsia"/>
        </w:rPr>
        <w:t>项目所在区域地表水环境功能区划</w:t>
      </w:r>
      <w:r>
        <w:rPr>
          <w:rFonts w:hint="eastAsia" w:cs="Times New Roman" w:eastAsiaTheme="minorEastAsia"/>
        </w:rPr>
        <w:t>及饮用水源地规划详见</w:t>
      </w:r>
      <w:r>
        <w:rPr>
          <w:rFonts w:cs="Times New Roman" w:eastAsiaTheme="minorEastAsia"/>
        </w:rPr>
        <w:fldChar w:fldCharType="begin"/>
      </w:r>
      <w:r>
        <w:rPr>
          <w:rFonts w:cs="Times New Roman" w:eastAsiaTheme="minorEastAsia"/>
        </w:rPr>
        <w:instrText xml:space="preserve"> </w:instrText>
      </w:r>
      <w:r>
        <w:rPr>
          <w:rFonts w:hint="eastAsia" w:cs="Times New Roman" w:eastAsiaTheme="minorEastAsia"/>
        </w:rPr>
        <w:instrText xml:space="preserve">REF _Ref522822475 \h</w:instrText>
      </w:r>
      <w:r>
        <w:rPr>
          <w:rFonts w:cs="Times New Roman" w:eastAsiaTheme="minorEastAsia"/>
        </w:rPr>
        <w:instrText xml:space="preserve">  \* MERGEFORMAT </w:instrText>
      </w:r>
      <w:r>
        <w:rPr>
          <w:rFonts w:cs="Times New Roman" w:eastAsiaTheme="minorEastAsia"/>
        </w:rPr>
        <w:fldChar w:fldCharType="separate"/>
      </w:r>
      <w:r>
        <w:rPr>
          <w:rFonts w:hint="eastAsia" w:eastAsiaTheme="minorEastAsia"/>
        </w:rPr>
        <w:t xml:space="preserve">图 </w:t>
      </w:r>
      <w:r>
        <w:rPr>
          <w:rFonts w:eastAsiaTheme="minorEastAsia"/>
        </w:rPr>
        <w:t>1.2</w:t>
      </w:r>
      <w:r>
        <w:rPr>
          <w:rFonts w:eastAsiaTheme="minorEastAsia"/>
        </w:rPr>
        <w:noBreakHyphen/>
      </w:r>
      <w:r>
        <w:rPr>
          <w:rFonts w:eastAsiaTheme="minorEastAsia"/>
        </w:rPr>
        <w:t>3</w:t>
      </w:r>
      <w:r>
        <w:rPr>
          <w:rFonts w:cs="Times New Roman" w:eastAsiaTheme="minorEastAsia"/>
        </w:rPr>
        <w:fldChar w:fldCharType="end"/>
      </w:r>
      <w:r>
        <w:rPr>
          <w:rFonts w:cs="Times New Roman" w:eastAsiaTheme="minorEastAsia"/>
        </w:rPr>
        <w:t>。</w:t>
      </w:r>
    </w:p>
    <w:p>
      <w:pPr>
        <w:pStyle w:val="18"/>
      </w:pPr>
      <w:bookmarkStart w:id="67" w:name="_Ref521664271"/>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bookmarkEnd w:id="67"/>
      <w:r>
        <w:t xml:space="preserve"> </w:t>
      </w:r>
      <w:r>
        <w:rPr>
          <w:rFonts w:hint="eastAsia"/>
        </w:rPr>
        <w:t>项目附近河流水环境功能区划</w:t>
      </w:r>
    </w:p>
    <w:tbl>
      <w:tblPr>
        <w:tblStyle w:val="56"/>
        <w:tblW w:w="9060" w:type="dxa"/>
        <w:tblInd w:w="0" w:type="dxa"/>
        <w:tblLayout w:type="fixed"/>
        <w:tblCellMar>
          <w:top w:w="0" w:type="dxa"/>
          <w:left w:w="108" w:type="dxa"/>
          <w:bottom w:w="0" w:type="dxa"/>
          <w:right w:w="108" w:type="dxa"/>
        </w:tblCellMar>
      </w:tblPr>
      <w:tblGrid>
        <w:gridCol w:w="1128"/>
        <w:gridCol w:w="1198"/>
        <w:gridCol w:w="1555"/>
        <w:gridCol w:w="1292"/>
        <w:gridCol w:w="1297"/>
        <w:gridCol w:w="1296"/>
        <w:gridCol w:w="1294"/>
      </w:tblGrid>
      <w:tr>
        <w:tblPrEx>
          <w:tblLayout w:type="fixed"/>
          <w:tblCellMar>
            <w:top w:w="0" w:type="dxa"/>
            <w:left w:w="108" w:type="dxa"/>
            <w:bottom w:w="0" w:type="dxa"/>
            <w:right w:w="108" w:type="dxa"/>
          </w:tblCellMar>
        </w:tblPrEx>
        <w:trPr>
          <w:trHeight w:val="397" w:hRule="atLeast"/>
          <w:tblHeader/>
        </w:trPr>
        <w:tc>
          <w:tcPr>
            <w:tcW w:w="1128"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河流</w:t>
            </w:r>
          </w:p>
        </w:tc>
        <w:tc>
          <w:tcPr>
            <w:tcW w:w="1198"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所在水系</w:t>
            </w:r>
          </w:p>
        </w:tc>
        <w:tc>
          <w:tcPr>
            <w:tcW w:w="1555"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起点</w:t>
            </w:r>
          </w:p>
        </w:tc>
        <w:tc>
          <w:tcPr>
            <w:tcW w:w="1292"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终点</w:t>
            </w:r>
          </w:p>
        </w:tc>
        <w:tc>
          <w:tcPr>
            <w:tcW w:w="1297"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长度(km)</w:t>
            </w:r>
          </w:p>
        </w:tc>
        <w:tc>
          <w:tcPr>
            <w:tcW w:w="1296"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功能现状</w:t>
            </w:r>
          </w:p>
        </w:tc>
        <w:tc>
          <w:tcPr>
            <w:tcW w:w="1294"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水质目标</w:t>
            </w:r>
          </w:p>
        </w:tc>
      </w:tr>
      <w:tr>
        <w:tblPrEx>
          <w:tblLayout w:type="fixed"/>
          <w:tblCellMar>
            <w:top w:w="0" w:type="dxa"/>
            <w:left w:w="108" w:type="dxa"/>
            <w:bottom w:w="0" w:type="dxa"/>
            <w:right w:w="108" w:type="dxa"/>
          </w:tblCellMar>
        </w:tblPrEx>
        <w:trPr>
          <w:trHeight w:val="397" w:hRule="atLeast"/>
        </w:trPr>
        <w:tc>
          <w:tcPr>
            <w:tcW w:w="1128"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镇海水</w:t>
            </w:r>
          </w:p>
        </w:tc>
        <w:tc>
          <w:tcPr>
            <w:tcW w:w="119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潭江</w:t>
            </w:r>
          </w:p>
        </w:tc>
        <w:tc>
          <w:tcPr>
            <w:tcW w:w="1555"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w:t>
            </w:r>
          </w:p>
        </w:tc>
        <w:tc>
          <w:tcPr>
            <w:tcW w:w="1292"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w:t>
            </w:r>
          </w:p>
        </w:tc>
        <w:tc>
          <w:tcPr>
            <w:tcW w:w="1297"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w:t>
            </w:r>
          </w:p>
        </w:tc>
        <w:tc>
          <w:tcPr>
            <w:tcW w:w="1296"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工农</w:t>
            </w:r>
          </w:p>
        </w:tc>
        <w:tc>
          <w:tcPr>
            <w:tcW w:w="1294"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III</w:t>
            </w:r>
          </w:p>
        </w:tc>
      </w:tr>
      <w:tr>
        <w:tblPrEx>
          <w:tblLayout w:type="fixed"/>
          <w:tblCellMar>
            <w:top w:w="0" w:type="dxa"/>
            <w:left w:w="108" w:type="dxa"/>
            <w:bottom w:w="0" w:type="dxa"/>
            <w:right w:w="108" w:type="dxa"/>
          </w:tblCellMar>
        </w:tblPrEx>
        <w:trPr>
          <w:trHeight w:val="397" w:hRule="atLeast"/>
        </w:trPr>
        <w:tc>
          <w:tcPr>
            <w:tcW w:w="1128"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潭江</w:t>
            </w:r>
          </w:p>
        </w:tc>
        <w:tc>
          <w:tcPr>
            <w:tcW w:w="119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潭江</w:t>
            </w:r>
          </w:p>
        </w:tc>
        <w:tc>
          <w:tcPr>
            <w:tcW w:w="1555"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w:t>
            </w:r>
          </w:p>
        </w:tc>
        <w:tc>
          <w:tcPr>
            <w:tcW w:w="1292"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w:t>
            </w:r>
          </w:p>
        </w:tc>
        <w:tc>
          <w:tcPr>
            <w:tcW w:w="1297"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w:t>
            </w:r>
          </w:p>
        </w:tc>
        <w:tc>
          <w:tcPr>
            <w:tcW w:w="1296"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农</w:t>
            </w:r>
          </w:p>
        </w:tc>
        <w:tc>
          <w:tcPr>
            <w:tcW w:w="1294"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III</w:t>
            </w:r>
          </w:p>
        </w:tc>
      </w:tr>
    </w:tbl>
    <w:p>
      <w:pPr>
        <w:ind w:firstLine="480"/>
        <w:rPr>
          <w:rFonts w:eastAsiaTheme="minorEastAsia"/>
          <w:b/>
        </w:rPr>
      </w:pPr>
      <w:bookmarkStart w:id="68" w:name="_Toc331536080"/>
      <w:bookmarkStart w:id="69" w:name="_Toc293409670"/>
      <w:r>
        <w:rPr>
          <w:rFonts w:hint="eastAsia" w:eastAsiaTheme="minorEastAsia"/>
        </w:rPr>
        <w:t>根据《广东省人民政府关于同意调整开平市饮用水源保护区划方案的批复》（粤府函〔2011〕40号），开平市饮用水水源保护区划分范围见</w:t>
      </w:r>
      <w:r>
        <w:rPr>
          <w:rFonts w:eastAsiaTheme="minorEastAsia"/>
        </w:rPr>
        <w:fldChar w:fldCharType="begin"/>
      </w:r>
      <w:r>
        <w:rPr>
          <w:rFonts w:eastAsiaTheme="minorEastAsia"/>
        </w:rPr>
        <w:instrText xml:space="preserve"> </w:instrText>
      </w:r>
      <w:r>
        <w:rPr>
          <w:rFonts w:hint="eastAsia" w:eastAsiaTheme="minorEastAsia"/>
        </w:rPr>
        <w:instrText xml:space="preserve">REF _Ref523488963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1.2</w:t>
      </w:r>
      <w:r>
        <w:rPr>
          <w:rFonts w:eastAsiaTheme="minorEastAsia"/>
        </w:rPr>
        <w:noBreakHyphen/>
      </w:r>
      <w:r>
        <w:rPr>
          <w:rFonts w:eastAsiaTheme="minorEastAsia"/>
        </w:rPr>
        <w:t>2</w:t>
      </w:r>
      <w:r>
        <w:rPr>
          <w:rFonts w:eastAsiaTheme="minorEastAsia"/>
        </w:rPr>
        <w:fldChar w:fldCharType="end"/>
      </w:r>
      <w:r>
        <w:rPr>
          <w:rFonts w:hint="eastAsia" w:eastAsiaTheme="minorEastAsia"/>
        </w:rPr>
        <w:t>。项目选址地距离周边最近的水源保护区</w:t>
      </w:r>
      <w:r>
        <w:rPr>
          <w:rFonts w:hint="eastAsia"/>
        </w:rPr>
        <w:t>潭江</w:t>
      </w:r>
      <w:r>
        <w:t>开平、恩平交界处至南楼吸水点下游3000米河段（除一级水源保护区以外）的水域</w:t>
      </w:r>
      <w:r>
        <w:rPr>
          <w:rFonts w:hint="eastAsia" w:eastAsiaTheme="minorEastAsia"/>
        </w:rPr>
        <w:t>边界约1</w:t>
      </w:r>
      <w:r>
        <w:rPr>
          <w:rFonts w:eastAsiaTheme="minorEastAsia"/>
        </w:rPr>
        <w:t>0</w:t>
      </w:r>
      <w:r>
        <w:rPr>
          <w:rFonts w:hint="eastAsia" w:eastAsiaTheme="minorEastAsia"/>
        </w:rPr>
        <w:t>km，与</w:t>
      </w:r>
      <w:r>
        <w:rPr>
          <w:rFonts w:hint="eastAsia"/>
        </w:rPr>
        <w:t>保护区之间有</w:t>
      </w:r>
      <w:r>
        <w:rPr>
          <w:rFonts w:hint="eastAsia" w:eastAsiaTheme="minorEastAsia"/>
        </w:rPr>
        <w:t>重山等天然阻隔，不在</w:t>
      </w:r>
      <w:r>
        <w:rPr>
          <w:rFonts w:hint="eastAsia"/>
        </w:rPr>
        <w:t>保护区</w:t>
      </w:r>
      <w:r>
        <w:t>相应二级保护区水域两岸河堤外坡脚向外纵深200米的陆域范围</w:t>
      </w:r>
      <w:r>
        <w:rPr>
          <w:rFonts w:hint="eastAsia" w:eastAsiaTheme="minorEastAsia"/>
        </w:rPr>
        <w:t>，</w:t>
      </w:r>
      <w:r>
        <w:rPr>
          <w:rFonts w:hint="eastAsia" w:eastAsiaTheme="minorEastAsia"/>
          <w:b/>
        </w:rPr>
        <w:t>因此项目不在开平市饮用水源保护区范围之内。</w:t>
      </w:r>
    </w:p>
    <w:p>
      <w:pPr>
        <w:pStyle w:val="18"/>
      </w:pPr>
      <w:bookmarkStart w:id="70" w:name="_Ref523488963"/>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bookmarkEnd w:id="70"/>
      <w:r>
        <w:rPr>
          <w:rFonts w:hint="eastAsia"/>
        </w:rPr>
        <w:t>开平市饮用水源保护区划分情况表</w:t>
      </w:r>
    </w:p>
    <w:tbl>
      <w:tblPr>
        <w:tblStyle w:val="5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6"/>
        <w:gridCol w:w="1276"/>
        <w:gridCol w:w="3827"/>
        <w:gridCol w:w="2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trPr>
        <w:tc>
          <w:tcPr>
            <w:tcW w:w="1526" w:type="dxa"/>
            <w:shd w:val="clear" w:color="auto" w:fill="D8D8D8" w:themeFill="background1" w:themeFillShade="D9"/>
            <w:vAlign w:val="center"/>
          </w:tcPr>
          <w:p>
            <w:pPr>
              <w:pStyle w:val="107"/>
              <w:rPr>
                <w:b/>
              </w:rPr>
            </w:pPr>
            <w:r>
              <w:rPr>
                <w:b/>
              </w:rPr>
              <w:t>保护区</w:t>
            </w:r>
            <w:r>
              <w:rPr>
                <w:rFonts w:hint="eastAsia"/>
                <w:b/>
              </w:rPr>
              <w:t>所在地</w:t>
            </w:r>
          </w:p>
        </w:tc>
        <w:tc>
          <w:tcPr>
            <w:tcW w:w="1276" w:type="dxa"/>
            <w:shd w:val="clear" w:color="auto" w:fill="D8D8D8" w:themeFill="background1" w:themeFillShade="D9"/>
            <w:vAlign w:val="center"/>
          </w:tcPr>
          <w:p>
            <w:pPr>
              <w:pStyle w:val="107"/>
              <w:rPr>
                <w:b/>
              </w:rPr>
            </w:pPr>
            <w:r>
              <w:rPr>
                <w:rFonts w:hint="eastAsia"/>
                <w:b/>
              </w:rPr>
              <w:t>级别</w:t>
            </w:r>
          </w:p>
        </w:tc>
        <w:tc>
          <w:tcPr>
            <w:tcW w:w="3827" w:type="dxa"/>
            <w:shd w:val="clear" w:color="auto" w:fill="D8D8D8" w:themeFill="background1" w:themeFillShade="D9"/>
            <w:vAlign w:val="center"/>
          </w:tcPr>
          <w:p>
            <w:pPr>
              <w:pStyle w:val="107"/>
              <w:rPr>
                <w:b/>
              </w:rPr>
            </w:pPr>
            <w:r>
              <w:rPr>
                <w:b/>
              </w:rPr>
              <w:t>水域保护范围</w:t>
            </w:r>
          </w:p>
        </w:tc>
        <w:tc>
          <w:tcPr>
            <w:tcW w:w="2657" w:type="dxa"/>
            <w:shd w:val="clear" w:color="auto" w:fill="D8D8D8" w:themeFill="background1" w:themeFillShade="D9"/>
            <w:vAlign w:val="center"/>
          </w:tcPr>
          <w:p>
            <w:pPr>
              <w:pStyle w:val="107"/>
              <w:rPr>
                <w:b/>
              </w:rPr>
            </w:pPr>
            <w:r>
              <w:rPr>
                <w:b/>
              </w:rPr>
              <w:t>陆域保护范围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526" w:type="dxa"/>
            <w:vMerge w:val="restart"/>
            <w:vAlign w:val="center"/>
          </w:tcPr>
          <w:p>
            <w:pPr>
              <w:pStyle w:val="107"/>
            </w:pPr>
            <w:r>
              <w:t>开平市饮用水源保护区</w:t>
            </w:r>
          </w:p>
        </w:tc>
        <w:tc>
          <w:tcPr>
            <w:tcW w:w="1276" w:type="dxa"/>
            <w:vMerge w:val="restart"/>
            <w:vAlign w:val="center"/>
          </w:tcPr>
          <w:p>
            <w:pPr>
              <w:pStyle w:val="107"/>
            </w:pPr>
            <w:r>
              <w:t>一级保护区</w:t>
            </w:r>
          </w:p>
        </w:tc>
        <w:tc>
          <w:tcPr>
            <w:tcW w:w="3827" w:type="dxa"/>
            <w:vAlign w:val="center"/>
          </w:tcPr>
          <w:p>
            <w:pPr>
              <w:pStyle w:val="107"/>
              <w:jc w:val="left"/>
            </w:pPr>
            <w:r>
              <w:rPr>
                <w:rFonts w:hint="eastAsia"/>
              </w:rPr>
              <w:t>潭江</w:t>
            </w:r>
            <w:r>
              <w:t>开平市南楼吸水点上游1000米至下游20000米河段的水域，水质保护目标为</w:t>
            </w:r>
            <w:r>
              <w:rPr>
                <w:rFonts w:hint="eastAsia"/>
              </w:rPr>
              <w:t>Ⅱ</w:t>
            </w:r>
            <w:r>
              <w:t>类</w:t>
            </w:r>
          </w:p>
        </w:tc>
        <w:tc>
          <w:tcPr>
            <w:tcW w:w="2657" w:type="dxa"/>
            <w:vAlign w:val="center"/>
          </w:tcPr>
          <w:p>
            <w:pPr>
              <w:pStyle w:val="107"/>
              <w:jc w:val="left"/>
            </w:pPr>
            <w:r>
              <w:rPr>
                <w:rFonts w:hint="eastAsia"/>
              </w:rPr>
              <w:t>潭江</w:t>
            </w:r>
            <w:r>
              <w:t>河段相应一级保护区水域两岸河堤外坡脚向外纵深200米的陆域范围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526" w:type="dxa"/>
            <w:vMerge w:val="continue"/>
            <w:vAlign w:val="center"/>
          </w:tcPr>
          <w:p>
            <w:pPr>
              <w:pStyle w:val="107"/>
            </w:pPr>
          </w:p>
        </w:tc>
        <w:tc>
          <w:tcPr>
            <w:tcW w:w="1276" w:type="dxa"/>
            <w:vMerge w:val="continue"/>
            <w:vAlign w:val="center"/>
          </w:tcPr>
          <w:p>
            <w:pPr>
              <w:pStyle w:val="107"/>
            </w:pPr>
          </w:p>
        </w:tc>
        <w:tc>
          <w:tcPr>
            <w:tcW w:w="3827" w:type="dxa"/>
            <w:vAlign w:val="center"/>
          </w:tcPr>
          <w:p>
            <w:pPr>
              <w:pStyle w:val="107"/>
              <w:jc w:val="left"/>
            </w:pPr>
            <w:r>
              <w:t>大沙河水库以马岗镇鬼仔塘吸水点为中线，半径4000米水域，水质保护目标为</w:t>
            </w:r>
            <w:r>
              <w:rPr>
                <w:rFonts w:hint="eastAsia"/>
              </w:rPr>
              <w:t>Ⅱ</w:t>
            </w:r>
            <w:r>
              <w:t>类</w:t>
            </w:r>
          </w:p>
        </w:tc>
        <w:tc>
          <w:tcPr>
            <w:tcW w:w="2657" w:type="dxa"/>
            <w:vAlign w:val="center"/>
          </w:tcPr>
          <w:p>
            <w:pPr>
              <w:pStyle w:val="107"/>
              <w:jc w:val="left"/>
            </w:pPr>
            <w:r>
              <w:t>大沙河水库相应一级保护区水域沿岸向陆地纵深200米的陆域范围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526" w:type="dxa"/>
            <w:vMerge w:val="continue"/>
            <w:vAlign w:val="center"/>
          </w:tcPr>
          <w:p>
            <w:pPr>
              <w:pStyle w:val="107"/>
            </w:pPr>
          </w:p>
        </w:tc>
        <w:tc>
          <w:tcPr>
            <w:tcW w:w="1276" w:type="dxa"/>
            <w:vMerge w:val="continue"/>
            <w:vAlign w:val="center"/>
          </w:tcPr>
          <w:p>
            <w:pPr>
              <w:pStyle w:val="107"/>
            </w:pPr>
          </w:p>
        </w:tc>
        <w:tc>
          <w:tcPr>
            <w:tcW w:w="3827" w:type="dxa"/>
            <w:vAlign w:val="center"/>
          </w:tcPr>
          <w:p>
            <w:pPr>
              <w:pStyle w:val="107"/>
              <w:jc w:val="left"/>
            </w:pPr>
            <w:r>
              <w:t>长沙区龙山水库所有水域，水质保护目标为</w:t>
            </w:r>
            <w:r>
              <w:rPr>
                <w:rFonts w:hint="eastAsia"/>
              </w:rPr>
              <w:t>Ⅱ</w:t>
            </w:r>
            <w:r>
              <w:t>类</w:t>
            </w:r>
          </w:p>
        </w:tc>
        <w:tc>
          <w:tcPr>
            <w:tcW w:w="2657" w:type="dxa"/>
            <w:vAlign w:val="center"/>
          </w:tcPr>
          <w:p>
            <w:pPr>
              <w:pStyle w:val="107"/>
              <w:jc w:val="left"/>
            </w:pPr>
            <w:r>
              <w:t>龙山水库集雨区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526" w:type="dxa"/>
            <w:vMerge w:val="continue"/>
            <w:vAlign w:val="center"/>
          </w:tcPr>
          <w:p>
            <w:pPr>
              <w:pStyle w:val="107"/>
            </w:pPr>
          </w:p>
        </w:tc>
        <w:tc>
          <w:tcPr>
            <w:tcW w:w="1276" w:type="dxa"/>
            <w:vMerge w:val="restart"/>
            <w:vAlign w:val="center"/>
          </w:tcPr>
          <w:p>
            <w:pPr>
              <w:pStyle w:val="107"/>
            </w:pPr>
            <w:r>
              <w:t>二级保护区</w:t>
            </w:r>
          </w:p>
        </w:tc>
        <w:tc>
          <w:tcPr>
            <w:tcW w:w="3827" w:type="dxa"/>
            <w:vAlign w:val="center"/>
          </w:tcPr>
          <w:p>
            <w:pPr>
              <w:pStyle w:val="107"/>
              <w:jc w:val="left"/>
            </w:pPr>
            <w:r>
              <w:rPr>
                <w:rFonts w:hint="eastAsia"/>
              </w:rPr>
              <w:t>潭江</w:t>
            </w:r>
            <w:r>
              <w:t>开平、恩平交界处至南楼吸水点下游3000米河段（除一级水源保护区以外）的水域，水质保护目标为</w:t>
            </w:r>
            <w:r>
              <w:rPr>
                <w:rFonts w:hint="eastAsia"/>
              </w:rPr>
              <w:t>Ⅱ</w:t>
            </w:r>
            <w:r>
              <w:t>类</w:t>
            </w:r>
          </w:p>
        </w:tc>
        <w:tc>
          <w:tcPr>
            <w:tcW w:w="2657" w:type="dxa"/>
            <w:vAlign w:val="center"/>
          </w:tcPr>
          <w:p>
            <w:pPr>
              <w:pStyle w:val="107"/>
              <w:jc w:val="left"/>
            </w:pPr>
            <w:r>
              <w:t>相应二级保护区水域两岸河堤外坡脚向外纵深200米的陆域范围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526" w:type="dxa"/>
            <w:vMerge w:val="continue"/>
            <w:vAlign w:val="center"/>
          </w:tcPr>
          <w:p>
            <w:pPr>
              <w:pStyle w:val="107"/>
            </w:pPr>
          </w:p>
        </w:tc>
        <w:tc>
          <w:tcPr>
            <w:tcW w:w="1276" w:type="dxa"/>
            <w:vMerge w:val="continue"/>
            <w:vAlign w:val="center"/>
          </w:tcPr>
          <w:p>
            <w:pPr>
              <w:pStyle w:val="107"/>
            </w:pPr>
          </w:p>
        </w:tc>
        <w:tc>
          <w:tcPr>
            <w:tcW w:w="3827" w:type="dxa"/>
            <w:vAlign w:val="center"/>
          </w:tcPr>
          <w:p>
            <w:pPr>
              <w:pStyle w:val="107"/>
              <w:jc w:val="left"/>
            </w:pPr>
            <w:r>
              <w:t>大沙河水库（除一级水源保护区以外）水库所有水域，水质保护目标为</w:t>
            </w:r>
            <w:r>
              <w:rPr>
                <w:rFonts w:hint="eastAsia"/>
              </w:rPr>
              <w:t>Ⅱ</w:t>
            </w:r>
            <w:r>
              <w:t>类</w:t>
            </w:r>
          </w:p>
        </w:tc>
        <w:tc>
          <w:tcPr>
            <w:tcW w:w="2657" w:type="dxa"/>
            <w:vAlign w:val="center"/>
          </w:tcPr>
          <w:p>
            <w:pPr>
              <w:pStyle w:val="107"/>
              <w:jc w:val="left"/>
            </w:pPr>
            <w:r>
              <w:t>大沙河水库除一级水源保护区以外的开平市内所有集雨区</w:t>
            </w:r>
          </w:p>
        </w:tc>
      </w:tr>
    </w:tbl>
    <w:p>
      <w:pPr>
        <w:pStyle w:val="5"/>
      </w:pPr>
      <w:r>
        <w:t>地下水环境功能区划</w:t>
      </w:r>
      <w:bookmarkEnd w:id="68"/>
    </w:p>
    <w:p>
      <w:pPr>
        <w:ind w:firstLine="480"/>
        <w:rPr>
          <w:rFonts w:cs="Times New Roman" w:eastAsiaTheme="minorEastAsia"/>
        </w:rPr>
      </w:pPr>
      <w:r>
        <w:rPr>
          <w:rFonts w:hint="eastAsia" w:eastAsiaTheme="minorEastAsia"/>
        </w:rPr>
        <w:t>根据广东省人民政府办公厅《关于同意广东省地下水功能区划的复函》（粤办函〔2009〕459号〕，项目所在区域</w:t>
      </w:r>
      <w:r>
        <w:rPr>
          <w:rFonts w:cs="Times New Roman" w:eastAsiaTheme="minorEastAsia"/>
        </w:rPr>
        <w:t>属珠江三角洲</w:t>
      </w:r>
      <w:r>
        <w:rPr>
          <w:rFonts w:hint="eastAsia" w:cs="Times New Roman" w:eastAsiaTheme="minorEastAsia"/>
        </w:rPr>
        <w:t>江门恩平开平地下水水源涵养区（</w:t>
      </w:r>
      <w:r>
        <w:rPr>
          <w:rFonts w:cs="Times New Roman" w:eastAsiaTheme="minorEastAsia"/>
        </w:rPr>
        <w:t>H074407002T02</w:t>
      </w:r>
      <w:r>
        <w:rPr>
          <w:rFonts w:hint="eastAsia" w:cs="Times New Roman" w:eastAsiaTheme="minorEastAsia"/>
        </w:rPr>
        <w:t>）</w:t>
      </w:r>
      <w:r>
        <w:rPr>
          <w:rFonts w:cs="Times New Roman" w:eastAsiaTheme="minorEastAsia"/>
        </w:rPr>
        <w:t>，</w:t>
      </w:r>
      <w:r>
        <w:rPr>
          <w:rFonts w:hint="eastAsia" w:cs="Times New Roman" w:eastAsiaTheme="minorEastAsia"/>
        </w:rPr>
        <w:t>现状水质类别为I-IV类，局部pH、Fe超标</w:t>
      </w:r>
      <w:r>
        <w:rPr>
          <w:rFonts w:cs="Times New Roman" w:eastAsiaTheme="minorEastAsia"/>
        </w:rPr>
        <w:t>，地下水功能区</w:t>
      </w:r>
      <w:r>
        <w:rPr>
          <w:rFonts w:hint="eastAsia" w:cs="Times New Roman" w:eastAsiaTheme="minorEastAsia"/>
        </w:rPr>
        <w:t>水质</w:t>
      </w:r>
      <w:r>
        <w:rPr>
          <w:rFonts w:cs="Times New Roman" w:eastAsiaTheme="minorEastAsia"/>
        </w:rPr>
        <w:t>保护目标为</w:t>
      </w:r>
      <w:r>
        <w:rPr>
          <w:rFonts w:hint="eastAsia" w:cs="Times New Roman" w:eastAsiaTheme="minorEastAsia"/>
        </w:rPr>
        <w:t>III类标准，水位保护目标为</w:t>
      </w:r>
      <w:r>
        <w:rPr>
          <w:rFonts w:cs="Times New Roman" w:eastAsiaTheme="minorEastAsia"/>
        </w:rPr>
        <w:t>维持</w:t>
      </w:r>
      <w:r>
        <w:rPr>
          <w:rFonts w:hint="eastAsia" w:cs="Times New Roman" w:eastAsiaTheme="minorEastAsia"/>
        </w:rPr>
        <w:t>较高的</w:t>
      </w:r>
      <w:r>
        <w:rPr>
          <w:rFonts w:cs="Times New Roman" w:eastAsiaTheme="minorEastAsia"/>
        </w:rPr>
        <w:t>地下水</w:t>
      </w:r>
      <w:r>
        <w:rPr>
          <w:rFonts w:hint="eastAsia" w:cs="Times New Roman" w:eastAsiaTheme="minorEastAsia"/>
        </w:rPr>
        <w:t>水位</w:t>
      </w:r>
      <w:r>
        <w:rPr>
          <w:rFonts w:cs="Times New Roman" w:eastAsiaTheme="minorEastAsia"/>
        </w:rPr>
        <w:t>。</w:t>
      </w:r>
    </w:p>
    <w:p>
      <w:pPr>
        <w:ind w:firstLine="480"/>
        <w:rPr>
          <w:rFonts w:cs="Times New Roman" w:eastAsiaTheme="minorEastAsia"/>
        </w:rPr>
      </w:pPr>
      <w:r>
        <w:rPr>
          <w:rFonts w:cs="Times New Roman" w:eastAsiaTheme="minorEastAsia"/>
        </w:rPr>
        <w:t>项目所在区域地下水环境功能区划图见</w:t>
      </w:r>
      <w:r>
        <w:rPr>
          <w:rFonts w:cs="Times New Roman" w:eastAsiaTheme="minorEastAsia"/>
        </w:rPr>
        <w:fldChar w:fldCharType="begin"/>
      </w:r>
      <w:r>
        <w:rPr>
          <w:rFonts w:cs="Times New Roman" w:eastAsiaTheme="minorEastAsia"/>
        </w:rPr>
        <w:instrText xml:space="preserve"> REF _Ref522822486 \h  \* MERGEFORMAT </w:instrText>
      </w:r>
      <w:r>
        <w:rPr>
          <w:rFonts w:cs="Times New Roman" w:eastAsiaTheme="minorEastAsia"/>
        </w:rPr>
        <w:fldChar w:fldCharType="separate"/>
      </w:r>
      <w:r>
        <w:rPr>
          <w:rFonts w:hint="eastAsia" w:eastAsiaTheme="minorEastAsia"/>
        </w:rPr>
        <w:t xml:space="preserve">图 </w:t>
      </w:r>
      <w:r>
        <w:rPr>
          <w:rFonts w:eastAsiaTheme="minorEastAsia"/>
        </w:rPr>
        <w:t>1.2</w:t>
      </w:r>
      <w:r>
        <w:rPr>
          <w:rFonts w:eastAsiaTheme="minorEastAsia"/>
        </w:rPr>
        <w:noBreakHyphen/>
      </w:r>
      <w:r>
        <w:rPr>
          <w:rFonts w:eastAsiaTheme="minorEastAsia"/>
        </w:rPr>
        <w:t>4</w:t>
      </w:r>
      <w:r>
        <w:rPr>
          <w:rFonts w:cs="Times New Roman" w:eastAsiaTheme="minorEastAsia"/>
        </w:rPr>
        <w:fldChar w:fldCharType="end"/>
      </w:r>
      <w:r>
        <w:rPr>
          <w:rFonts w:cs="Times New Roman" w:eastAsiaTheme="minorEastAsia"/>
        </w:rPr>
        <w:t>。</w:t>
      </w:r>
    </w:p>
    <w:bookmarkEnd w:id="69"/>
    <w:p>
      <w:pPr>
        <w:pStyle w:val="5"/>
      </w:pPr>
      <w:bookmarkStart w:id="71" w:name="_Ref522030303"/>
      <w:bookmarkStart w:id="72" w:name="_Toc331536082"/>
      <w:bookmarkStart w:id="73" w:name="_Toc293409671"/>
      <w:r>
        <w:t>声环境功能区划</w:t>
      </w:r>
      <w:bookmarkEnd w:id="71"/>
      <w:bookmarkEnd w:id="72"/>
      <w:bookmarkEnd w:id="73"/>
    </w:p>
    <w:p>
      <w:pPr>
        <w:ind w:firstLine="480"/>
        <w:rPr>
          <w:rFonts w:eastAsiaTheme="minorEastAsia"/>
        </w:rPr>
      </w:pPr>
      <w:r>
        <w:rPr>
          <w:rFonts w:hint="eastAsia" w:eastAsiaTheme="minorEastAsia"/>
        </w:rPr>
        <w:t>项目所在地位于开平市苍城镇西郊工业园三区7号</w:t>
      </w:r>
      <w:r>
        <w:rPr>
          <w:rFonts w:eastAsiaTheme="minorEastAsia"/>
        </w:rPr>
        <w:t>，</w:t>
      </w:r>
      <w:r>
        <w:rPr>
          <w:rFonts w:hint="eastAsia" w:eastAsiaTheme="minorEastAsia"/>
        </w:rPr>
        <w:t>离苍城镇较近，属于居住、商业、工业混杂区域</w:t>
      </w:r>
      <w:r>
        <w:rPr>
          <w:rFonts w:eastAsiaTheme="minorEastAsia"/>
        </w:rPr>
        <w:t>，执行2类声环境功能区要求，执行《声环境质量标准》（GB 3096-2008）2类标准。</w:t>
      </w:r>
      <w:bookmarkStart w:id="74" w:name="_Toc331536083"/>
    </w:p>
    <w:p>
      <w:pPr>
        <w:pStyle w:val="5"/>
      </w:pPr>
      <w:r>
        <w:t>生态环境功能</w:t>
      </w:r>
      <w:r>
        <w:rPr>
          <w:szCs w:val="28"/>
        </w:rPr>
        <w:t>区划</w:t>
      </w:r>
      <w:bookmarkEnd w:id="74"/>
    </w:p>
    <w:p>
      <w:pPr>
        <w:ind w:firstLine="480"/>
        <w:rPr>
          <w:rFonts w:eastAsiaTheme="minorEastAsia"/>
        </w:rPr>
      </w:pPr>
      <w:r>
        <w:rPr>
          <w:rFonts w:eastAsiaTheme="minorEastAsia"/>
        </w:rPr>
        <w:t>根据《广东省环境保护规划</w:t>
      </w:r>
      <w:r>
        <w:rPr>
          <w:rFonts w:hint="eastAsia" w:eastAsiaTheme="minorEastAsia"/>
        </w:rPr>
        <w:t>纲要</w:t>
      </w:r>
      <w:r>
        <w:rPr>
          <w:rFonts w:eastAsiaTheme="minorEastAsia"/>
        </w:rPr>
        <w:t>（2006-2020）》和《珠江三角洲环境保护规划</w:t>
      </w:r>
      <w:r>
        <w:rPr>
          <w:rFonts w:hint="eastAsia" w:eastAsiaTheme="minorEastAsia"/>
        </w:rPr>
        <w:t>纲要</w:t>
      </w:r>
      <w:r>
        <w:rPr>
          <w:rFonts w:eastAsiaTheme="minorEastAsia"/>
        </w:rPr>
        <w:t>（2004-2020）》提出生态分级控制规划的思路，将全省和珠三角地区划分为严格保护区、有限开发区（控制性保护利用区）、集约利用区（引导性开发</w:t>
      </w:r>
      <w:r>
        <w:rPr>
          <w:rFonts w:hint="eastAsia" w:eastAsiaTheme="minorEastAsia"/>
        </w:rPr>
        <w:t>建设</w:t>
      </w:r>
      <w:r>
        <w:rPr>
          <w:rFonts w:eastAsiaTheme="minorEastAsia"/>
        </w:rPr>
        <w:t>区）三个控制级别。</w:t>
      </w:r>
    </w:p>
    <w:p>
      <w:pPr>
        <w:ind w:firstLine="480"/>
        <w:rPr>
          <w:rFonts w:eastAsiaTheme="minorEastAsia"/>
        </w:rPr>
      </w:pPr>
      <w:r>
        <w:rPr>
          <w:rFonts w:hint="eastAsia" w:eastAsiaTheme="minorEastAsia"/>
        </w:rPr>
        <w:t>根据</w:t>
      </w:r>
      <w:r>
        <w:rPr>
          <w:rFonts w:eastAsiaTheme="minorEastAsia"/>
        </w:rPr>
        <w:t>《</w:t>
      </w:r>
      <w:r>
        <w:rPr>
          <w:rFonts w:hint="eastAsia" w:eastAsiaTheme="minorEastAsia"/>
        </w:rPr>
        <w:t>江门市环境保护规划纲要（2006-2020）</w:t>
      </w:r>
      <w:r>
        <w:rPr>
          <w:rFonts w:eastAsiaTheme="minorEastAsia"/>
        </w:rPr>
        <w:t>》</w:t>
      </w:r>
      <w:r>
        <w:rPr>
          <w:rFonts w:hint="eastAsia" w:eastAsiaTheme="minorEastAsia"/>
        </w:rPr>
        <w:t>，</w:t>
      </w:r>
      <w:r>
        <w:rPr>
          <w:rFonts w:eastAsiaTheme="minorEastAsia"/>
        </w:rPr>
        <w:t>项目在所在区域属于</w:t>
      </w:r>
      <w:r>
        <w:rPr>
          <w:rFonts w:hint="eastAsia" w:eastAsiaTheme="minorEastAsia"/>
        </w:rPr>
        <w:t>江门市生态分级控制划定的</w:t>
      </w:r>
      <w:r>
        <w:rPr>
          <w:rFonts w:eastAsiaTheme="minorEastAsia"/>
        </w:rPr>
        <w:t>引导性开发建设区，指为人类提供生活资源与生产生活空间的区域，</w:t>
      </w:r>
      <w:r>
        <w:rPr>
          <w:rFonts w:hint="eastAsia" w:eastAsiaTheme="minorEastAsia"/>
        </w:rPr>
        <w:t>包括农业开发区和城镇开发区，在区域生态保护中的总体要求是提高资源利用效率。</w:t>
      </w:r>
      <w:r>
        <w:rPr>
          <w:rFonts w:eastAsiaTheme="minorEastAsia"/>
        </w:rPr>
        <w:t>这部分区域自然条件优越，开发程度高，在区域生态保护中的总体要求是提高资源利用效率，以最少的土地承载全市的人口与经济发展，从而能保留更多的土地用于生态保护与恢复。</w:t>
      </w:r>
    </w:p>
    <w:p>
      <w:pPr>
        <w:ind w:firstLine="480"/>
        <w:rPr>
          <w:rFonts w:eastAsiaTheme="minorEastAsia" w:cstheme="minorBidi"/>
        </w:rPr>
      </w:pPr>
      <w:r>
        <w:rPr>
          <w:rFonts w:hint="eastAsia" w:eastAsiaTheme="minorEastAsia"/>
        </w:rPr>
        <w:t>本项目所处生态功能分区及其功能定位详见</w:t>
      </w:r>
      <w:r>
        <w:rPr>
          <w:rFonts w:eastAsiaTheme="minorEastAsia"/>
        </w:rPr>
        <w:fldChar w:fldCharType="begin"/>
      </w:r>
      <w:r>
        <w:rPr>
          <w:rFonts w:eastAsiaTheme="minorEastAsia"/>
        </w:rPr>
        <w:instrText xml:space="preserve"> </w:instrText>
      </w:r>
      <w:r>
        <w:rPr>
          <w:rFonts w:hint="eastAsia" w:eastAsiaTheme="minorEastAsia"/>
        </w:rPr>
        <w:instrText xml:space="preserve">REF _Ref515561237 \h</w:instrText>
      </w:r>
      <w:r>
        <w:rPr>
          <w:rFonts w:eastAsiaTheme="minorEastAsia"/>
        </w:rPr>
        <w:instrText xml:space="preserve">  \* MERGEFORMAT </w:instrText>
      </w:r>
      <w:r>
        <w:rPr>
          <w:rFonts w:eastAsiaTheme="minorEastAsia"/>
        </w:rPr>
        <w:fldChar w:fldCharType="separate"/>
      </w:r>
      <w:r>
        <w:rPr>
          <w:rFonts w:hint="eastAsia" w:eastAsiaTheme="minorEastAsia"/>
        </w:rPr>
        <w:t>表</w:t>
      </w:r>
      <w:r>
        <w:rPr>
          <w:rFonts w:eastAsiaTheme="minorEastAsia"/>
        </w:rPr>
        <w:t xml:space="preserve"> 1.2</w:t>
      </w:r>
      <w:r>
        <w:rPr>
          <w:rFonts w:eastAsiaTheme="minorEastAsia"/>
        </w:rPr>
        <w:noBreakHyphen/>
      </w:r>
      <w:r>
        <w:rPr>
          <w:rFonts w:eastAsiaTheme="minorEastAsia"/>
        </w:rPr>
        <w:t>3</w:t>
      </w:r>
      <w:r>
        <w:rPr>
          <w:rFonts w:eastAsiaTheme="minorEastAsia"/>
        </w:rPr>
        <w:fldChar w:fldCharType="end"/>
      </w:r>
      <w:r>
        <w:rPr>
          <w:rFonts w:hint="eastAsia" w:eastAsiaTheme="minorEastAsia"/>
        </w:rPr>
        <w:t>，生态功能区划图见</w:t>
      </w:r>
      <w:r>
        <w:rPr>
          <w:rFonts w:eastAsiaTheme="minorEastAsia"/>
        </w:rPr>
        <w:fldChar w:fldCharType="begin"/>
      </w:r>
      <w:r>
        <w:rPr>
          <w:rFonts w:eastAsiaTheme="minorEastAsia"/>
        </w:rPr>
        <w:instrText xml:space="preserve"> </w:instrText>
      </w:r>
      <w:r>
        <w:rPr>
          <w:rFonts w:hint="eastAsia" w:eastAsiaTheme="minorEastAsia"/>
        </w:rPr>
        <w:instrText xml:space="preserve">REF _Ref522822512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1.2</w:t>
      </w:r>
      <w:r>
        <w:rPr>
          <w:rFonts w:eastAsiaTheme="minorEastAsia"/>
        </w:rPr>
        <w:noBreakHyphen/>
      </w:r>
      <w:r>
        <w:rPr>
          <w:rFonts w:eastAsiaTheme="minorEastAsia"/>
        </w:rPr>
        <w:t>5</w:t>
      </w:r>
      <w:r>
        <w:rPr>
          <w:rFonts w:eastAsiaTheme="minorEastAsia"/>
        </w:rPr>
        <w:fldChar w:fldCharType="end"/>
      </w:r>
      <w:r>
        <w:rPr>
          <w:rFonts w:hint="eastAsia" w:eastAsiaTheme="minorEastAsia"/>
        </w:rPr>
        <w:t>，生态分级控制图见</w:t>
      </w:r>
      <w:r>
        <w:rPr>
          <w:rFonts w:eastAsiaTheme="minorEastAsia"/>
        </w:rPr>
        <w:fldChar w:fldCharType="begin"/>
      </w:r>
      <w:r>
        <w:rPr>
          <w:rFonts w:eastAsiaTheme="minorEastAsia"/>
        </w:rPr>
        <w:instrText xml:space="preserve"> </w:instrText>
      </w:r>
      <w:r>
        <w:rPr>
          <w:rFonts w:hint="eastAsia" w:eastAsiaTheme="minorEastAsia"/>
        </w:rPr>
        <w:instrText xml:space="preserve">REF _Ref522822527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1.2</w:t>
      </w:r>
      <w:r>
        <w:rPr>
          <w:rFonts w:eastAsiaTheme="minorEastAsia"/>
        </w:rPr>
        <w:noBreakHyphen/>
      </w:r>
      <w:r>
        <w:rPr>
          <w:rFonts w:eastAsiaTheme="minorEastAsia"/>
        </w:rPr>
        <w:t>6</w:t>
      </w:r>
      <w:r>
        <w:rPr>
          <w:rFonts w:eastAsiaTheme="minorEastAsia"/>
        </w:rPr>
        <w:fldChar w:fldCharType="end"/>
      </w:r>
      <w:r>
        <w:rPr>
          <w:rFonts w:hint="eastAsia" w:eastAsiaTheme="minorEastAsia"/>
        </w:rPr>
        <w:t>。</w:t>
      </w:r>
    </w:p>
    <w:p>
      <w:pPr>
        <w:pStyle w:val="18"/>
      </w:pPr>
      <w:bookmarkStart w:id="75" w:name="_Ref515561237"/>
      <w:r>
        <w:rPr>
          <w:rFonts w:hint="eastAsia"/>
        </w:rPr>
        <w:t>表</w:t>
      </w:r>
      <w:r>
        <w:t xml:space="preserve"> </w:t>
      </w:r>
      <w:r>
        <w:fldChar w:fldCharType="begin"/>
      </w:r>
      <w:r>
        <w:instrText xml:space="preserve"> STYLEREF 2 \s </w:instrText>
      </w:r>
      <w:r>
        <w:fldChar w:fldCharType="separate"/>
      </w:r>
      <w:r>
        <w:t>1.2</w:t>
      </w:r>
      <w:r>
        <w:fldChar w:fldCharType="end"/>
      </w:r>
      <w:r>
        <w:noBreakHyphen/>
      </w:r>
      <w:r>
        <w:fldChar w:fldCharType="begin"/>
      </w:r>
      <w:r>
        <w:instrText xml:space="preserve"> SEQ 表 \* ARABIC \s 2 </w:instrText>
      </w:r>
      <w:r>
        <w:fldChar w:fldCharType="separate"/>
      </w:r>
      <w:r>
        <w:t>3</w:t>
      </w:r>
      <w:r>
        <w:fldChar w:fldCharType="end"/>
      </w:r>
      <w:bookmarkEnd w:id="75"/>
      <w:r>
        <w:rPr>
          <w:rFonts w:hint="eastAsia"/>
        </w:rPr>
        <w:t>本项目所在区域生态功能属性</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6"/>
        <w:gridCol w:w="1105"/>
        <w:gridCol w:w="1522"/>
        <w:gridCol w:w="1107"/>
        <w:gridCol w:w="2395"/>
        <w:gridCol w:w="1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3703" w:type="dxa"/>
            <w:gridSpan w:val="3"/>
            <w:shd w:val="clear" w:color="auto" w:fill="D8D8D8" w:themeFill="background1" w:themeFillShade="D9"/>
            <w:vAlign w:val="center"/>
          </w:tcPr>
          <w:p>
            <w:pPr>
              <w:spacing w:line="240" w:lineRule="auto"/>
              <w:ind w:firstLine="0" w:firstLineChars="0"/>
              <w:jc w:val="center"/>
              <w:rPr>
                <w:rFonts w:eastAsiaTheme="minorEastAsia"/>
                <w:b/>
                <w:bCs/>
                <w:color w:val="000000"/>
                <w:sz w:val="21"/>
                <w:szCs w:val="21"/>
              </w:rPr>
            </w:pPr>
            <w:r>
              <w:rPr>
                <w:rFonts w:hint="eastAsia" w:eastAsiaTheme="minorEastAsia"/>
                <w:b/>
                <w:bCs/>
                <w:color w:val="000000"/>
                <w:sz w:val="21"/>
                <w:szCs w:val="21"/>
              </w:rPr>
              <w:t>所属生态功能区</w:t>
            </w:r>
          </w:p>
        </w:tc>
        <w:tc>
          <w:tcPr>
            <w:tcW w:w="1107" w:type="dxa"/>
            <w:vMerge w:val="restart"/>
            <w:shd w:val="clear" w:color="auto" w:fill="D8D8D8" w:themeFill="background1" w:themeFillShade="D9"/>
            <w:vAlign w:val="center"/>
          </w:tcPr>
          <w:p>
            <w:pPr>
              <w:spacing w:line="240" w:lineRule="auto"/>
              <w:ind w:firstLine="0" w:firstLineChars="0"/>
              <w:jc w:val="center"/>
              <w:rPr>
                <w:rFonts w:eastAsiaTheme="minorEastAsia"/>
                <w:b/>
                <w:bCs/>
                <w:color w:val="000000"/>
                <w:sz w:val="21"/>
                <w:szCs w:val="21"/>
              </w:rPr>
            </w:pPr>
            <w:r>
              <w:rPr>
                <w:rFonts w:hint="eastAsia" w:eastAsiaTheme="minorEastAsia"/>
                <w:b/>
                <w:bCs/>
                <w:color w:val="000000"/>
                <w:sz w:val="21"/>
                <w:szCs w:val="21"/>
              </w:rPr>
              <w:t>生态分级控制划定</w:t>
            </w:r>
          </w:p>
        </w:tc>
        <w:tc>
          <w:tcPr>
            <w:tcW w:w="2395" w:type="dxa"/>
            <w:vMerge w:val="restart"/>
            <w:shd w:val="clear" w:color="auto" w:fill="D8D8D8" w:themeFill="background1" w:themeFillShade="D9"/>
            <w:vAlign w:val="center"/>
          </w:tcPr>
          <w:p>
            <w:pPr>
              <w:spacing w:line="240" w:lineRule="auto"/>
              <w:ind w:firstLine="0" w:firstLineChars="0"/>
              <w:jc w:val="center"/>
              <w:rPr>
                <w:rFonts w:eastAsiaTheme="minorEastAsia"/>
                <w:b/>
                <w:bCs/>
                <w:color w:val="000000"/>
                <w:sz w:val="21"/>
                <w:szCs w:val="21"/>
              </w:rPr>
            </w:pPr>
            <w:r>
              <w:rPr>
                <w:rFonts w:hint="eastAsia" w:eastAsiaTheme="minorEastAsia"/>
                <w:b/>
                <w:bCs/>
                <w:color w:val="000000"/>
                <w:sz w:val="21"/>
                <w:szCs w:val="21"/>
              </w:rPr>
              <w:t>功能定位</w:t>
            </w:r>
          </w:p>
        </w:tc>
        <w:tc>
          <w:tcPr>
            <w:tcW w:w="1855" w:type="dxa"/>
            <w:vMerge w:val="restart"/>
            <w:shd w:val="clear" w:color="auto" w:fill="D8D8D8" w:themeFill="background1" w:themeFillShade="D9"/>
            <w:vAlign w:val="center"/>
          </w:tcPr>
          <w:p>
            <w:pPr>
              <w:spacing w:line="240" w:lineRule="auto"/>
              <w:ind w:firstLine="0" w:firstLineChars="0"/>
              <w:jc w:val="center"/>
              <w:rPr>
                <w:rFonts w:cs="Times New Roman" w:eastAsiaTheme="minorEastAsia"/>
                <w:sz w:val="20"/>
                <w:szCs w:val="20"/>
              </w:rPr>
            </w:pPr>
            <w:r>
              <w:rPr>
                <w:rFonts w:hint="eastAsia" w:eastAsiaTheme="minorEastAsia"/>
                <w:b/>
                <w:bCs/>
                <w:color w:val="000000"/>
                <w:sz w:val="21"/>
                <w:szCs w:val="21"/>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trPr>
        <w:tc>
          <w:tcPr>
            <w:tcW w:w="1076" w:type="dxa"/>
            <w:shd w:val="clear" w:color="auto" w:fill="D8D8D8" w:themeFill="background1" w:themeFillShade="D9"/>
            <w:vAlign w:val="center"/>
          </w:tcPr>
          <w:p>
            <w:pPr>
              <w:spacing w:line="240" w:lineRule="auto"/>
              <w:ind w:firstLine="0" w:firstLineChars="0"/>
              <w:jc w:val="center"/>
              <w:rPr>
                <w:rFonts w:eastAsiaTheme="minorEastAsia"/>
                <w:b/>
                <w:bCs/>
                <w:color w:val="000000"/>
              </w:rPr>
            </w:pPr>
            <w:r>
              <w:rPr>
                <w:rFonts w:hint="eastAsia" w:eastAsiaTheme="minorEastAsia"/>
                <w:b/>
                <w:bCs/>
                <w:color w:val="000000"/>
              </w:rPr>
              <w:t>一级区</w:t>
            </w:r>
          </w:p>
        </w:tc>
        <w:tc>
          <w:tcPr>
            <w:tcW w:w="1105" w:type="dxa"/>
            <w:shd w:val="clear" w:color="auto" w:fill="D8D8D8" w:themeFill="background1" w:themeFillShade="D9"/>
            <w:vAlign w:val="center"/>
          </w:tcPr>
          <w:p>
            <w:pPr>
              <w:spacing w:line="240" w:lineRule="auto"/>
              <w:ind w:firstLine="0" w:firstLineChars="0"/>
              <w:jc w:val="center"/>
              <w:rPr>
                <w:rFonts w:eastAsiaTheme="minorEastAsia"/>
                <w:b/>
                <w:bCs/>
                <w:color w:val="000000"/>
                <w:sz w:val="21"/>
                <w:szCs w:val="21"/>
              </w:rPr>
            </w:pPr>
            <w:r>
              <w:rPr>
                <w:rFonts w:hint="eastAsia" w:eastAsiaTheme="minorEastAsia"/>
                <w:b/>
                <w:bCs/>
                <w:color w:val="000000"/>
                <w:sz w:val="21"/>
                <w:szCs w:val="21"/>
              </w:rPr>
              <w:t>二级区</w:t>
            </w:r>
          </w:p>
        </w:tc>
        <w:tc>
          <w:tcPr>
            <w:tcW w:w="1522" w:type="dxa"/>
            <w:shd w:val="clear" w:color="auto" w:fill="D8D8D8" w:themeFill="background1" w:themeFillShade="D9"/>
            <w:vAlign w:val="center"/>
          </w:tcPr>
          <w:p>
            <w:pPr>
              <w:spacing w:line="240" w:lineRule="auto"/>
              <w:ind w:firstLine="0" w:firstLineChars="0"/>
              <w:jc w:val="center"/>
              <w:rPr>
                <w:rFonts w:eastAsiaTheme="minorEastAsia"/>
                <w:b/>
                <w:bCs/>
                <w:color w:val="000000"/>
                <w:sz w:val="21"/>
                <w:szCs w:val="21"/>
              </w:rPr>
            </w:pPr>
            <w:r>
              <w:rPr>
                <w:rFonts w:hint="eastAsia" w:eastAsiaTheme="minorEastAsia"/>
                <w:b/>
                <w:bCs/>
                <w:color w:val="000000"/>
                <w:sz w:val="21"/>
                <w:szCs w:val="21"/>
              </w:rPr>
              <w:t>三级区</w:t>
            </w:r>
          </w:p>
        </w:tc>
        <w:tc>
          <w:tcPr>
            <w:tcW w:w="1107" w:type="dxa"/>
            <w:vMerge w:val="continue"/>
            <w:shd w:val="clear" w:color="auto" w:fill="D8D8D8" w:themeFill="background1" w:themeFillShade="D9"/>
            <w:vAlign w:val="center"/>
          </w:tcPr>
          <w:p>
            <w:pPr>
              <w:spacing w:line="240" w:lineRule="auto"/>
              <w:ind w:firstLine="0" w:firstLineChars="0"/>
              <w:jc w:val="center"/>
              <w:rPr>
                <w:rFonts w:eastAsiaTheme="minorEastAsia"/>
                <w:b/>
                <w:bCs/>
                <w:color w:val="000000"/>
                <w:sz w:val="21"/>
                <w:szCs w:val="21"/>
              </w:rPr>
            </w:pPr>
          </w:p>
        </w:tc>
        <w:tc>
          <w:tcPr>
            <w:tcW w:w="2395" w:type="dxa"/>
            <w:vMerge w:val="continue"/>
            <w:shd w:val="clear" w:color="auto" w:fill="D8D8D8" w:themeFill="background1" w:themeFillShade="D9"/>
            <w:vAlign w:val="center"/>
          </w:tcPr>
          <w:p>
            <w:pPr>
              <w:spacing w:line="240" w:lineRule="auto"/>
              <w:ind w:firstLine="0" w:firstLineChars="0"/>
              <w:jc w:val="center"/>
              <w:rPr>
                <w:rFonts w:cs="Times New Roman" w:eastAsiaTheme="minorEastAsia"/>
                <w:sz w:val="20"/>
                <w:szCs w:val="20"/>
              </w:rPr>
            </w:pPr>
          </w:p>
        </w:tc>
        <w:tc>
          <w:tcPr>
            <w:tcW w:w="1855" w:type="dxa"/>
            <w:vMerge w:val="continue"/>
            <w:shd w:val="clear" w:color="auto" w:fill="D8D8D8" w:themeFill="background1" w:themeFillShade="D9"/>
            <w:vAlign w:val="center"/>
          </w:tcPr>
          <w:p>
            <w:pPr>
              <w:spacing w:line="240" w:lineRule="auto"/>
              <w:ind w:firstLine="0" w:firstLineChars="0"/>
              <w:jc w:val="center"/>
              <w:rPr>
                <w:rFonts w:cs="Times New Roman" w:eastAsia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76" w:type="dxa"/>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Ⅱ中部平原河谷生态区</w:t>
            </w:r>
          </w:p>
        </w:tc>
        <w:tc>
          <w:tcPr>
            <w:tcW w:w="1105" w:type="dxa"/>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Ⅱ</w:t>
            </w:r>
            <w:r>
              <w:rPr>
                <w:rFonts w:cs="Arial" w:eastAsiaTheme="minorEastAsia"/>
                <w:color w:val="000000"/>
                <w:sz w:val="21"/>
                <w:szCs w:val="21"/>
              </w:rPr>
              <w:t xml:space="preserve">2 </w:t>
            </w:r>
            <w:r>
              <w:rPr>
                <w:rFonts w:hint="eastAsia" w:eastAsiaTheme="minorEastAsia"/>
                <w:color w:val="000000"/>
                <w:sz w:val="21"/>
                <w:szCs w:val="21"/>
              </w:rPr>
              <w:t>西部丘陵与农业生态区</w:t>
            </w:r>
          </w:p>
        </w:tc>
        <w:tc>
          <w:tcPr>
            <w:tcW w:w="1522" w:type="dxa"/>
            <w:shd w:val="clear" w:color="auto" w:fill="auto"/>
            <w:vAlign w:val="center"/>
          </w:tcPr>
          <w:p>
            <w:pPr>
              <w:spacing w:line="240" w:lineRule="auto"/>
              <w:ind w:firstLine="0" w:firstLineChars="0"/>
              <w:jc w:val="center"/>
              <w:rPr>
                <w:rFonts w:cs="Arial" w:eastAsiaTheme="minorEastAsia"/>
                <w:color w:val="000000"/>
                <w:sz w:val="21"/>
                <w:szCs w:val="21"/>
              </w:rPr>
            </w:pPr>
            <w:r>
              <w:rPr>
                <w:rFonts w:cs="Arial" w:eastAsiaTheme="minorEastAsia"/>
                <w:color w:val="000000"/>
                <w:sz w:val="21"/>
                <w:szCs w:val="21"/>
              </w:rPr>
              <w:t xml:space="preserve">II 2-1 </w:t>
            </w:r>
            <w:r>
              <w:rPr>
                <w:rFonts w:hint="eastAsia" w:cs="Arial" w:eastAsiaTheme="minorEastAsia"/>
                <w:color w:val="000000"/>
                <w:sz w:val="21"/>
                <w:szCs w:val="21"/>
              </w:rPr>
              <w:t>恩</w:t>
            </w:r>
            <w:r>
              <w:rPr>
                <w:rFonts w:cs="Arial" w:eastAsiaTheme="minorEastAsia"/>
                <w:color w:val="000000"/>
                <w:sz w:val="21"/>
                <w:szCs w:val="21"/>
              </w:rPr>
              <w:t>-</w:t>
            </w:r>
            <w:r>
              <w:rPr>
                <w:rFonts w:hint="eastAsia" w:cs="Arial" w:eastAsiaTheme="minorEastAsia"/>
                <w:color w:val="000000"/>
                <w:sz w:val="21"/>
                <w:szCs w:val="21"/>
              </w:rPr>
              <w:t>开潭江河谷城镇与农业发展区</w:t>
            </w:r>
          </w:p>
        </w:tc>
        <w:tc>
          <w:tcPr>
            <w:tcW w:w="1107" w:type="dxa"/>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引导性开发建设区</w:t>
            </w:r>
          </w:p>
        </w:tc>
        <w:tc>
          <w:tcPr>
            <w:tcW w:w="2395" w:type="dxa"/>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为人类提供生活资源与生产生活空间，在区域生态保护中的总体要求是提高资源利用效率</w:t>
            </w:r>
          </w:p>
        </w:tc>
        <w:tc>
          <w:tcPr>
            <w:tcW w:w="1855" w:type="dxa"/>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《江门市环境保护规划纲要》</w:t>
            </w:r>
            <w:r>
              <w:rPr>
                <w:rFonts w:cs="Arial" w:eastAsiaTheme="minorEastAsia"/>
                <w:color w:val="000000"/>
                <w:sz w:val="21"/>
                <w:szCs w:val="21"/>
              </w:rPr>
              <w:t>(2006</w:t>
            </w:r>
            <w:r>
              <w:rPr>
                <w:rFonts w:hint="eastAsia" w:eastAsiaTheme="minorEastAsia"/>
                <w:color w:val="000000"/>
                <w:sz w:val="21"/>
                <w:szCs w:val="21"/>
              </w:rPr>
              <w:t>～</w:t>
            </w:r>
            <w:r>
              <w:rPr>
                <w:rFonts w:cs="Arial" w:eastAsiaTheme="minorEastAsia"/>
                <w:color w:val="000000"/>
                <w:sz w:val="21"/>
                <w:szCs w:val="21"/>
              </w:rPr>
              <w:t>2020</w:t>
            </w:r>
            <w:r>
              <w:rPr>
                <w:rFonts w:hint="eastAsia" w:eastAsiaTheme="minorEastAsia"/>
                <w:color w:val="000000"/>
                <w:sz w:val="21"/>
                <w:szCs w:val="21"/>
              </w:rPr>
              <w:t>年</w:t>
            </w:r>
            <w:r>
              <w:rPr>
                <w:rFonts w:cs="Arial" w:eastAsiaTheme="minorEastAsia"/>
                <w:color w:val="000000"/>
                <w:sz w:val="21"/>
                <w:szCs w:val="21"/>
              </w:rPr>
              <w:t>)</w:t>
            </w:r>
          </w:p>
        </w:tc>
      </w:tr>
    </w:tbl>
    <w:p>
      <w:pPr>
        <w:pStyle w:val="5"/>
      </w:pPr>
      <w:r>
        <w:rPr>
          <w:rFonts w:hint="eastAsia"/>
        </w:rPr>
        <w:t>所在区域</w:t>
      </w:r>
      <w:r>
        <w:t>环境功能属性</w:t>
      </w:r>
      <w:r>
        <w:rPr>
          <w:rFonts w:hint="eastAsia"/>
        </w:rPr>
        <w:t>一览表</w:t>
      </w:r>
    </w:p>
    <w:p>
      <w:pPr>
        <w:ind w:firstLine="360" w:firstLineChars="150"/>
        <w:rPr>
          <w:rFonts w:cs="Times New Roman" w:eastAsiaTheme="minorEastAsia"/>
        </w:rPr>
      </w:pPr>
      <w:r>
        <w:rPr>
          <w:rFonts w:hint="eastAsia" w:cs="Times New Roman" w:eastAsiaTheme="minorEastAsia"/>
        </w:rPr>
        <w:t>根据开平市相关环境功能区划分，</w:t>
      </w:r>
      <w:r>
        <w:rPr>
          <w:rFonts w:cs="Times New Roman" w:eastAsiaTheme="minorEastAsia"/>
        </w:rPr>
        <w:t>项目所在地的环境功能属性区划情况</w:t>
      </w:r>
      <w:r>
        <w:rPr>
          <w:rFonts w:hint="eastAsia" w:cs="Times New Roman" w:eastAsiaTheme="minorEastAsia"/>
        </w:rPr>
        <w:t>见</w:t>
      </w:r>
      <w:r>
        <w:rPr>
          <w:rFonts w:cs="Times New Roman" w:eastAsiaTheme="minorEastAsia"/>
        </w:rPr>
        <w:fldChar w:fldCharType="begin"/>
      </w:r>
      <w:r>
        <w:rPr>
          <w:rFonts w:cs="Times New Roman" w:eastAsiaTheme="minorEastAsia"/>
        </w:rPr>
        <w:instrText xml:space="preserve"> </w:instrText>
      </w:r>
      <w:r>
        <w:rPr>
          <w:rFonts w:hint="eastAsia" w:cs="Times New Roman" w:eastAsiaTheme="minorEastAsia"/>
        </w:rPr>
        <w:instrText xml:space="preserve">REF _Ref521962984 \h</w:instrText>
      </w:r>
      <w:r>
        <w:rPr>
          <w:rFonts w:cs="Times New Roman" w:eastAsiaTheme="minorEastAsia"/>
        </w:rPr>
        <w:instrText xml:space="preserve">  \* MERGEFORMAT </w:instrText>
      </w:r>
      <w:r>
        <w:rPr>
          <w:rFonts w:cs="Times New Roman" w:eastAsiaTheme="minorEastAsia"/>
        </w:rPr>
        <w:fldChar w:fldCharType="separate"/>
      </w:r>
      <w:r>
        <w:rPr>
          <w:rFonts w:hint="eastAsia" w:eastAsiaTheme="minorEastAsia"/>
        </w:rPr>
        <w:t xml:space="preserve">表 </w:t>
      </w:r>
      <w:r>
        <w:rPr>
          <w:rFonts w:eastAsiaTheme="minorEastAsia"/>
        </w:rPr>
        <w:t>1.2</w:t>
      </w:r>
      <w:r>
        <w:rPr>
          <w:rFonts w:eastAsiaTheme="minorEastAsia"/>
        </w:rPr>
        <w:noBreakHyphen/>
      </w:r>
      <w:r>
        <w:rPr>
          <w:rFonts w:eastAsiaTheme="minorEastAsia"/>
        </w:rPr>
        <w:t>4</w:t>
      </w:r>
      <w:r>
        <w:rPr>
          <w:rFonts w:cs="Times New Roman" w:eastAsiaTheme="minorEastAsia"/>
        </w:rPr>
        <w:fldChar w:fldCharType="end"/>
      </w:r>
      <w:r>
        <w:rPr>
          <w:rFonts w:cs="Times New Roman" w:eastAsiaTheme="minorEastAsia"/>
        </w:rPr>
        <w:t>。</w:t>
      </w:r>
    </w:p>
    <w:p>
      <w:pPr>
        <w:pStyle w:val="18"/>
      </w:pPr>
      <w:bookmarkStart w:id="76" w:name="_Ref521962984"/>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4</w:t>
      </w:r>
      <w:r>
        <w:fldChar w:fldCharType="end"/>
      </w:r>
      <w:bookmarkEnd w:id="76"/>
      <w:r>
        <w:t xml:space="preserve"> </w:t>
      </w:r>
      <w:r>
        <w:rPr>
          <w:rFonts w:hint="eastAsia"/>
        </w:rPr>
        <w:t>项目所在区域环境功能属性一览表</w:t>
      </w:r>
    </w:p>
    <w:tbl>
      <w:tblPr>
        <w:tblStyle w:val="56"/>
        <w:tblW w:w="9060"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57"/>
        <w:gridCol w:w="2905"/>
        <w:gridCol w:w="549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78" w:hRule="atLeast"/>
          <w:tblHeader/>
          <w:jc w:val="center"/>
        </w:trPr>
        <w:tc>
          <w:tcPr>
            <w:tcW w:w="657" w:type="dxa"/>
            <w:shd w:val="clear" w:color="auto" w:fill="D8D8D8" w:themeFill="background1" w:themeFillShade="D9"/>
            <w:vAlign w:val="center"/>
          </w:tcPr>
          <w:p>
            <w:pPr>
              <w:pStyle w:val="107"/>
              <w:rPr>
                <w:b/>
              </w:rPr>
            </w:pPr>
            <w:r>
              <w:rPr>
                <w:b/>
              </w:rPr>
              <w:t>序号</w:t>
            </w:r>
          </w:p>
        </w:tc>
        <w:tc>
          <w:tcPr>
            <w:tcW w:w="2905" w:type="dxa"/>
            <w:shd w:val="clear" w:color="auto" w:fill="D8D8D8" w:themeFill="background1" w:themeFillShade="D9"/>
            <w:vAlign w:val="center"/>
          </w:tcPr>
          <w:p>
            <w:pPr>
              <w:pStyle w:val="107"/>
              <w:rPr>
                <w:b/>
              </w:rPr>
            </w:pPr>
            <w:r>
              <w:rPr>
                <w:b/>
              </w:rPr>
              <w:t>功能区类别</w:t>
            </w:r>
          </w:p>
        </w:tc>
        <w:tc>
          <w:tcPr>
            <w:tcW w:w="5498" w:type="dxa"/>
            <w:shd w:val="clear" w:color="auto" w:fill="D8D8D8" w:themeFill="background1" w:themeFillShade="D9"/>
            <w:vAlign w:val="center"/>
          </w:tcPr>
          <w:p>
            <w:pPr>
              <w:pStyle w:val="107"/>
              <w:rPr>
                <w:b/>
              </w:rPr>
            </w:pPr>
            <w:r>
              <w:rPr>
                <w:rFonts w:hint="eastAsia"/>
                <w:b/>
              </w:rPr>
              <w:t>项目所在区域属性及执行标准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pPr>
            <w:r>
              <w:t>1</w:t>
            </w:r>
          </w:p>
        </w:tc>
        <w:tc>
          <w:tcPr>
            <w:tcW w:w="2905" w:type="dxa"/>
            <w:vAlign w:val="center"/>
          </w:tcPr>
          <w:p>
            <w:pPr>
              <w:pStyle w:val="107"/>
            </w:pPr>
            <w:r>
              <w:rPr>
                <w:rFonts w:hint="eastAsia"/>
              </w:rPr>
              <w:t>地表水环境功能区</w:t>
            </w:r>
          </w:p>
        </w:tc>
        <w:tc>
          <w:tcPr>
            <w:tcW w:w="5498" w:type="dxa"/>
            <w:vAlign w:val="center"/>
          </w:tcPr>
          <w:p>
            <w:pPr>
              <w:pStyle w:val="107"/>
              <w:jc w:val="left"/>
              <w:rPr>
                <w:rFonts w:cs="Times New Roman"/>
              </w:rPr>
            </w:pPr>
            <w:r>
              <w:rPr>
                <w:rFonts w:hint="eastAsia" w:cs="Times New Roman"/>
              </w:rPr>
              <w:t>镇海水（直接纳污水体）执行《地表水环境质量标准》（GB 3838-2002）Ⅲ类标准；潭江（最终纳污水体）执行《地表水环境质量标准》（GB 3838-2002）II类标准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pPr>
            <w:r>
              <w:t>2</w:t>
            </w:r>
          </w:p>
        </w:tc>
        <w:tc>
          <w:tcPr>
            <w:tcW w:w="2905" w:type="dxa"/>
            <w:vAlign w:val="center"/>
          </w:tcPr>
          <w:p>
            <w:pPr>
              <w:pStyle w:val="107"/>
            </w:pPr>
            <w:r>
              <w:rPr>
                <w:rFonts w:hint="eastAsia"/>
              </w:rPr>
              <w:t>地下水环境功能区划</w:t>
            </w:r>
          </w:p>
        </w:tc>
        <w:tc>
          <w:tcPr>
            <w:tcW w:w="5498" w:type="dxa"/>
            <w:vAlign w:val="center"/>
          </w:tcPr>
          <w:p>
            <w:pPr>
              <w:pStyle w:val="107"/>
              <w:jc w:val="left"/>
            </w:pPr>
            <w:r>
              <w:rPr>
                <w:rFonts w:hint="eastAsia" w:cs="Times New Roman"/>
              </w:rPr>
              <w:t>属于珠江三角洲江门恩平开平地下水水源涵养区（H074407002T02）</w:t>
            </w:r>
            <w:r>
              <w:rPr>
                <w:rFonts w:cs="Times New Roman"/>
              </w:rPr>
              <w:t>，</w:t>
            </w:r>
            <w:r>
              <w:rPr>
                <w:rFonts w:hint="eastAsia" w:cs="Times New Roman"/>
              </w:rPr>
              <w:t>地下水功能区保护目标为III类水质标准，及维持较高的地下水水位</w:t>
            </w:r>
            <w:r>
              <w:rPr>
                <w:rFonts w:cs="Times New Roman"/>
              </w:rPr>
              <w:t>，执行</w:t>
            </w:r>
            <w:r>
              <w:rPr>
                <w:rFonts w:hint="eastAsia" w:cs="Times New Roman"/>
              </w:rPr>
              <w:t>《地下水质量标准》（</w:t>
            </w:r>
            <w:r>
              <w:rPr>
                <w:rFonts w:cs="Times New Roman"/>
              </w:rPr>
              <w:t>GB/T 14848-2017</w:t>
            </w:r>
            <w:r>
              <w:rPr>
                <w:rFonts w:hint="eastAsia" w:cs="Times New Roman"/>
              </w:rPr>
              <w:t>）</w:t>
            </w:r>
            <w:r>
              <w:t>III</w:t>
            </w:r>
            <w:r>
              <w:rPr>
                <w:rFonts w:cs="Times New Roman"/>
              </w:rPr>
              <w:t>类标准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pPr>
            <w:r>
              <w:t>3</w:t>
            </w:r>
          </w:p>
        </w:tc>
        <w:tc>
          <w:tcPr>
            <w:tcW w:w="2905" w:type="dxa"/>
            <w:vAlign w:val="center"/>
          </w:tcPr>
          <w:p>
            <w:pPr>
              <w:pStyle w:val="107"/>
            </w:pPr>
            <w:r>
              <w:rPr>
                <w:rFonts w:hint="eastAsia"/>
              </w:rPr>
              <w:t>大气环境功能区</w:t>
            </w:r>
          </w:p>
        </w:tc>
        <w:tc>
          <w:tcPr>
            <w:tcW w:w="5498" w:type="dxa"/>
            <w:vAlign w:val="center"/>
          </w:tcPr>
          <w:p>
            <w:pPr>
              <w:pStyle w:val="107"/>
              <w:jc w:val="left"/>
              <w:rPr>
                <w:rFonts w:cs="Times New Roman"/>
              </w:rPr>
            </w:pPr>
            <w:r>
              <w:rPr>
                <w:rFonts w:cs="Times New Roman"/>
              </w:rPr>
              <w:t>项目所在</w:t>
            </w:r>
            <w:r>
              <w:rPr>
                <w:rFonts w:hint="eastAsia" w:cs="Times New Roman"/>
              </w:rPr>
              <w:t>区域</w:t>
            </w:r>
            <w:r>
              <w:rPr>
                <w:rFonts w:cs="Times New Roman"/>
              </w:rPr>
              <w:t>为二类区，评价范围内涉及一类区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pPr>
            <w:r>
              <w:t>4</w:t>
            </w:r>
          </w:p>
        </w:tc>
        <w:tc>
          <w:tcPr>
            <w:tcW w:w="2905" w:type="dxa"/>
            <w:vAlign w:val="center"/>
          </w:tcPr>
          <w:p>
            <w:pPr>
              <w:pStyle w:val="107"/>
            </w:pPr>
            <w:r>
              <w:rPr>
                <w:rFonts w:hint="eastAsia"/>
              </w:rPr>
              <w:t>声环境功能区</w:t>
            </w:r>
          </w:p>
        </w:tc>
        <w:tc>
          <w:tcPr>
            <w:tcW w:w="5498" w:type="dxa"/>
            <w:vAlign w:val="center"/>
          </w:tcPr>
          <w:p>
            <w:pPr>
              <w:pStyle w:val="107"/>
              <w:jc w:val="left"/>
              <w:rPr>
                <w:rFonts w:cs="Times New Roman"/>
              </w:rPr>
            </w:pPr>
            <w:r>
              <w:rPr>
                <w:rFonts w:hint="eastAsia"/>
              </w:rPr>
              <w:t>2类区，执行《声环境质量标准》（GB 3096-2008）2类标准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pPr>
            <w:r>
              <w:t>5</w:t>
            </w:r>
          </w:p>
        </w:tc>
        <w:tc>
          <w:tcPr>
            <w:tcW w:w="2905" w:type="dxa"/>
            <w:vAlign w:val="center"/>
          </w:tcPr>
          <w:p>
            <w:pPr>
              <w:pStyle w:val="107"/>
            </w:pPr>
            <w:r>
              <w:rPr>
                <w:rFonts w:hint="eastAsia"/>
              </w:rPr>
              <w:t>生态功能区</w:t>
            </w:r>
          </w:p>
        </w:tc>
        <w:tc>
          <w:tcPr>
            <w:tcW w:w="5498" w:type="dxa"/>
            <w:vAlign w:val="center"/>
          </w:tcPr>
          <w:p>
            <w:pPr>
              <w:pStyle w:val="107"/>
              <w:jc w:val="left"/>
            </w:pPr>
            <w:r>
              <w:rPr>
                <w:rFonts w:hint="eastAsia"/>
              </w:rPr>
              <w:t>属于II 2-1 恩-开潭江河谷城镇与农业发展区，及江门市生态分级控制划定的引导性开发建设区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pPr>
            <w:r>
              <w:t>6</w:t>
            </w:r>
          </w:p>
        </w:tc>
        <w:tc>
          <w:tcPr>
            <w:tcW w:w="2905" w:type="dxa"/>
            <w:vAlign w:val="center"/>
          </w:tcPr>
          <w:p>
            <w:pPr>
              <w:pStyle w:val="107"/>
            </w:pPr>
            <w:r>
              <w:rPr>
                <w:rFonts w:hint="eastAsia"/>
              </w:rPr>
              <w:t>是否</w:t>
            </w:r>
            <w:r>
              <w:t>基本农田保护区</w:t>
            </w:r>
          </w:p>
        </w:tc>
        <w:tc>
          <w:tcPr>
            <w:tcW w:w="5498" w:type="dxa"/>
            <w:vAlign w:val="center"/>
          </w:tcPr>
          <w:p>
            <w:pPr>
              <w:pStyle w:val="107"/>
              <w:jc w:val="left"/>
            </w:pPr>
            <w:r>
              <w:t>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pPr>
            <w:r>
              <w:t>7</w:t>
            </w:r>
          </w:p>
        </w:tc>
        <w:tc>
          <w:tcPr>
            <w:tcW w:w="2905" w:type="dxa"/>
            <w:vAlign w:val="center"/>
          </w:tcPr>
          <w:p>
            <w:pPr>
              <w:pStyle w:val="107"/>
            </w:pPr>
            <w:r>
              <w:rPr>
                <w:rFonts w:hint="eastAsia"/>
              </w:rPr>
              <w:t>是否饮用水源保护区</w:t>
            </w:r>
          </w:p>
        </w:tc>
        <w:tc>
          <w:tcPr>
            <w:tcW w:w="5498" w:type="dxa"/>
            <w:vAlign w:val="center"/>
          </w:tcPr>
          <w:p>
            <w:pPr>
              <w:pStyle w:val="107"/>
              <w:jc w:val="left"/>
            </w:pPr>
            <w:r>
              <w:rPr>
                <w:rFonts w:hint="eastAsia"/>
              </w:rPr>
              <w:t>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pPr>
            <w:r>
              <w:t>8</w:t>
            </w:r>
          </w:p>
        </w:tc>
        <w:tc>
          <w:tcPr>
            <w:tcW w:w="2905" w:type="dxa"/>
            <w:vAlign w:val="center"/>
          </w:tcPr>
          <w:p>
            <w:pPr>
              <w:pStyle w:val="107"/>
            </w:pPr>
            <w:r>
              <w:rPr>
                <w:rFonts w:hint="eastAsia"/>
              </w:rPr>
              <w:t>是否自然保护区、风景名胜区</w:t>
            </w:r>
          </w:p>
        </w:tc>
        <w:tc>
          <w:tcPr>
            <w:tcW w:w="5498" w:type="dxa"/>
            <w:vAlign w:val="center"/>
          </w:tcPr>
          <w:p>
            <w:pPr>
              <w:pStyle w:val="107"/>
              <w:jc w:val="left"/>
            </w:pPr>
            <w:r>
              <w:rPr>
                <w:rFonts w:hint="eastAsia"/>
              </w:rPr>
              <w:t>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657" w:type="dxa"/>
            <w:vAlign w:val="center"/>
          </w:tcPr>
          <w:p>
            <w:pPr>
              <w:pStyle w:val="107"/>
            </w:pPr>
            <w:r>
              <w:rPr>
                <w:rFonts w:hint="eastAsia"/>
              </w:rPr>
              <w:t>9</w:t>
            </w:r>
          </w:p>
        </w:tc>
        <w:tc>
          <w:tcPr>
            <w:tcW w:w="2905" w:type="dxa"/>
            <w:vAlign w:val="center"/>
          </w:tcPr>
          <w:p>
            <w:pPr>
              <w:pStyle w:val="107"/>
            </w:pPr>
            <w:r>
              <w:rPr>
                <w:rFonts w:hint="eastAsia"/>
              </w:rPr>
              <w:t>是否三河、三湖、两控区</w:t>
            </w:r>
          </w:p>
        </w:tc>
        <w:tc>
          <w:tcPr>
            <w:tcW w:w="5498" w:type="dxa"/>
            <w:vAlign w:val="center"/>
          </w:tcPr>
          <w:p>
            <w:pPr>
              <w:pStyle w:val="107"/>
              <w:jc w:val="left"/>
            </w:pPr>
            <w:r>
              <w:t>是</w:t>
            </w:r>
            <w:r>
              <w:rPr>
                <w:rFonts w:hint="eastAsia"/>
              </w:rPr>
              <w:t>，两控区（酸雨控制区）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80" w:hRule="atLeast"/>
          <w:jc w:val="center"/>
        </w:trPr>
        <w:tc>
          <w:tcPr>
            <w:tcW w:w="657" w:type="dxa"/>
            <w:vAlign w:val="center"/>
          </w:tcPr>
          <w:p>
            <w:pPr>
              <w:pStyle w:val="107"/>
            </w:pPr>
            <w:r>
              <w:rPr>
                <w:rFonts w:hint="eastAsia"/>
              </w:rPr>
              <w:t>10</w:t>
            </w:r>
          </w:p>
        </w:tc>
        <w:tc>
          <w:tcPr>
            <w:tcW w:w="2905" w:type="dxa"/>
            <w:vAlign w:val="center"/>
          </w:tcPr>
          <w:p>
            <w:pPr>
              <w:pStyle w:val="107"/>
            </w:pPr>
            <w:r>
              <w:rPr>
                <w:rFonts w:hint="eastAsia"/>
              </w:rPr>
              <w:t>是否污水处理厂纳污范围</w:t>
            </w:r>
          </w:p>
        </w:tc>
        <w:tc>
          <w:tcPr>
            <w:tcW w:w="5498" w:type="dxa"/>
            <w:tcBorders>
              <w:bottom w:val="single" w:color="auto" w:sz="4" w:space="0"/>
            </w:tcBorders>
            <w:vAlign w:val="center"/>
          </w:tcPr>
          <w:p>
            <w:pPr>
              <w:pStyle w:val="107"/>
              <w:jc w:val="left"/>
            </w:pPr>
            <w:r>
              <w:rPr>
                <w:rFonts w:hint="eastAsia"/>
              </w:rPr>
              <w:t>是，开平市苍城污水处理厂</w:t>
            </w:r>
          </w:p>
        </w:tc>
      </w:tr>
    </w:tbl>
    <w:p>
      <w:pPr>
        <w:pStyle w:val="4"/>
      </w:pPr>
      <w:bookmarkStart w:id="77" w:name="_Toc10294"/>
      <w:bookmarkStart w:id="78" w:name="_Toc5874"/>
      <w:bookmarkStart w:id="79" w:name="_Toc139793435"/>
      <w:bookmarkStart w:id="80" w:name="_Toc262541355"/>
      <w:bookmarkStart w:id="81" w:name="_Toc304404191"/>
      <w:bookmarkStart w:id="82" w:name="_Toc213652131"/>
      <w:bookmarkStart w:id="83" w:name="_Toc329784180"/>
      <w:bookmarkStart w:id="84" w:name="_Toc331536085"/>
      <w:bookmarkStart w:id="85" w:name="_Toc310419832"/>
      <w:bookmarkStart w:id="86" w:name="_Toc299035536"/>
      <w:bookmarkStart w:id="87" w:name="_Toc258888626"/>
      <w:bookmarkStart w:id="88" w:name="_Toc3538773"/>
      <w:r>
        <w:rPr>
          <w:rFonts w:hint="eastAsia"/>
        </w:rPr>
        <w:t>环境影响识别与</w:t>
      </w:r>
      <w:r>
        <w:t>评价因子</w:t>
      </w:r>
      <w:bookmarkEnd w:id="77"/>
      <w:bookmarkEnd w:id="78"/>
      <w:bookmarkEnd w:id="79"/>
      <w:bookmarkEnd w:id="80"/>
      <w:bookmarkEnd w:id="81"/>
      <w:bookmarkEnd w:id="82"/>
      <w:bookmarkEnd w:id="83"/>
      <w:bookmarkEnd w:id="84"/>
      <w:bookmarkEnd w:id="85"/>
      <w:bookmarkEnd w:id="86"/>
      <w:bookmarkEnd w:id="87"/>
      <w:r>
        <w:rPr>
          <w:rFonts w:hint="eastAsia"/>
        </w:rPr>
        <w:t>筛选</w:t>
      </w:r>
      <w:bookmarkEnd w:id="88"/>
    </w:p>
    <w:p>
      <w:pPr>
        <w:pStyle w:val="5"/>
      </w:pPr>
      <w:bookmarkStart w:id="89" w:name="_Toc331536086"/>
      <w:r>
        <w:rPr>
          <w:rFonts w:hint="eastAsia"/>
        </w:rPr>
        <w:t>环境影响因素识别</w:t>
      </w:r>
    </w:p>
    <w:p>
      <w:pPr>
        <w:ind w:firstLine="480"/>
        <w:rPr>
          <w:rFonts w:eastAsiaTheme="minorEastAsia"/>
        </w:rPr>
      </w:pPr>
      <w:r>
        <w:rPr>
          <w:rFonts w:hint="eastAsia" w:eastAsiaTheme="minorEastAsia"/>
        </w:rPr>
        <w:t>本评价根据项目的建设规模和性质及所在地的环境状况，通过采取现场考察和相似工程类比的方法，对项目可能产生的环境影响表征识别见</w:t>
      </w:r>
      <w:r>
        <w:rPr>
          <w:rFonts w:eastAsiaTheme="minorEastAsia"/>
        </w:rPr>
        <w:fldChar w:fldCharType="begin"/>
      </w:r>
      <w:r>
        <w:rPr>
          <w:rFonts w:eastAsiaTheme="minorEastAsia"/>
        </w:rPr>
        <w:instrText xml:space="preserve"> </w:instrText>
      </w:r>
      <w:r>
        <w:rPr>
          <w:rFonts w:hint="eastAsia" w:eastAsiaTheme="minorEastAsia"/>
        </w:rPr>
        <w:instrText xml:space="preserve">REF _Ref522982062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1.3</w:t>
      </w:r>
      <w:r>
        <w:rPr>
          <w:rFonts w:eastAsiaTheme="minorEastAsia"/>
        </w:rPr>
        <w:noBreakHyphen/>
      </w:r>
      <w:r>
        <w:rPr>
          <w:rFonts w:eastAsiaTheme="minorEastAsia"/>
        </w:rPr>
        <w:t>1</w:t>
      </w:r>
      <w:r>
        <w:rPr>
          <w:rFonts w:eastAsiaTheme="minorEastAsia"/>
        </w:rPr>
        <w:fldChar w:fldCharType="end"/>
      </w:r>
      <w:r>
        <w:rPr>
          <w:rFonts w:hint="eastAsia" w:eastAsiaTheme="minorEastAsia"/>
        </w:rPr>
        <w:t>，环境影响要素识别见</w:t>
      </w:r>
      <w:r>
        <w:rPr>
          <w:rFonts w:eastAsiaTheme="minorEastAsia"/>
        </w:rPr>
        <w:fldChar w:fldCharType="begin"/>
      </w:r>
      <w:r>
        <w:rPr>
          <w:rFonts w:eastAsiaTheme="minorEastAsia"/>
        </w:rPr>
        <w:instrText xml:space="preserve"> </w:instrText>
      </w:r>
      <w:r>
        <w:rPr>
          <w:rFonts w:hint="eastAsia" w:eastAsiaTheme="minorEastAsia"/>
        </w:rPr>
        <w:instrText xml:space="preserve">REF _Ref522649574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1.3</w:t>
      </w:r>
      <w:r>
        <w:rPr>
          <w:rFonts w:eastAsiaTheme="minorEastAsia"/>
        </w:rPr>
        <w:noBreakHyphen/>
      </w:r>
      <w:r>
        <w:rPr>
          <w:rFonts w:eastAsiaTheme="minorEastAsia"/>
        </w:rPr>
        <w:t>2</w:t>
      </w:r>
      <w:r>
        <w:rPr>
          <w:rFonts w:eastAsiaTheme="minorEastAsia"/>
        </w:rPr>
        <w:fldChar w:fldCharType="end"/>
      </w:r>
      <w:r>
        <w:rPr>
          <w:rFonts w:hint="eastAsia" w:eastAsiaTheme="minorEastAsia"/>
        </w:rPr>
        <w:t>。项目车间已建成，因此不存在建设施工期污染。</w:t>
      </w:r>
    </w:p>
    <w:p>
      <w:pPr>
        <w:pStyle w:val="18"/>
      </w:pPr>
      <w:bookmarkStart w:id="90" w:name="_Ref522982062"/>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bookmarkEnd w:id="90"/>
      <w:r>
        <w:rPr>
          <w:rFonts w:hint="eastAsia"/>
        </w:rPr>
        <w:t>本项目环境影响表征识别表</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8"/>
        <w:gridCol w:w="2205"/>
        <w:gridCol w:w="61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718" w:type="dxa"/>
            <w:shd w:val="clear" w:color="auto" w:fill="D8D8D8" w:themeFill="background1" w:themeFillShade="D9"/>
            <w:vAlign w:val="center"/>
          </w:tcPr>
          <w:p>
            <w:pPr>
              <w:pStyle w:val="107"/>
              <w:rPr>
                <w:b/>
              </w:rPr>
            </w:pPr>
            <w:r>
              <w:rPr>
                <w:b/>
              </w:rPr>
              <w:t>时段</w:t>
            </w:r>
          </w:p>
        </w:tc>
        <w:tc>
          <w:tcPr>
            <w:tcW w:w="2205" w:type="dxa"/>
            <w:shd w:val="clear" w:color="auto" w:fill="D8D8D8" w:themeFill="background1" w:themeFillShade="D9"/>
            <w:vAlign w:val="center"/>
          </w:tcPr>
          <w:p>
            <w:pPr>
              <w:pStyle w:val="107"/>
              <w:rPr>
                <w:b/>
              </w:rPr>
            </w:pPr>
            <w:r>
              <w:rPr>
                <w:b/>
              </w:rPr>
              <w:t>工程内容</w:t>
            </w:r>
          </w:p>
        </w:tc>
        <w:tc>
          <w:tcPr>
            <w:tcW w:w="6137" w:type="dxa"/>
            <w:shd w:val="clear" w:color="auto" w:fill="D8D8D8" w:themeFill="background1" w:themeFillShade="D9"/>
            <w:vAlign w:val="center"/>
          </w:tcPr>
          <w:p>
            <w:pPr>
              <w:pStyle w:val="107"/>
              <w:rPr>
                <w:b/>
              </w:rPr>
            </w:pPr>
            <w:r>
              <w:rPr>
                <w:rFonts w:hint="eastAsia"/>
                <w:b/>
              </w:rPr>
              <w:t>潜在</w:t>
            </w:r>
            <w:r>
              <w:rPr>
                <w:b/>
              </w:rPr>
              <w:t>环境影响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8" w:type="dxa"/>
            <w:vMerge w:val="restart"/>
            <w:vAlign w:val="center"/>
          </w:tcPr>
          <w:p>
            <w:pPr>
              <w:pStyle w:val="107"/>
            </w:pPr>
            <w:r>
              <w:rPr>
                <w:rFonts w:hint="eastAsia"/>
              </w:rPr>
              <w:t>生产运行阶段</w:t>
            </w:r>
          </w:p>
        </w:tc>
        <w:tc>
          <w:tcPr>
            <w:tcW w:w="2205" w:type="dxa"/>
            <w:vAlign w:val="center"/>
          </w:tcPr>
          <w:p>
            <w:pPr>
              <w:pStyle w:val="107"/>
            </w:pPr>
            <w:r>
              <w:rPr>
                <w:rFonts w:hint="eastAsia"/>
              </w:rPr>
              <w:t>工艺废气</w:t>
            </w:r>
          </w:p>
        </w:tc>
        <w:tc>
          <w:tcPr>
            <w:tcW w:w="6137" w:type="dxa"/>
            <w:vAlign w:val="center"/>
          </w:tcPr>
          <w:p>
            <w:pPr>
              <w:pStyle w:val="107"/>
            </w:pPr>
            <w:r>
              <w:rPr>
                <w:rFonts w:hint="eastAsia"/>
              </w:rPr>
              <w:t>影响周边大气环境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8" w:type="dxa"/>
            <w:vMerge w:val="continue"/>
            <w:vAlign w:val="center"/>
          </w:tcPr>
          <w:p>
            <w:pPr>
              <w:pStyle w:val="107"/>
            </w:pPr>
          </w:p>
        </w:tc>
        <w:tc>
          <w:tcPr>
            <w:tcW w:w="2205" w:type="dxa"/>
            <w:vAlign w:val="center"/>
          </w:tcPr>
          <w:p>
            <w:pPr>
              <w:pStyle w:val="107"/>
            </w:pPr>
            <w:r>
              <w:rPr>
                <w:rFonts w:hint="eastAsia"/>
              </w:rPr>
              <w:t>生产废水</w:t>
            </w:r>
          </w:p>
        </w:tc>
        <w:tc>
          <w:tcPr>
            <w:tcW w:w="6137" w:type="dxa"/>
            <w:vAlign w:val="center"/>
          </w:tcPr>
          <w:p>
            <w:pPr>
              <w:pStyle w:val="107"/>
            </w:pPr>
            <w:r>
              <w:rPr>
                <w:rFonts w:hint="eastAsia"/>
              </w:rPr>
              <w:t>项目不产生生产废水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8" w:type="dxa"/>
            <w:vMerge w:val="continue"/>
            <w:vAlign w:val="center"/>
          </w:tcPr>
          <w:p>
            <w:pPr>
              <w:pStyle w:val="107"/>
            </w:pPr>
          </w:p>
        </w:tc>
        <w:tc>
          <w:tcPr>
            <w:tcW w:w="2205" w:type="dxa"/>
            <w:vAlign w:val="center"/>
          </w:tcPr>
          <w:p>
            <w:pPr>
              <w:pStyle w:val="107"/>
            </w:pPr>
            <w:r>
              <w:rPr>
                <w:rFonts w:hint="eastAsia"/>
              </w:rPr>
              <w:t>生活污水</w:t>
            </w:r>
          </w:p>
        </w:tc>
        <w:tc>
          <w:tcPr>
            <w:tcW w:w="6137" w:type="dxa"/>
            <w:vAlign w:val="center"/>
          </w:tcPr>
          <w:p>
            <w:pPr>
              <w:pStyle w:val="107"/>
            </w:pPr>
            <w:r>
              <w:rPr>
                <w:rFonts w:hint="eastAsia"/>
              </w:rPr>
              <w:t>影响纳污水体水质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8" w:type="dxa"/>
            <w:vMerge w:val="continue"/>
            <w:vAlign w:val="center"/>
          </w:tcPr>
          <w:p>
            <w:pPr>
              <w:pStyle w:val="107"/>
            </w:pPr>
          </w:p>
        </w:tc>
        <w:tc>
          <w:tcPr>
            <w:tcW w:w="2205" w:type="dxa"/>
            <w:vAlign w:val="center"/>
          </w:tcPr>
          <w:p>
            <w:pPr>
              <w:pStyle w:val="107"/>
            </w:pPr>
            <w:r>
              <w:rPr>
                <w:rFonts w:hint="eastAsia"/>
              </w:rPr>
              <w:t>设备运转噪声</w:t>
            </w:r>
          </w:p>
        </w:tc>
        <w:tc>
          <w:tcPr>
            <w:tcW w:w="6137" w:type="dxa"/>
            <w:vAlign w:val="center"/>
          </w:tcPr>
          <w:p>
            <w:pPr>
              <w:pStyle w:val="107"/>
            </w:pPr>
            <w:r>
              <w:rPr>
                <w:rFonts w:hint="eastAsia"/>
              </w:rPr>
              <w:t>噪音干扰，影响健康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8" w:type="dxa"/>
            <w:vMerge w:val="continue"/>
            <w:vAlign w:val="center"/>
          </w:tcPr>
          <w:p>
            <w:pPr>
              <w:pStyle w:val="107"/>
            </w:pPr>
          </w:p>
        </w:tc>
        <w:tc>
          <w:tcPr>
            <w:tcW w:w="2205" w:type="dxa"/>
            <w:vAlign w:val="center"/>
          </w:tcPr>
          <w:p>
            <w:pPr>
              <w:pStyle w:val="107"/>
            </w:pPr>
            <w:r>
              <w:rPr>
                <w:rFonts w:hint="eastAsia"/>
              </w:rPr>
              <w:t>固体废物</w:t>
            </w:r>
          </w:p>
        </w:tc>
        <w:tc>
          <w:tcPr>
            <w:tcW w:w="6137" w:type="dxa"/>
            <w:vAlign w:val="center"/>
          </w:tcPr>
          <w:p>
            <w:pPr>
              <w:pStyle w:val="107"/>
            </w:pPr>
            <w:r>
              <w:rPr>
                <w:rFonts w:hint="eastAsia"/>
              </w:rPr>
              <w:t>影响水、土壤、生态环境</w:t>
            </w:r>
          </w:p>
        </w:tc>
      </w:tr>
    </w:tbl>
    <w:p>
      <w:pPr>
        <w:pStyle w:val="18"/>
      </w:pPr>
      <w:bookmarkStart w:id="91" w:name="_Ref522649574"/>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bookmarkEnd w:id="91"/>
      <w:r>
        <w:rPr>
          <w:rFonts w:hint="eastAsia"/>
        </w:rPr>
        <w:t>环境影响矩阵筛选表</w:t>
      </w:r>
    </w:p>
    <w:tbl>
      <w:tblPr>
        <w:tblStyle w:val="56"/>
        <w:tblW w:w="892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2"/>
        <w:gridCol w:w="2490"/>
        <w:gridCol w:w="1023"/>
        <w:gridCol w:w="1203"/>
        <w:gridCol w:w="1203"/>
        <w:gridCol w:w="1203"/>
        <w:gridCol w:w="1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jc w:val="center"/>
        </w:trPr>
        <w:tc>
          <w:tcPr>
            <w:tcW w:w="3092" w:type="dxa"/>
            <w:gridSpan w:val="2"/>
            <w:vMerge w:val="restart"/>
            <w:tcBorders>
              <w:top w:val="single" w:color="auto" w:sz="4" w:space="0"/>
              <w:left w:val="single" w:color="auto" w:sz="4" w:space="0"/>
              <w:right w:val="single" w:color="auto" w:sz="4" w:space="0"/>
              <w:tl2br w:val="single" w:color="auto" w:sz="4" w:space="0"/>
            </w:tcBorders>
            <w:shd w:val="clear" w:color="auto" w:fill="D8D8D8" w:themeFill="background1" w:themeFillShade="D9"/>
            <w:vAlign w:val="center"/>
          </w:tcPr>
          <w:p>
            <w:pPr>
              <w:pStyle w:val="107"/>
              <w:tabs>
                <w:tab w:val="center" w:pos="1641"/>
              </w:tabs>
              <w:jc w:val="right"/>
              <w:rPr>
                <w:b/>
              </w:rPr>
            </w:pPr>
            <w:r>
              <w:rPr>
                <w:rFonts w:hint="eastAsia"/>
                <w:b/>
              </w:rPr>
              <w:t>环境要素</w:t>
            </w:r>
          </w:p>
          <w:p>
            <w:pPr>
              <w:pStyle w:val="107"/>
              <w:tabs>
                <w:tab w:val="center" w:pos="1641"/>
              </w:tabs>
              <w:jc w:val="left"/>
              <w:rPr>
                <w:b/>
              </w:rPr>
            </w:pPr>
            <w:r>
              <w:rPr>
                <w:rFonts w:hint="eastAsia"/>
                <w:b/>
              </w:rPr>
              <w:t>项目阶段</w:t>
            </w:r>
          </w:p>
        </w:tc>
        <w:tc>
          <w:tcPr>
            <w:tcW w:w="4632" w:type="dxa"/>
            <w:gridSpan w:val="4"/>
            <w:tcBorders>
              <w:top w:val="single" w:color="auto" w:sz="4" w:space="0"/>
              <w:left w:val="single" w:color="auto" w:sz="4" w:space="0"/>
              <w:bottom w:val="single" w:color="auto" w:sz="4" w:space="0"/>
              <w:right w:val="single" w:color="auto" w:sz="4" w:space="0"/>
            </w:tcBorders>
            <w:shd w:val="clear" w:color="auto" w:fill="D8D8D8" w:themeFill="background1" w:themeFillShade="D9"/>
          </w:tcPr>
          <w:p>
            <w:pPr>
              <w:pStyle w:val="107"/>
              <w:rPr>
                <w:b/>
              </w:rPr>
            </w:pPr>
            <w:r>
              <w:rPr>
                <w:rFonts w:hint="eastAsia"/>
                <w:b/>
              </w:rPr>
              <w:t>自然环境</w:t>
            </w:r>
          </w:p>
        </w:tc>
        <w:tc>
          <w:tcPr>
            <w:tcW w:w="1203" w:type="dxa"/>
            <w:vMerge w:val="restart"/>
            <w:tcBorders>
              <w:top w:val="single" w:color="auto" w:sz="4" w:space="0"/>
              <w:left w:val="single" w:color="auto" w:sz="4" w:space="0"/>
              <w:right w:val="single" w:color="auto" w:sz="4" w:space="0"/>
            </w:tcBorders>
            <w:shd w:val="clear" w:color="auto" w:fill="D8D8D8" w:themeFill="background1" w:themeFillShade="D9"/>
            <w:vAlign w:val="center"/>
          </w:tcPr>
          <w:p>
            <w:pPr>
              <w:pStyle w:val="107"/>
              <w:rPr>
                <w:b/>
              </w:rPr>
            </w:pPr>
            <w:r>
              <w:rPr>
                <w:rFonts w:hint="eastAsia"/>
                <w:b/>
              </w:rPr>
              <w:t>社会环境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jc w:val="center"/>
        </w:trPr>
        <w:tc>
          <w:tcPr>
            <w:tcW w:w="3092" w:type="dxa"/>
            <w:gridSpan w:val="2"/>
            <w:vMerge w:val="continue"/>
            <w:tcBorders>
              <w:left w:val="single" w:color="auto" w:sz="4" w:space="0"/>
              <w:bottom w:val="single" w:color="auto" w:sz="4" w:space="0"/>
              <w:right w:val="single" w:color="auto" w:sz="4" w:space="0"/>
              <w:tl2br w:val="nil"/>
            </w:tcBorders>
            <w:shd w:val="clear" w:color="auto" w:fill="D8D8D8" w:themeFill="background1" w:themeFillShade="D9"/>
          </w:tcPr>
          <w:p>
            <w:pPr>
              <w:pStyle w:val="107"/>
              <w:rPr>
                <w:rFonts w:cs="Times New Roman"/>
                <w:b/>
              </w:rPr>
            </w:pPr>
          </w:p>
        </w:tc>
        <w:tc>
          <w:tcPr>
            <w:tcW w:w="1023" w:type="dxa"/>
            <w:tcBorders>
              <w:top w:val="single" w:color="auto" w:sz="4" w:space="0"/>
              <w:left w:val="single" w:color="auto" w:sz="4" w:space="0"/>
              <w:bottom w:val="single" w:color="auto" w:sz="4" w:space="0"/>
              <w:right w:val="single" w:color="auto" w:sz="4" w:space="0"/>
            </w:tcBorders>
            <w:shd w:val="clear" w:color="auto" w:fill="D8D8D8" w:themeFill="background1" w:themeFillShade="D9"/>
          </w:tcPr>
          <w:p>
            <w:pPr>
              <w:pStyle w:val="107"/>
              <w:rPr>
                <w:b/>
              </w:rPr>
            </w:pPr>
            <w:r>
              <w:rPr>
                <w:rFonts w:hint="eastAsia"/>
                <w:b/>
              </w:rPr>
              <w:t>水环境</w:t>
            </w:r>
          </w:p>
        </w:tc>
        <w:tc>
          <w:tcPr>
            <w:tcW w:w="1203" w:type="dxa"/>
            <w:tcBorders>
              <w:top w:val="single" w:color="auto" w:sz="4" w:space="0"/>
              <w:left w:val="single" w:color="auto" w:sz="4" w:space="0"/>
              <w:bottom w:val="single" w:color="auto" w:sz="4" w:space="0"/>
              <w:right w:val="single" w:color="auto" w:sz="4" w:space="0"/>
            </w:tcBorders>
            <w:shd w:val="clear" w:color="auto" w:fill="D8D8D8" w:themeFill="background1" w:themeFillShade="D9"/>
          </w:tcPr>
          <w:p>
            <w:pPr>
              <w:pStyle w:val="107"/>
              <w:rPr>
                <w:b/>
              </w:rPr>
            </w:pPr>
            <w:r>
              <w:rPr>
                <w:rFonts w:hint="eastAsia"/>
                <w:b/>
              </w:rPr>
              <w:t>大气环境</w:t>
            </w:r>
          </w:p>
        </w:tc>
        <w:tc>
          <w:tcPr>
            <w:tcW w:w="1203" w:type="dxa"/>
            <w:tcBorders>
              <w:top w:val="single" w:color="auto" w:sz="4" w:space="0"/>
              <w:left w:val="single" w:color="auto" w:sz="4" w:space="0"/>
              <w:bottom w:val="single" w:color="auto" w:sz="4" w:space="0"/>
              <w:right w:val="single" w:color="auto" w:sz="4" w:space="0"/>
            </w:tcBorders>
            <w:shd w:val="clear" w:color="auto" w:fill="D8D8D8" w:themeFill="background1" w:themeFillShade="D9"/>
          </w:tcPr>
          <w:p>
            <w:pPr>
              <w:pStyle w:val="107"/>
              <w:rPr>
                <w:b/>
              </w:rPr>
            </w:pPr>
            <w:r>
              <w:rPr>
                <w:rFonts w:hint="eastAsia"/>
                <w:b/>
              </w:rPr>
              <w:t>生态环境</w:t>
            </w:r>
          </w:p>
        </w:tc>
        <w:tc>
          <w:tcPr>
            <w:tcW w:w="1203" w:type="dxa"/>
            <w:tcBorders>
              <w:top w:val="single" w:color="auto" w:sz="4" w:space="0"/>
              <w:left w:val="single" w:color="auto" w:sz="4" w:space="0"/>
              <w:bottom w:val="single" w:color="auto" w:sz="4" w:space="0"/>
              <w:right w:val="single" w:color="auto" w:sz="4" w:space="0"/>
            </w:tcBorders>
            <w:shd w:val="clear" w:color="auto" w:fill="D8D8D8" w:themeFill="background1" w:themeFillShade="D9"/>
          </w:tcPr>
          <w:p>
            <w:pPr>
              <w:pStyle w:val="107"/>
              <w:rPr>
                <w:b/>
              </w:rPr>
            </w:pPr>
            <w:r>
              <w:rPr>
                <w:rFonts w:hint="eastAsia"/>
                <w:b/>
              </w:rPr>
              <w:t>声环境</w:t>
            </w:r>
          </w:p>
        </w:tc>
        <w:tc>
          <w:tcPr>
            <w:tcW w:w="1203" w:type="dxa"/>
            <w:vMerge w:val="continue"/>
            <w:tcBorders>
              <w:left w:val="single" w:color="auto" w:sz="4" w:space="0"/>
              <w:bottom w:val="single" w:color="auto" w:sz="4" w:space="0"/>
              <w:right w:val="single" w:color="auto" w:sz="4" w:space="0"/>
            </w:tcBorders>
            <w:shd w:val="clear" w:color="auto" w:fill="D8D8D8" w:themeFill="background1" w:themeFillShade="D9"/>
          </w:tcPr>
          <w:p>
            <w:pPr>
              <w:pStyle w:val="107"/>
              <w:rPr>
                <w: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02" w:type="dxa"/>
            <w:vMerge w:val="restart"/>
            <w:tcBorders>
              <w:top w:val="single" w:color="auto" w:sz="4" w:space="0"/>
              <w:left w:val="single" w:color="auto" w:sz="4" w:space="0"/>
              <w:right w:val="single" w:color="auto" w:sz="4" w:space="0"/>
            </w:tcBorders>
            <w:vAlign w:val="center"/>
          </w:tcPr>
          <w:p>
            <w:pPr>
              <w:pStyle w:val="107"/>
            </w:pPr>
            <w:r>
              <w:rPr>
                <w:rFonts w:hint="eastAsia"/>
              </w:rPr>
              <w:t>营</w:t>
            </w:r>
          </w:p>
          <w:p>
            <w:pPr>
              <w:pStyle w:val="107"/>
            </w:pPr>
            <w:r>
              <w:rPr>
                <w:rFonts w:hint="eastAsia"/>
              </w:rPr>
              <w:t>运</w:t>
            </w:r>
          </w:p>
          <w:p>
            <w:pPr>
              <w:pStyle w:val="107"/>
            </w:pPr>
            <w:r>
              <w:rPr>
                <w:rFonts w:hint="eastAsia"/>
              </w:rPr>
              <w:t>期</w:t>
            </w:r>
          </w:p>
        </w:tc>
        <w:tc>
          <w:tcPr>
            <w:tcW w:w="2490"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生活污水</w:t>
            </w:r>
          </w:p>
        </w:tc>
        <w:tc>
          <w:tcPr>
            <w:tcW w:w="1023" w:type="dxa"/>
            <w:tcBorders>
              <w:top w:val="single" w:color="auto" w:sz="4" w:space="0"/>
              <w:left w:val="single" w:color="auto" w:sz="4" w:space="0"/>
              <w:bottom w:val="single" w:color="auto" w:sz="4" w:space="0"/>
              <w:right w:val="single" w:color="auto" w:sz="4" w:space="0"/>
            </w:tcBorders>
            <w:vAlign w:val="center"/>
          </w:tcPr>
          <w:p>
            <w:pPr>
              <w:pStyle w:val="107"/>
            </w:pPr>
            <w:r>
              <w:t>-1C</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0</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-1C</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0</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02" w:type="dxa"/>
            <w:vMerge w:val="continue"/>
            <w:tcBorders>
              <w:left w:val="single" w:color="auto" w:sz="4" w:space="0"/>
              <w:right w:val="single" w:color="auto" w:sz="4" w:space="0"/>
            </w:tcBorders>
            <w:vAlign w:val="center"/>
          </w:tcPr>
          <w:p>
            <w:pPr>
              <w:pStyle w:val="107"/>
            </w:pPr>
          </w:p>
        </w:tc>
        <w:tc>
          <w:tcPr>
            <w:tcW w:w="2490"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生产废水</w:t>
            </w:r>
          </w:p>
        </w:tc>
        <w:tc>
          <w:tcPr>
            <w:tcW w:w="1023"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0</w:t>
            </w:r>
          </w:p>
        </w:tc>
        <w:tc>
          <w:tcPr>
            <w:tcW w:w="1203" w:type="dxa"/>
            <w:tcBorders>
              <w:top w:val="single" w:color="auto" w:sz="4" w:space="0"/>
              <w:left w:val="single" w:color="auto" w:sz="4" w:space="0"/>
              <w:bottom w:val="single" w:color="auto" w:sz="4" w:space="0"/>
              <w:right w:val="single" w:color="auto" w:sz="4" w:space="0"/>
            </w:tcBorders>
          </w:tcPr>
          <w:p>
            <w:pPr>
              <w:pStyle w:val="107"/>
            </w:pPr>
            <w:r>
              <w:rPr>
                <w:rFonts w:hint="eastAsia"/>
              </w:rPr>
              <w:t>0</w:t>
            </w:r>
          </w:p>
        </w:tc>
        <w:tc>
          <w:tcPr>
            <w:tcW w:w="1203" w:type="dxa"/>
            <w:tcBorders>
              <w:top w:val="single" w:color="auto" w:sz="4" w:space="0"/>
              <w:left w:val="single" w:color="auto" w:sz="4" w:space="0"/>
              <w:bottom w:val="single" w:color="auto" w:sz="4" w:space="0"/>
              <w:right w:val="single" w:color="auto" w:sz="4" w:space="0"/>
            </w:tcBorders>
          </w:tcPr>
          <w:p>
            <w:pPr>
              <w:pStyle w:val="107"/>
            </w:pPr>
            <w:r>
              <w:rPr>
                <w:rFonts w:hint="eastAsia"/>
              </w:rPr>
              <w:t>0</w:t>
            </w:r>
          </w:p>
        </w:tc>
        <w:tc>
          <w:tcPr>
            <w:tcW w:w="1203" w:type="dxa"/>
            <w:tcBorders>
              <w:top w:val="single" w:color="auto" w:sz="4" w:space="0"/>
              <w:left w:val="single" w:color="auto" w:sz="4" w:space="0"/>
              <w:bottom w:val="single" w:color="auto" w:sz="4" w:space="0"/>
              <w:right w:val="single" w:color="auto" w:sz="4" w:space="0"/>
            </w:tcBorders>
          </w:tcPr>
          <w:p>
            <w:pPr>
              <w:pStyle w:val="107"/>
            </w:pPr>
            <w:r>
              <w:rPr>
                <w:rFonts w:hint="eastAsia"/>
              </w:rPr>
              <w:t>0</w:t>
            </w:r>
          </w:p>
        </w:tc>
        <w:tc>
          <w:tcPr>
            <w:tcW w:w="1203" w:type="dxa"/>
            <w:tcBorders>
              <w:top w:val="single" w:color="auto" w:sz="4" w:space="0"/>
              <w:left w:val="single" w:color="auto" w:sz="4" w:space="0"/>
              <w:bottom w:val="single" w:color="auto" w:sz="4" w:space="0"/>
              <w:right w:val="single" w:color="auto" w:sz="4" w:space="0"/>
            </w:tcBorders>
          </w:tcPr>
          <w:p>
            <w:pPr>
              <w:pStyle w:val="107"/>
            </w:pP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02" w:type="dxa"/>
            <w:vMerge w:val="continue"/>
            <w:tcBorders>
              <w:left w:val="single" w:color="auto" w:sz="4" w:space="0"/>
              <w:right w:val="single" w:color="auto" w:sz="4" w:space="0"/>
            </w:tcBorders>
            <w:vAlign w:val="center"/>
          </w:tcPr>
          <w:p>
            <w:pPr>
              <w:pStyle w:val="107"/>
              <w:rPr>
                <w:rFonts w:cs="Times New Roman"/>
                <w:kern w:val="2"/>
              </w:rPr>
            </w:pPr>
          </w:p>
        </w:tc>
        <w:tc>
          <w:tcPr>
            <w:tcW w:w="2490"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固体废物</w:t>
            </w:r>
          </w:p>
        </w:tc>
        <w:tc>
          <w:tcPr>
            <w:tcW w:w="1023" w:type="dxa"/>
            <w:tcBorders>
              <w:top w:val="single" w:color="auto" w:sz="4" w:space="0"/>
              <w:left w:val="single" w:color="auto" w:sz="4" w:space="0"/>
              <w:bottom w:val="single" w:color="auto" w:sz="4" w:space="0"/>
              <w:right w:val="single" w:color="auto" w:sz="4" w:space="0"/>
            </w:tcBorders>
            <w:vAlign w:val="center"/>
          </w:tcPr>
          <w:p>
            <w:pPr>
              <w:pStyle w:val="107"/>
            </w:pPr>
            <w:r>
              <w:t>-1C</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0</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-1C</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0</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02" w:type="dxa"/>
            <w:vMerge w:val="continue"/>
            <w:tcBorders>
              <w:left w:val="single" w:color="auto" w:sz="4" w:space="0"/>
              <w:right w:val="single" w:color="auto" w:sz="4" w:space="0"/>
            </w:tcBorders>
            <w:vAlign w:val="center"/>
          </w:tcPr>
          <w:p>
            <w:pPr>
              <w:pStyle w:val="107"/>
              <w:rPr>
                <w:rFonts w:cs="Times New Roman"/>
                <w:kern w:val="2"/>
              </w:rPr>
            </w:pPr>
          </w:p>
        </w:tc>
        <w:tc>
          <w:tcPr>
            <w:tcW w:w="2490"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工艺废气</w:t>
            </w:r>
          </w:p>
        </w:tc>
        <w:tc>
          <w:tcPr>
            <w:tcW w:w="1023" w:type="dxa"/>
            <w:tcBorders>
              <w:top w:val="single" w:color="auto" w:sz="4" w:space="0"/>
              <w:left w:val="single" w:color="auto" w:sz="4" w:space="0"/>
              <w:bottom w:val="single" w:color="auto" w:sz="4" w:space="0"/>
              <w:right w:val="single" w:color="auto" w:sz="4" w:space="0"/>
            </w:tcBorders>
            <w:vAlign w:val="center"/>
          </w:tcPr>
          <w:p>
            <w:pPr>
              <w:pStyle w:val="107"/>
            </w:pPr>
            <w:r>
              <w:t>0</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-1C</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-1C</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0</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02" w:type="dxa"/>
            <w:vMerge w:val="continue"/>
            <w:tcBorders>
              <w:left w:val="single" w:color="auto" w:sz="4" w:space="0"/>
              <w:right w:val="single" w:color="auto" w:sz="4" w:space="0"/>
            </w:tcBorders>
            <w:vAlign w:val="center"/>
          </w:tcPr>
          <w:p>
            <w:pPr>
              <w:pStyle w:val="107"/>
              <w:rPr>
                <w:rFonts w:cs="Times New Roman"/>
                <w:kern w:val="2"/>
              </w:rPr>
            </w:pPr>
          </w:p>
        </w:tc>
        <w:tc>
          <w:tcPr>
            <w:tcW w:w="2490"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设备运转噪声</w:t>
            </w:r>
          </w:p>
        </w:tc>
        <w:tc>
          <w:tcPr>
            <w:tcW w:w="1023" w:type="dxa"/>
            <w:tcBorders>
              <w:top w:val="single" w:color="auto" w:sz="4" w:space="0"/>
              <w:left w:val="single" w:color="auto" w:sz="4" w:space="0"/>
              <w:bottom w:val="single" w:color="auto" w:sz="4" w:space="0"/>
              <w:right w:val="single" w:color="auto" w:sz="4" w:space="0"/>
            </w:tcBorders>
            <w:vAlign w:val="center"/>
          </w:tcPr>
          <w:p>
            <w:pPr>
              <w:pStyle w:val="107"/>
            </w:pPr>
            <w:r>
              <w:t>0</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0</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0</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-1C</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02" w:type="dxa"/>
            <w:vMerge w:val="continue"/>
            <w:tcBorders>
              <w:left w:val="single" w:color="auto" w:sz="4" w:space="0"/>
              <w:right w:val="single" w:color="auto" w:sz="4" w:space="0"/>
            </w:tcBorders>
            <w:vAlign w:val="center"/>
          </w:tcPr>
          <w:p>
            <w:pPr>
              <w:pStyle w:val="107"/>
              <w:rPr>
                <w:rFonts w:cs="Times New Roman"/>
                <w:kern w:val="2"/>
              </w:rPr>
            </w:pPr>
          </w:p>
        </w:tc>
        <w:tc>
          <w:tcPr>
            <w:tcW w:w="2490"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突发事故</w:t>
            </w:r>
          </w:p>
        </w:tc>
        <w:tc>
          <w:tcPr>
            <w:tcW w:w="1023" w:type="dxa"/>
            <w:tcBorders>
              <w:top w:val="single" w:color="auto" w:sz="4" w:space="0"/>
              <w:left w:val="single" w:color="auto" w:sz="4" w:space="0"/>
              <w:bottom w:val="single" w:color="auto" w:sz="4" w:space="0"/>
              <w:right w:val="single" w:color="auto" w:sz="4" w:space="0"/>
            </w:tcBorders>
            <w:vAlign w:val="center"/>
          </w:tcPr>
          <w:p>
            <w:pPr>
              <w:pStyle w:val="107"/>
            </w:pPr>
            <w:r>
              <w:t>-1D</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-2D</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-1D</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0</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t>-1D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602" w:type="dxa"/>
            <w:vMerge w:val="continue"/>
            <w:tcBorders>
              <w:left w:val="single" w:color="auto" w:sz="4" w:space="0"/>
              <w:bottom w:val="single" w:color="auto" w:sz="4" w:space="0"/>
              <w:right w:val="single" w:color="auto" w:sz="4" w:space="0"/>
            </w:tcBorders>
            <w:vAlign w:val="center"/>
          </w:tcPr>
          <w:p>
            <w:pPr>
              <w:pStyle w:val="107"/>
              <w:rPr>
                <w:rFonts w:cs="Times New Roman"/>
                <w:kern w:val="2"/>
              </w:rPr>
            </w:pPr>
          </w:p>
        </w:tc>
        <w:tc>
          <w:tcPr>
            <w:tcW w:w="2490"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环保工程</w:t>
            </w:r>
          </w:p>
        </w:tc>
        <w:tc>
          <w:tcPr>
            <w:tcW w:w="1023"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w:t>
            </w:r>
            <w:r>
              <w:t>1C</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w:t>
            </w:r>
            <w:r>
              <w:t>1C</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w:t>
            </w:r>
            <w:r>
              <w:t>1C</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w:t>
            </w:r>
            <w:r>
              <w:t>1C</w:t>
            </w:r>
          </w:p>
        </w:tc>
        <w:tc>
          <w:tcPr>
            <w:tcW w:w="1203"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w:t>
            </w:r>
            <w:r>
              <w:t>1C</w:t>
            </w:r>
          </w:p>
        </w:tc>
      </w:tr>
    </w:tbl>
    <w:p>
      <w:pPr>
        <w:pStyle w:val="107"/>
        <w:jc w:val="left"/>
      </w:pPr>
      <w:r>
        <w:rPr>
          <w:rFonts w:hint="eastAsia"/>
        </w:rPr>
        <w:t>注：1、表中“</w:t>
      </w:r>
      <w:r>
        <w:t>+</w:t>
      </w:r>
      <w:r>
        <w:rPr>
          <w:rFonts w:hint="eastAsia"/>
        </w:rPr>
        <w:t>”表示有利影响，“</w:t>
      </w:r>
      <w:r>
        <w:t>-</w:t>
      </w:r>
      <w:r>
        <w:rPr>
          <w:rFonts w:hint="eastAsia"/>
        </w:rPr>
        <w:t>”表示不利影响；</w:t>
      </w:r>
    </w:p>
    <w:p>
      <w:pPr>
        <w:pStyle w:val="107"/>
        <w:ind w:firstLine="420" w:firstLineChars="200"/>
        <w:jc w:val="left"/>
      </w:pPr>
      <w:r>
        <w:t>2</w:t>
      </w:r>
      <w:r>
        <w:rPr>
          <w:rFonts w:hint="eastAsia"/>
        </w:rPr>
        <w:t>、表中数字表示影响的相对程度，“0”表示无影响；“1”表示影响较小，“2”表示影响中等，“3”表示影响较大；</w:t>
      </w:r>
    </w:p>
    <w:p>
      <w:pPr>
        <w:pStyle w:val="107"/>
        <w:ind w:firstLine="420" w:firstLineChars="200"/>
        <w:jc w:val="left"/>
      </w:pPr>
      <w:r>
        <w:rPr>
          <w:rFonts w:hint="eastAsia"/>
        </w:rPr>
        <w:t>3、表中“D”表示短期影响，“C”表示长期影响。</w:t>
      </w:r>
    </w:p>
    <w:p>
      <w:pPr>
        <w:ind w:firstLine="480"/>
        <w:rPr>
          <w:rFonts w:cs="Times New Roman" w:eastAsiaTheme="minorEastAsia"/>
          <w:szCs w:val="20"/>
        </w:rPr>
      </w:pPr>
      <w:r>
        <w:rPr>
          <w:rFonts w:hint="eastAsia" w:cs="Times New Roman" w:eastAsiaTheme="minorEastAsia"/>
          <w:szCs w:val="20"/>
        </w:rPr>
        <w:t>由</w:t>
      </w:r>
      <w:r>
        <w:rPr>
          <w:rFonts w:eastAsiaTheme="minorEastAsia"/>
        </w:rPr>
        <w:fldChar w:fldCharType="begin"/>
      </w:r>
      <w:r>
        <w:rPr>
          <w:rFonts w:eastAsiaTheme="minorEastAsia"/>
        </w:rPr>
        <w:instrText xml:space="preserve"> </w:instrText>
      </w:r>
      <w:r>
        <w:rPr>
          <w:rFonts w:hint="eastAsia" w:eastAsiaTheme="minorEastAsia"/>
        </w:rPr>
        <w:instrText xml:space="preserve">REF _Ref522649574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1.3</w:t>
      </w:r>
      <w:r>
        <w:rPr>
          <w:rFonts w:eastAsiaTheme="minorEastAsia"/>
        </w:rPr>
        <w:noBreakHyphen/>
      </w:r>
      <w:r>
        <w:rPr>
          <w:rFonts w:eastAsiaTheme="minorEastAsia"/>
        </w:rPr>
        <w:t>2</w:t>
      </w:r>
      <w:r>
        <w:rPr>
          <w:rFonts w:eastAsiaTheme="minorEastAsia"/>
        </w:rPr>
        <w:fldChar w:fldCharType="end"/>
      </w:r>
      <w:r>
        <w:rPr>
          <w:rFonts w:hint="eastAsia" w:cs="Times New Roman" w:eastAsiaTheme="minorEastAsia"/>
          <w:szCs w:val="20"/>
        </w:rPr>
        <w:t>可看出，</w:t>
      </w:r>
      <w:r>
        <w:rPr>
          <w:rFonts w:hint="eastAsia" w:eastAsiaTheme="minorEastAsia"/>
        </w:rPr>
        <w:t>营运期对环境</w:t>
      </w:r>
      <w:r>
        <w:rPr>
          <w:rFonts w:hint="eastAsia"/>
        </w:rPr>
        <w:t>的不利影响是长期存在的，主要表现在对环境空气、水环境、声环境三个方面的长期不利影</w:t>
      </w:r>
      <w:r>
        <w:rPr>
          <w:rFonts w:hint="eastAsia" w:eastAsiaTheme="minorEastAsia"/>
        </w:rPr>
        <w:t>响</w:t>
      </w:r>
      <w:r>
        <w:rPr>
          <w:rFonts w:eastAsiaTheme="minorEastAsia"/>
        </w:rPr>
        <w:t>。</w:t>
      </w:r>
    </w:p>
    <w:p>
      <w:pPr>
        <w:pStyle w:val="5"/>
      </w:pPr>
      <w:r>
        <w:t>评价因子</w:t>
      </w:r>
      <w:bookmarkEnd w:id="89"/>
      <w:r>
        <w:rPr>
          <w:rFonts w:hint="eastAsia"/>
        </w:rPr>
        <w:t>筛选</w:t>
      </w:r>
    </w:p>
    <w:p>
      <w:pPr>
        <w:ind w:firstLine="480"/>
        <w:rPr>
          <w:rFonts w:eastAsiaTheme="minorEastAsia"/>
        </w:rPr>
      </w:pPr>
      <w:r>
        <w:rPr>
          <w:rFonts w:hint="eastAsia" w:eastAsiaTheme="minorEastAsia"/>
        </w:rPr>
        <w:t>根据项目污染物排放特征，所在区域环境污染特征，以及环境影响评价技术导则的相关要求，确定项目运营期评价因子如</w:t>
      </w:r>
      <w:r>
        <w:rPr>
          <w:rFonts w:eastAsiaTheme="minorEastAsia"/>
        </w:rPr>
        <w:fldChar w:fldCharType="begin"/>
      </w:r>
      <w:r>
        <w:rPr>
          <w:rFonts w:eastAsiaTheme="minorEastAsia"/>
        </w:rPr>
        <w:instrText xml:space="preserve"> REF _Ref522983104 \h  \* MERGEFORMAT </w:instrText>
      </w:r>
      <w:r>
        <w:rPr>
          <w:rFonts w:eastAsiaTheme="minorEastAsia"/>
        </w:rPr>
        <w:fldChar w:fldCharType="separate"/>
      </w:r>
      <w:r>
        <w:rPr>
          <w:rFonts w:hint="eastAsia" w:eastAsiaTheme="minorEastAsia"/>
        </w:rPr>
        <w:t xml:space="preserve">表 </w:t>
      </w:r>
      <w:r>
        <w:rPr>
          <w:rFonts w:eastAsiaTheme="minorEastAsia"/>
        </w:rPr>
        <w:t>1.3</w:t>
      </w:r>
      <w:r>
        <w:rPr>
          <w:rFonts w:eastAsiaTheme="minorEastAsia"/>
        </w:rPr>
        <w:noBreakHyphen/>
      </w:r>
      <w:r>
        <w:rPr>
          <w:rFonts w:eastAsiaTheme="minorEastAsia"/>
        </w:rPr>
        <w:t>3</w:t>
      </w:r>
      <w:r>
        <w:rPr>
          <w:rFonts w:eastAsiaTheme="minorEastAsia"/>
        </w:rPr>
        <w:fldChar w:fldCharType="end"/>
      </w:r>
      <w:r>
        <w:rPr>
          <w:rFonts w:hint="eastAsia" w:eastAsiaTheme="minorEastAsia"/>
        </w:rPr>
        <w:t>所示</w:t>
      </w:r>
      <w:r>
        <w:rPr>
          <w:rFonts w:eastAsiaTheme="minorEastAsia"/>
        </w:rPr>
        <w:t>。</w:t>
      </w:r>
    </w:p>
    <w:p>
      <w:pPr>
        <w:pStyle w:val="18"/>
      </w:pPr>
      <w:bookmarkStart w:id="92" w:name="_Ref522983104"/>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bookmarkEnd w:id="92"/>
      <w:r>
        <w:rPr>
          <w:rFonts w:hint="eastAsia"/>
        </w:rPr>
        <w:t>评价因子一览表</w:t>
      </w:r>
    </w:p>
    <w:tbl>
      <w:tblPr>
        <w:tblStyle w:val="56"/>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3329"/>
        <w:gridCol w:w="2517"/>
        <w:gridCol w:w="15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1103" w:type="dxa"/>
            <w:shd w:val="clear" w:color="auto" w:fill="D8D8D8" w:themeFill="background1" w:themeFillShade="D9"/>
            <w:vAlign w:val="center"/>
          </w:tcPr>
          <w:p>
            <w:pPr>
              <w:pStyle w:val="107"/>
              <w:rPr>
                <w:b/>
              </w:rPr>
            </w:pPr>
            <w:r>
              <w:rPr>
                <w:b/>
              </w:rPr>
              <w:t>类别</w:t>
            </w:r>
          </w:p>
        </w:tc>
        <w:tc>
          <w:tcPr>
            <w:tcW w:w="3329" w:type="dxa"/>
            <w:shd w:val="clear" w:color="auto" w:fill="D8D8D8" w:themeFill="background1" w:themeFillShade="D9"/>
            <w:vAlign w:val="center"/>
          </w:tcPr>
          <w:p>
            <w:pPr>
              <w:pStyle w:val="107"/>
              <w:rPr>
                <w:b/>
              </w:rPr>
            </w:pPr>
            <w:r>
              <w:rPr>
                <w:b/>
              </w:rPr>
              <w:t>现状评价因子</w:t>
            </w:r>
          </w:p>
        </w:tc>
        <w:tc>
          <w:tcPr>
            <w:tcW w:w="2517" w:type="dxa"/>
            <w:shd w:val="clear" w:color="auto" w:fill="D8D8D8" w:themeFill="background1" w:themeFillShade="D9"/>
            <w:vAlign w:val="center"/>
          </w:tcPr>
          <w:p>
            <w:pPr>
              <w:pStyle w:val="107"/>
              <w:rPr>
                <w:b/>
              </w:rPr>
            </w:pPr>
            <w:r>
              <w:rPr>
                <w:rFonts w:hint="eastAsia"/>
                <w:b/>
              </w:rPr>
              <w:t>预测/</w:t>
            </w:r>
            <w:r>
              <w:rPr>
                <w:b/>
              </w:rPr>
              <w:t>影响评价因子</w:t>
            </w:r>
          </w:p>
        </w:tc>
        <w:tc>
          <w:tcPr>
            <w:tcW w:w="1579" w:type="dxa"/>
            <w:shd w:val="clear" w:color="auto" w:fill="D8D8D8" w:themeFill="background1" w:themeFillShade="D9"/>
            <w:vAlign w:val="center"/>
          </w:tcPr>
          <w:p>
            <w:pPr>
              <w:pStyle w:val="107"/>
              <w:rPr>
                <w:b/>
              </w:rPr>
            </w:pPr>
            <w:r>
              <w:rPr>
                <w:b/>
              </w:rPr>
              <w:t>总量控制因子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103" w:type="dxa"/>
            <w:vAlign w:val="center"/>
          </w:tcPr>
          <w:p>
            <w:pPr>
              <w:pStyle w:val="107"/>
            </w:pPr>
            <w:r>
              <w:rPr>
                <w:rFonts w:hint="eastAsia"/>
              </w:rPr>
              <w:t>环境空气</w:t>
            </w:r>
          </w:p>
        </w:tc>
        <w:tc>
          <w:tcPr>
            <w:tcW w:w="3329" w:type="dxa"/>
            <w:vAlign w:val="center"/>
          </w:tcPr>
          <w:p>
            <w:pPr>
              <w:pStyle w:val="107"/>
              <w:jc w:val="both"/>
            </w:pPr>
            <w:r>
              <w:rPr>
                <w:rFonts w:hint="eastAsia"/>
              </w:rPr>
              <w:t>基本项目：</w:t>
            </w:r>
            <w:r>
              <w:t>SO</w:t>
            </w:r>
            <w:r>
              <w:rPr>
                <w:vertAlign w:val="subscript"/>
              </w:rPr>
              <w:t>2</w:t>
            </w:r>
            <w:r>
              <w:t>、NO</w:t>
            </w:r>
            <w:r>
              <w:rPr>
                <w:vertAlign w:val="subscript"/>
              </w:rPr>
              <w:t>2</w:t>
            </w:r>
            <w:r>
              <w:t>、</w:t>
            </w:r>
            <w:r>
              <w:rPr>
                <w:rFonts w:hint="eastAsia"/>
              </w:rPr>
              <w:t>O</w:t>
            </w:r>
            <w:r>
              <w:rPr>
                <w:vertAlign w:val="subscript"/>
              </w:rPr>
              <w:t>3</w:t>
            </w:r>
            <w:r>
              <w:rPr>
                <w:rFonts w:hint="eastAsia"/>
              </w:rPr>
              <w:t>、</w:t>
            </w:r>
            <w:r>
              <w:t>PM</w:t>
            </w:r>
            <w:r>
              <w:rPr>
                <w:vertAlign w:val="subscript"/>
              </w:rPr>
              <w:t>10</w:t>
            </w:r>
            <w:r>
              <w:t>、PM</w:t>
            </w:r>
            <w:r>
              <w:rPr>
                <w:vertAlign w:val="subscript"/>
              </w:rPr>
              <w:t>2.5</w:t>
            </w:r>
            <w:r>
              <w:rPr>
                <w:rFonts w:hint="eastAsia"/>
              </w:rPr>
              <w:t>、C</w:t>
            </w:r>
            <w:r>
              <w:t>O</w:t>
            </w:r>
            <w:r>
              <w:rPr>
                <w:rFonts w:hint="eastAsia"/>
              </w:rPr>
              <w:t>；</w:t>
            </w:r>
          </w:p>
          <w:p>
            <w:pPr>
              <w:pStyle w:val="107"/>
              <w:jc w:val="both"/>
            </w:pPr>
            <w:r>
              <w:rPr>
                <w:rFonts w:hint="eastAsia"/>
              </w:rPr>
              <w:t>其他项目：T</w:t>
            </w:r>
            <w:r>
              <w:t>VOC</w:t>
            </w:r>
            <w:r>
              <w:rPr>
                <w:rFonts w:hint="eastAsia"/>
              </w:rPr>
              <w:t>、</w:t>
            </w:r>
            <w:r>
              <w:t>TSP</w:t>
            </w:r>
            <w:r>
              <w:rPr>
                <w:rFonts w:hint="eastAsia"/>
              </w:rPr>
              <w:t>、</w:t>
            </w:r>
            <w:r>
              <w:t>臭气浓度</w:t>
            </w:r>
            <w:r>
              <w:rPr>
                <w:rFonts w:hint="eastAsia"/>
              </w:rPr>
              <w:t>、硫化氢、非甲烷总烃</w:t>
            </w:r>
          </w:p>
        </w:tc>
        <w:tc>
          <w:tcPr>
            <w:tcW w:w="2517" w:type="dxa"/>
            <w:vAlign w:val="center"/>
          </w:tcPr>
          <w:p>
            <w:pPr>
              <w:pStyle w:val="107"/>
            </w:pPr>
            <w:r>
              <w:t>PM</w:t>
            </w:r>
            <w:r>
              <w:rPr>
                <w:vertAlign w:val="subscript"/>
              </w:rPr>
              <w:t>10</w:t>
            </w:r>
            <w:r>
              <w:t>、TSP、硫化氢、非甲烷总烃、臭气浓度</w:t>
            </w:r>
          </w:p>
        </w:tc>
        <w:tc>
          <w:tcPr>
            <w:tcW w:w="1579" w:type="dxa"/>
            <w:vAlign w:val="center"/>
          </w:tcPr>
          <w:p>
            <w:pPr>
              <w:pStyle w:val="107"/>
            </w:pPr>
            <w:r>
              <w:rPr>
                <w:rFonts w:hint="eastAsia"/>
              </w:rPr>
              <w:t>T</w:t>
            </w:r>
            <w:r>
              <w:t>VOC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103" w:type="dxa"/>
            <w:vAlign w:val="center"/>
          </w:tcPr>
          <w:p>
            <w:pPr>
              <w:pStyle w:val="107"/>
            </w:pPr>
            <w:r>
              <w:t>地表水</w:t>
            </w:r>
          </w:p>
        </w:tc>
        <w:tc>
          <w:tcPr>
            <w:tcW w:w="3329" w:type="dxa"/>
            <w:vAlign w:val="center"/>
          </w:tcPr>
          <w:p>
            <w:pPr>
              <w:pStyle w:val="107"/>
              <w:jc w:val="both"/>
            </w:pPr>
            <w:r>
              <w:t>水温、pH、DO、COD</w:t>
            </w:r>
            <w:r>
              <w:rPr>
                <w:vertAlign w:val="subscript"/>
              </w:rPr>
              <w:t>Cr</w:t>
            </w:r>
            <w:r>
              <w:t>、BOD</w:t>
            </w:r>
            <w:r>
              <w:rPr>
                <w:vertAlign w:val="subscript"/>
              </w:rPr>
              <w:t>5</w:t>
            </w:r>
            <w:r>
              <w:t>、SS、氨氮、总磷、</w:t>
            </w:r>
            <w:r>
              <w:rPr>
                <w:rFonts w:hint="eastAsia"/>
              </w:rPr>
              <w:t>总氮、挥发酚、石油类、LAS、硫化物、粪大肠菌群</w:t>
            </w:r>
          </w:p>
        </w:tc>
        <w:tc>
          <w:tcPr>
            <w:tcW w:w="2517" w:type="dxa"/>
            <w:vAlign w:val="center"/>
          </w:tcPr>
          <w:p>
            <w:pPr>
              <w:pStyle w:val="107"/>
            </w:pPr>
            <w:r>
              <w:rPr>
                <w:rFonts w:hint="eastAsia"/>
              </w:rPr>
              <w:t>定性分析</w:t>
            </w:r>
          </w:p>
        </w:tc>
        <w:tc>
          <w:tcPr>
            <w:tcW w:w="1579" w:type="dxa"/>
            <w:vAlign w:val="center"/>
          </w:tcPr>
          <w:p>
            <w:pPr>
              <w:pStyle w:val="107"/>
            </w:pPr>
            <w:r>
              <w:t>COD</w:t>
            </w:r>
            <w:r>
              <w:rPr>
                <w:vertAlign w:val="subscript"/>
              </w:rPr>
              <w:t>Cr</w:t>
            </w:r>
            <w: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103" w:type="dxa"/>
            <w:vAlign w:val="center"/>
          </w:tcPr>
          <w:p>
            <w:pPr>
              <w:pStyle w:val="107"/>
            </w:pPr>
            <w:r>
              <w:t>地下水</w:t>
            </w:r>
          </w:p>
        </w:tc>
        <w:tc>
          <w:tcPr>
            <w:tcW w:w="3329" w:type="dxa"/>
            <w:vAlign w:val="center"/>
          </w:tcPr>
          <w:p>
            <w:pPr>
              <w:pStyle w:val="107"/>
              <w:jc w:val="both"/>
            </w:pPr>
            <w:r>
              <w:rPr>
                <w:rFonts w:hint="eastAsia"/>
              </w:rPr>
              <w:t>pH、氨氮、硝酸盐、亚硝酸盐、挥发性酚类、总硬度、铁、溶解性总固体、高锰酸盐指数（耗氧量）</w:t>
            </w:r>
          </w:p>
        </w:tc>
        <w:tc>
          <w:tcPr>
            <w:tcW w:w="2517" w:type="dxa"/>
            <w:vAlign w:val="center"/>
          </w:tcPr>
          <w:p>
            <w:pPr>
              <w:pStyle w:val="107"/>
            </w:pPr>
            <w:r>
              <w:rPr>
                <w:rStyle w:val="65"/>
                <w:rFonts w:hint="eastAsia" w:cstheme="minorBidi"/>
              </w:rPr>
              <w:t>定性分析</w:t>
            </w:r>
          </w:p>
        </w:tc>
        <w:tc>
          <w:tcPr>
            <w:tcW w:w="1579" w:type="dxa"/>
            <w:vAlign w:val="center"/>
          </w:tcPr>
          <w:p>
            <w:pPr>
              <w:pStyle w:val="107"/>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103" w:type="dxa"/>
            <w:vAlign w:val="center"/>
          </w:tcPr>
          <w:p>
            <w:pPr>
              <w:pStyle w:val="107"/>
            </w:pPr>
            <w:r>
              <w:t>噪声</w:t>
            </w:r>
          </w:p>
        </w:tc>
        <w:tc>
          <w:tcPr>
            <w:tcW w:w="3329" w:type="dxa"/>
            <w:vAlign w:val="center"/>
          </w:tcPr>
          <w:p>
            <w:pPr>
              <w:pStyle w:val="107"/>
            </w:pPr>
            <w:r>
              <w:rPr>
                <w:rFonts w:hint="eastAsia"/>
              </w:rPr>
              <w:t>等效连续A声级（</w:t>
            </w:r>
            <w:r>
              <w:t>Leq</w:t>
            </w:r>
            <w:r>
              <w:rPr>
                <w:rFonts w:hint="eastAsia"/>
              </w:rPr>
              <w:t>）</w:t>
            </w:r>
          </w:p>
        </w:tc>
        <w:tc>
          <w:tcPr>
            <w:tcW w:w="2517" w:type="dxa"/>
            <w:vAlign w:val="center"/>
          </w:tcPr>
          <w:p>
            <w:pPr>
              <w:pStyle w:val="107"/>
            </w:pPr>
            <w:r>
              <w:rPr>
                <w:rFonts w:hint="eastAsia"/>
              </w:rPr>
              <w:t>等效连续A声级（</w:t>
            </w:r>
            <w:r>
              <w:t>Leq</w:t>
            </w:r>
            <w:r>
              <w:rPr>
                <w:rFonts w:hint="eastAsia"/>
              </w:rPr>
              <w:t>）</w:t>
            </w:r>
          </w:p>
        </w:tc>
        <w:tc>
          <w:tcPr>
            <w:tcW w:w="1579" w:type="dxa"/>
            <w:vAlign w:val="center"/>
          </w:tcPr>
          <w:p>
            <w:pPr>
              <w:pStyle w:val="107"/>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103" w:type="dxa"/>
            <w:vAlign w:val="center"/>
          </w:tcPr>
          <w:p>
            <w:pPr>
              <w:pStyle w:val="107"/>
            </w:pPr>
            <w:r>
              <w:t>固体废弃物/废液</w:t>
            </w:r>
          </w:p>
        </w:tc>
        <w:tc>
          <w:tcPr>
            <w:tcW w:w="3329" w:type="dxa"/>
            <w:vAlign w:val="center"/>
          </w:tcPr>
          <w:p>
            <w:pPr>
              <w:pStyle w:val="107"/>
            </w:pPr>
            <w:r>
              <w:t>/</w:t>
            </w:r>
          </w:p>
        </w:tc>
        <w:tc>
          <w:tcPr>
            <w:tcW w:w="2517" w:type="dxa"/>
            <w:vAlign w:val="center"/>
          </w:tcPr>
          <w:p>
            <w:pPr>
              <w:pStyle w:val="107"/>
            </w:pPr>
            <w:r>
              <w:t>一般工业固体废物</w:t>
            </w:r>
          </w:p>
          <w:p>
            <w:pPr>
              <w:pStyle w:val="107"/>
            </w:pPr>
            <w:r>
              <w:t>危险废物</w:t>
            </w:r>
          </w:p>
          <w:p>
            <w:pPr>
              <w:pStyle w:val="107"/>
            </w:pPr>
            <w:r>
              <w:t>生活垃圾</w:t>
            </w:r>
          </w:p>
        </w:tc>
        <w:tc>
          <w:tcPr>
            <w:tcW w:w="1579" w:type="dxa"/>
            <w:vAlign w:val="center"/>
          </w:tcPr>
          <w:p>
            <w:pPr>
              <w:pStyle w:val="107"/>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103" w:type="dxa"/>
            <w:vAlign w:val="center"/>
          </w:tcPr>
          <w:p>
            <w:pPr>
              <w:pStyle w:val="107"/>
            </w:pPr>
            <w:r>
              <w:t>生态</w:t>
            </w:r>
          </w:p>
        </w:tc>
        <w:tc>
          <w:tcPr>
            <w:tcW w:w="3329" w:type="dxa"/>
            <w:vAlign w:val="center"/>
          </w:tcPr>
          <w:p>
            <w:pPr>
              <w:pStyle w:val="107"/>
            </w:pPr>
            <w:r>
              <w:t>生态环境一般性评述</w:t>
            </w:r>
          </w:p>
        </w:tc>
        <w:tc>
          <w:tcPr>
            <w:tcW w:w="2517" w:type="dxa"/>
            <w:vAlign w:val="center"/>
          </w:tcPr>
          <w:p>
            <w:pPr>
              <w:pStyle w:val="107"/>
            </w:pPr>
            <w:r>
              <w:t>/</w:t>
            </w:r>
          </w:p>
        </w:tc>
        <w:tc>
          <w:tcPr>
            <w:tcW w:w="1579" w:type="dxa"/>
            <w:vAlign w:val="center"/>
          </w:tcPr>
          <w:p>
            <w:pPr>
              <w:pStyle w:val="107"/>
            </w:pPr>
            <w:r>
              <w:t>/</w:t>
            </w:r>
          </w:p>
        </w:tc>
      </w:tr>
    </w:tbl>
    <w:p>
      <w:pPr>
        <w:pStyle w:val="4"/>
      </w:pPr>
      <w:bookmarkStart w:id="93" w:name="_Toc3538774"/>
      <w:bookmarkStart w:id="94" w:name="_Toc331536087"/>
      <w:bookmarkStart w:id="95" w:name="_Toc293409673"/>
      <w:r>
        <w:rPr>
          <w:rFonts w:hint="eastAsia"/>
        </w:rPr>
        <w:t>评价标准</w:t>
      </w:r>
      <w:bookmarkEnd w:id="93"/>
    </w:p>
    <w:p>
      <w:pPr>
        <w:pStyle w:val="5"/>
      </w:pPr>
      <w:r>
        <w:t>环境质量标准</w:t>
      </w:r>
      <w:bookmarkEnd w:id="94"/>
      <w:bookmarkEnd w:id="95"/>
    </w:p>
    <w:p>
      <w:pPr>
        <w:pStyle w:val="6"/>
      </w:pPr>
      <w:r>
        <w:t>地表水环境质量标准</w:t>
      </w:r>
    </w:p>
    <w:p>
      <w:pPr>
        <w:ind w:firstLine="480"/>
        <w:rPr>
          <w:rFonts w:cs="Times New Roman" w:eastAsiaTheme="minorEastAsia"/>
        </w:rPr>
      </w:pPr>
      <w:r>
        <w:rPr>
          <w:rFonts w:cs="Times New Roman" w:eastAsiaTheme="minorEastAsia"/>
        </w:rPr>
        <w:t>项目</w:t>
      </w:r>
      <w:r>
        <w:rPr>
          <w:rFonts w:hint="eastAsia" w:cs="Times New Roman" w:eastAsiaTheme="minorEastAsia"/>
        </w:rPr>
        <w:t>废水直接纳污水体为镇海水，镇海水</w:t>
      </w:r>
      <w:r>
        <w:rPr>
          <w:rFonts w:cs="Times New Roman" w:eastAsiaTheme="minorEastAsia"/>
        </w:rPr>
        <w:t>执行《地表水环境质量标准》（GB 3838-2002）III类标准；</w:t>
      </w:r>
      <w:r>
        <w:rPr>
          <w:rFonts w:hint="eastAsia" w:cs="Times New Roman" w:eastAsiaTheme="minorEastAsia"/>
        </w:rPr>
        <w:t>最终汇入潭江，</w:t>
      </w:r>
      <w:r>
        <w:rPr>
          <w:rFonts w:cs="Times New Roman" w:eastAsiaTheme="minorEastAsia"/>
        </w:rPr>
        <w:t>水质目标</w:t>
      </w:r>
      <w:r>
        <w:rPr>
          <w:rFonts w:hint="eastAsia" w:cs="Times New Roman" w:eastAsiaTheme="minorEastAsia"/>
        </w:rPr>
        <w:t>为II</w:t>
      </w:r>
      <w:r>
        <w:rPr>
          <w:rFonts w:cs="Times New Roman" w:eastAsiaTheme="minorEastAsia"/>
        </w:rPr>
        <w:t>类</w:t>
      </w:r>
      <w:r>
        <w:rPr>
          <w:rFonts w:hint="eastAsia" w:cs="Times New Roman" w:eastAsiaTheme="minorEastAsia"/>
        </w:rPr>
        <w:t>水质</w:t>
      </w:r>
      <w:r>
        <w:rPr>
          <w:rFonts w:cs="Times New Roman" w:eastAsiaTheme="minorEastAsia"/>
        </w:rPr>
        <w:t>，执行《地表水环境质量标准》（GB 3838-2002）</w:t>
      </w:r>
      <w:r>
        <w:rPr>
          <w:rFonts w:hint="eastAsia" w:cs="Times New Roman" w:eastAsiaTheme="minorEastAsia"/>
        </w:rPr>
        <w:t>II</w:t>
      </w:r>
      <w:r>
        <w:rPr>
          <w:rFonts w:cs="Times New Roman" w:eastAsiaTheme="minorEastAsia"/>
        </w:rPr>
        <w:t>类标准</w:t>
      </w:r>
      <w:r>
        <w:rPr>
          <w:rFonts w:hint="eastAsia" w:cs="Times New Roman" w:eastAsiaTheme="minorEastAsia"/>
        </w:rPr>
        <w:t>；</w:t>
      </w:r>
      <w:r>
        <w:rPr>
          <w:rFonts w:cs="Times New Roman" w:eastAsiaTheme="minorEastAsia"/>
        </w:rPr>
        <w:t>其中SS在《地表水环境质量标准》中没有环境标准值，参照执行《地表水资源质量标准》(SL63-94)中的</w:t>
      </w:r>
      <w:r>
        <w:rPr>
          <w:rFonts w:hint="eastAsia" w:cs="Times New Roman" w:eastAsiaTheme="minorEastAsia"/>
        </w:rPr>
        <w:t>第二级（适用于作集中式饮用水源地、鱼类生活区）：SS＝</w:t>
      </w:r>
      <w:r>
        <w:rPr>
          <w:rFonts w:cs="Times New Roman" w:eastAsiaTheme="minorEastAsia"/>
        </w:rPr>
        <w:t>25</w:t>
      </w:r>
      <w:r>
        <w:rPr>
          <w:rFonts w:hint="eastAsia" w:cs="Times New Roman" w:eastAsiaTheme="minorEastAsia"/>
        </w:rPr>
        <w:t>mg/</w:t>
      </w:r>
      <w:r>
        <w:rPr>
          <w:rFonts w:cs="Times New Roman" w:eastAsiaTheme="minorEastAsia"/>
        </w:rPr>
        <w:t>L</w:t>
      </w:r>
      <w:r>
        <w:rPr>
          <w:rFonts w:hint="eastAsia" w:cs="Times New Roman" w:eastAsiaTheme="minorEastAsia"/>
        </w:rPr>
        <w:t>；第三级（一般的工业用水和一般鱼类生活区，经处理后可满足最高一级的用途）：SS＝30mg/</w:t>
      </w:r>
      <w:r>
        <w:rPr>
          <w:rFonts w:cs="Times New Roman" w:eastAsiaTheme="minorEastAsia"/>
        </w:rPr>
        <w:t>L。</w:t>
      </w:r>
      <w:r>
        <w:rPr>
          <w:rFonts w:hint="eastAsia" w:cs="Times New Roman" w:eastAsiaTheme="minorEastAsia"/>
        </w:rPr>
        <w:t>具体水质标准值见下</w:t>
      </w:r>
      <w:r>
        <w:rPr>
          <w:rFonts w:cs="Times New Roman" w:eastAsiaTheme="minorEastAsia"/>
        </w:rPr>
        <w:fldChar w:fldCharType="begin"/>
      </w:r>
      <w:r>
        <w:rPr>
          <w:rFonts w:cs="Times New Roman" w:eastAsiaTheme="minorEastAsia"/>
        </w:rPr>
        <w:instrText xml:space="preserve"> </w:instrText>
      </w:r>
      <w:r>
        <w:rPr>
          <w:rFonts w:hint="eastAsia" w:cs="Times New Roman" w:eastAsiaTheme="minorEastAsia"/>
        </w:rPr>
        <w:instrText xml:space="preserve">REF _Ref522022535 \h</w:instrText>
      </w:r>
      <w:r>
        <w:rPr>
          <w:rFonts w:cs="Times New Roman" w:eastAsiaTheme="minorEastAsia"/>
        </w:rPr>
        <w:instrText xml:space="preserve">  \* MERGEFORMAT </w:instrText>
      </w:r>
      <w:r>
        <w:rPr>
          <w:rFonts w:cs="Times New Roman" w:eastAsiaTheme="minorEastAsia"/>
        </w:rPr>
        <w:fldChar w:fldCharType="separate"/>
      </w:r>
      <w:r>
        <w:rPr>
          <w:rFonts w:hint="eastAsia" w:eastAsiaTheme="minorEastAsia"/>
        </w:rPr>
        <w:t xml:space="preserve">表 </w:t>
      </w:r>
      <w:r>
        <w:rPr>
          <w:rFonts w:eastAsiaTheme="minorEastAsia"/>
        </w:rPr>
        <w:t>1.4</w:t>
      </w:r>
      <w:r>
        <w:rPr>
          <w:rFonts w:eastAsiaTheme="minorEastAsia"/>
        </w:rPr>
        <w:noBreakHyphen/>
      </w:r>
      <w:r>
        <w:rPr>
          <w:rFonts w:eastAsiaTheme="minorEastAsia"/>
        </w:rPr>
        <w:t>1</w:t>
      </w:r>
      <w:r>
        <w:rPr>
          <w:rFonts w:cs="Times New Roman" w:eastAsiaTheme="minorEastAsia"/>
        </w:rPr>
        <w:fldChar w:fldCharType="end"/>
      </w:r>
      <w:r>
        <w:rPr>
          <w:rFonts w:hint="eastAsia" w:cs="Times New Roman" w:eastAsiaTheme="minorEastAsia"/>
        </w:rPr>
        <w:t>所示。</w:t>
      </w:r>
    </w:p>
    <w:p>
      <w:pPr>
        <w:pStyle w:val="18"/>
      </w:pPr>
      <w:bookmarkStart w:id="96" w:name="_Ref522022535"/>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bookmarkEnd w:id="96"/>
      <w:r>
        <w:t xml:space="preserve"> </w:t>
      </w:r>
      <w:r>
        <w:rPr>
          <w:rFonts w:hint="eastAsia"/>
        </w:rPr>
        <w:t>地表水环境质量标准摘录（单位：mg/L）</w:t>
      </w:r>
    </w:p>
    <w:tbl>
      <w:tblPr>
        <w:tblStyle w:val="56"/>
        <w:tblW w:w="9060" w:type="dxa"/>
        <w:tblInd w:w="0" w:type="dxa"/>
        <w:tblLayout w:type="fixed"/>
        <w:tblCellMar>
          <w:top w:w="0" w:type="dxa"/>
          <w:left w:w="108" w:type="dxa"/>
          <w:bottom w:w="0" w:type="dxa"/>
          <w:right w:w="108" w:type="dxa"/>
        </w:tblCellMar>
      </w:tblPr>
      <w:tblGrid>
        <w:gridCol w:w="683"/>
        <w:gridCol w:w="2439"/>
        <w:gridCol w:w="431"/>
        <w:gridCol w:w="1823"/>
        <w:gridCol w:w="1823"/>
        <w:gridCol w:w="1861"/>
      </w:tblGrid>
      <w:tr>
        <w:tblPrEx>
          <w:tblLayout w:type="fixed"/>
          <w:tblCellMar>
            <w:top w:w="0" w:type="dxa"/>
            <w:left w:w="108" w:type="dxa"/>
            <w:bottom w:w="0" w:type="dxa"/>
            <w:right w:w="108" w:type="dxa"/>
          </w:tblCellMar>
        </w:tblPrEx>
        <w:trPr>
          <w:trHeight w:val="20" w:hRule="atLeast"/>
          <w:tblHeader/>
        </w:trPr>
        <w:tc>
          <w:tcPr>
            <w:tcW w:w="683"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b/>
                <w:bCs/>
                <w:color w:val="000000"/>
                <w:sz w:val="21"/>
                <w:szCs w:val="21"/>
              </w:rPr>
            </w:pPr>
            <w:r>
              <w:rPr>
                <w:rFonts w:hint="eastAsia" w:eastAsiaTheme="minorEastAsia"/>
                <w:b/>
                <w:bCs/>
                <w:color w:val="000000"/>
                <w:sz w:val="21"/>
                <w:szCs w:val="21"/>
              </w:rPr>
              <w:t>序号</w:t>
            </w:r>
          </w:p>
        </w:tc>
        <w:tc>
          <w:tcPr>
            <w:tcW w:w="2870" w:type="dxa"/>
            <w:gridSpan w:val="2"/>
            <w:tcBorders>
              <w:top w:val="single" w:color="auto" w:sz="4" w:space="0"/>
              <w:left w:val="nil"/>
              <w:bottom w:val="single" w:color="auto" w:sz="4" w:space="0"/>
              <w:right w:val="single" w:color="000000" w:sz="4" w:space="0"/>
            </w:tcBorders>
            <w:shd w:val="clear" w:color="auto" w:fill="D8D8D8" w:themeFill="background1" w:themeFillShade="D9"/>
            <w:vAlign w:val="center"/>
          </w:tcPr>
          <w:p>
            <w:pPr>
              <w:spacing w:line="240" w:lineRule="auto"/>
              <w:ind w:firstLine="0" w:firstLineChars="0"/>
              <w:jc w:val="center"/>
              <w:rPr>
                <w:rFonts w:eastAsiaTheme="minorEastAsia"/>
                <w:b/>
                <w:bCs/>
                <w:color w:val="000000"/>
                <w:sz w:val="21"/>
                <w:szCs w:val="21"/>
              </w:rPr>
            </w:pPr>
            <w:r>
              <w:rPr>
                <w:rFonts w:hint="eastAsia" w:eastAsiaTheme="minorEastAsia"/>
                <w:b/>
                <w:bCs/>
                <w:color w:val="000000"/>
                <w:sz w:val="21"/>
                <w:szCs w:val="21"/>
              </w:rPr>
              <w:t>项目</w:t>
            </w:r>
          </w:p>
        </w:tc>
        <w:tc>
          <w:tcPr>
            <w:tcW w:w="1823"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cs="Times New Roman" w:eastAsiaTheme="minorEastAsia"/>
                <w:b/>
                <w:bCs/>
                <w:color w:val="000000"/>
                <w:sz w:val="21"/>
                <w:szCs w:val="21"/>
              </w:rPr>
            </w:pPr>
            <w:r>
              <w:rPr>
                <w:rFonts w:cs="Times New Roman" w:eastAsiaTheme="minorEastAsia"/>
                <w:b/>
                <w:bCs/>
                <w:color w:val="000000"/>
                <w:sz w:val="21"/>
                <w:szCs w:val="21"/>
              </w:rPr>
              <w:t>II</w:t>
            </w:r>
            <w:r>
              <w:rPr>
                <w:rFonts w:hint="eastAsia" w:cs="Times New Roman" w:eastAsiaTheme="minorEastAsia"/>
                <w:b/>
                <w:bCs/>
                <w:color w:val="000000"/>
                <w:sz w:val="21"/>
                <w:szCs w:val="21"/>
              </w:rPr>
              <w:t>类标准值</w:t>
            </w:r>
          </w:p>
        </w:tc>
        <w:tc>
          <w:tcPr>
            <w:tcW w:w="1823"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cs="Times New Roman" w:eastAsiaTheme="minorEastAsia"/>
                <w:b/>
                <w:bCs/>
                <w:color w:val="000000"/>
                <w:sz w:val="21"/>
                <w:szCs w:val="21"/>
              </w:rPr>
            </w:pPr>
            <w:r>
              <w:rPr>
                <w:rFonts w:cs="Times New Roman" w:eastAsiaTheme="minorEastAsia"/>
                <w:b/>
                <w:bCs/>
                <w:color w:val="000000"/>
                <w:sz w:val="21"/>
                <w:szCs w:val="21"/>
              </w:rPr>
              <w:t>III</w:t>
            </w:r>
            <w:r>
              <w:rPr>
                <w:rFonts w:hint="eastAsia" w:cs="Times New Roman" w:eastAsiaTheme="minorEastAsia"/>
                <w:b/>
                <w:bCs/>
                <w:color w:val="000000"/>
                <w:sz w:val="21"/>
                <w:szCs w:val="21"/>
              </w:rPr>
              <w:t>类标准值</w:t>
            </w:r>
          </w:p>
        </w:tc>
        <w:tc>
          <w:tcPr>
            <w:tcW w:w="1861"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b/>
                <w:bCs/>
                <w:color w:val="000000"/>
                <w:sz w:val="21"/>
                <w:szCs w:val="21"/>
              </w:rPr>
            </w:pPr>
            <w:r>
              <w:rPr>
                <w:rFonts w:hint="eastAsia" w:eastAsiaTheme="minorEastAsia"/>
                <w:b/>
                <w:bCs/>
                <w:color w:val="000000"/>
                <w:sz w:val="21"/>
                <w:szCs w:val="21"/>
              </w:rPr>
              <w:t>选用标准</w:t>
            </w: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nil"/>
              <w:right w:val="single" w:color="auto" w:sz="4" w:space="0"/>
            </w:tcBorders>
            <w:shd w:val="clear" w:color="auto" w:fill="auto"/>
            <w:vAlign w:val="center"/>
          </w:tcPr>
          <w:p>
            <w:pPr>
              <w:spacing w:line="240" w:lineRule="auto"/>
              <w:ind w:firstLine="0" w:firstLineChars="0"/>
              <w:jc w:val="center"/>
              <w:rPr>
                <w:rFonts w:eastAsiaTheme="minorEastAsia"/>
                <w:color w:val="000000"/>
                <w:sz w:val="22"/>
                <w:szCs w:val="22"/>
              </w:rPr>
            </w:pPr>
            <w:r>
              <w:rPr>
                <w:rFonts w:hint="eastAsia" w:eastAsiaTheme="minorEastAsia"/>
                <w:color w:val="000000"/>
                <w:sz w:val="22"/>
                <w:szCs w:val="22"/>
              </w:rPr>
              <w:t>1</w:t>
            </w:r>
          </w:p>
        </w:tc>
        <w:tc>
          <w:tcPr>
            <w:tcW w:w="2439" w:type="dxa"/>
            <w:tcBorders>
              <w:top w:val="nil"/>
              <w:left w:val="nil"/>
              <w:bottom w:val="nil"/>
              <w:right w:val="nil"/>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水温（</w:t>
            </w:r>
            <w:r>
              <w:rPr>
                <w:rFonts w:hint="eastAsia" w:cs="微软雅黑" w:eastAsiaTheme="minorEastAsia"/>
                <w:color w:val="000000"/>
                <w:sz w:val="21"/>
                <w:szCs w:val="21"/>
              </w:rPr>
              <w:t>℃</w:t>
            </w:r>
            <w:r>
              <w:rPr>
                <w:rFonts w:hint="eastAsia" w:eastAsiaTheme="minorEastAsia"/>
                <w:color w:val="000000"/>
                <w:sz w:val="21"/>
                <w:szCs w:val="21"/>
              </w:rPr>
              <w:t>）</w:t>
            </w:r>
          </w:p>
        </w:tc>
        <w:tc>
          <w:tcPr>
            <w:tcW w:w="431" w:type="dxa"/>
            <w:tcBorders>
              <w:top w:val="nil"/>
              <w:left w:val="nil"/>
              <w:bottom w:val="nil"/>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p>
        </w:tc>
        <w:tc>
          <w:tcPr>
            <w:tcW w:w="3646"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人为造成的环境水温变化应限制在：</w:t>
            </w:r>
          </w:p>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周平均最大温升≤1</w:t>
            </w:r>
          </w:p>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周平均最大温降≤2</w:t>
            </w:r>
          </w:p>
        </w:tc>
        <w:tc>
          <w:tcPr>
            <w:tcW w:w="1861"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cs="Times New Roman" w:eastAsiaTheme="minorEastAsia"/>
                <w:color w:val="000000"/>
                <w:sz w:val="21"/>
                <w:szCs w:val="21"/>
              </w:rPr>
              <w:t>GB 3838-2002 II</w:t>
            </w:r>
            <w:r>
              <w:rPr>
                <w:rFonts w:hint="eastAsia" w:eastAsiaTheme="minorEastAsia"/>
                <w:color w:val="000000"/>
                <w:sz w:val="21"/>
                <w:szCs w:val="21"/>
              </w:rPr>
              <w:t>类、</w:t>
            </w:r>
            <w:r>
              <w:rPr>
                <w:rFonts w:cs="Times New Roman" w:eastAsiaTheme="minorEastAsia"/>
                <w:color w:val="000000"/>
                <w:sz w:val="21"/>
                <w:szCs w:val="21"/>
              </w:rPr>
              <w:t>III</w:t>
            </w:r>
            <w:r>
              <w:rPr>
                <w:rFonts w:hint="eastAsia" w:eastAsiaTheme="minorEastAsia"/>
                <w:color w:val="000000"/>
                <w:sz w:val="21"/>
                <w:szCs w:val="21"/>
              </w:rPr>
              <w:t>类标准</w:t>
            </w:r>
          </w:p>
        </w:tc>
      </w:tr>
      <w:tr>
        <w:tblPrEx>
          <w:tblLayout w:type="fixed"/>
          <w:tblCellMar>
            <w:top w:w="0" w:type="dxa"/>
            <w:left w:w="108" w:type="dxa"/>
            <w:bottom w:w="0" w:type="dxa"/>
            <w:right w:w="108" w:type="dxa"/>
          </w:tblCellMar>
        </w:tblPrEx>
        <w:trPr>
          <w:trHeight w:val="20" w:hRule="atLeast"/>
        </w:trPr>
        <w:tc>
          <w:tcPr>
            <w:tcW w:w="683"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2"/>
                <w:szCs w:val="22"/>
              </w:rPr>
            </w:pPr>
            <w:r>
              <w:rPr>
                <w:rFonts w:hint="eastAsia" w:eastAsiaTheme="minorEastAsia"/>
                <w:color w:val="000000"/>
                <w:sz w:val="22"/>
                <w:szCs w:val="22"/>
              </w:rPr>
              <w:t>2</w:t>
            </w:r>
          </w:p>
        </w:tc>
        <w:tc>
          <w:tcPr>
            <w:tcW w:w="2870" w:type="dxa"/>
            <w:gridSpan w:val="2"/>
            <w:tcBorders>
              <w:top w:val="single" w:color="auto" w:sz="4" w:space="0"/>
              <w:left w:val="nil"/>
              <w:bottom w:val="single" w:color="auto" w:sz="4" w:space="0"/>
              <w:right w:val="single" w:color="000000" w:sz="4" w:space="0"/>
            </w:tcBorders>
            <w:shd w:val="clear" w:color="auto" w:fill="auto"/>
            <w:vAlign w:val="center"/>
          </w:tcPr>
          <w:p>
            <w:pPr>
              <w:spacing w:line="240" w:lineRule="auto"/>
              <w:ind w:firstLine="0" w:firstLineChars="0"/>
              <w:rPr>
                <w:rFonts w:cs="Times New Roman" w:eastAsiaTheme="minorEastAsia"/>
                <w:color w:val="000000"/>
                <w:sz w:val="21"/>
                <w:szCs w:val="21"/>
              </w:rPr>
            </w:pPr>
            <w:r>
              <w:rPr>
                <w:rFonts w:cs="Times New Roman" w:eastAsiaTheme="minorEastAsia"/>
                <w:color w:val="000000"/>
                <w:sz w:val="21"/>
                <w:szCs w:val="21"/>
              </w:rPr>
              <w:t>pH</w:t>
            </w:r>
            <w:r>
              <w:rPr>
                <w:rFonts w:hint="eastAsia" w:cs="Times New Roman" w:eastAsiaTheme="minorEastAsia"/>
                <w:color w:val="000000"/>
                <w:sz w:val="21"/>
                <w:szCs w:val="21"/>
              </w:rPr>
              <w:t>（无量纲）</w:t>
            </w:r>
          </w:p>
        </w:tc>
        <w:tc>
          <w:tcPr>
            <w:tcW w:w="3646"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6~9</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2"/>
                <w:szCs w:val="22"/>
              </w:rPr>
            </w:pPr>
            <w:r>
              <w:rPr>
                <w:rFonts w:hint="eastAsia" w:eastAsiaTheme="minorEastAsia"/>
                <w:color w:val="000000"/>
                <w:sz w:val="22"/>
                <w:szCs w:val="22"/>
              </w:rPr>
              <w:t>3</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溶解氧</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w:t>
            </w:r>
          </w:p>
        </w:tc>
        <w:tc>
          <w:tcPr>
            <w:tcW w:w="1823" w:type="dxa"/>
            <w:tcBorders>
              <w:top w:val="single" w:color="auto" w:sz="4" w:space="0"/>
              <w:left w:val="nil"/>
              <w:bottom w:val="single" w:color="auto" w:sz="4" w:space="0"/>
              <w:right w:val="nil"/>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6</w:t>
            </w:r>
          </w:p>
        </w:tc>
        <w:tc>
          <w:tcPr>
            <w:tcW w:w="1823"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5</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2"/>
                <w:szCs w:val="22"/>
              </w:rPr>
            </w:pPr>
            <w:r>
              <w:rPr>
                <w:rFonts w:hint="eastAsia" w:eastAsiaTheme="minorEastAsia"/>
                <w:color w:val="000000"/>
                <w:sz w:val="22"/>
                <w:szCs w:val="22"/>
              </w:rPr>
              <w:t>4</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化学需氧量</w:t>
            </w:r>
            <w:r>
              <w:rPr>
                <w:rFonts w:cs="Times New Roman" w:eastAsiaTheme="minorEastAsia"/>
                <w:color w:val="000000"/>
                <w:sz w:val="21"/>
                <w:szCs w:val="21"/>
              </w:rPr>
              <w:t>(COD</w:t>
            </w:r>
            <w:r>
              <w:rPr>
                <w:rFonts w:cs="Times New Roman" w:eastAsiaTheme="minorEastAsia"/>
                <w:color w:val="000000"/>
                <w:sz w:val="21"/>
                <w:szCs w:val="21"/>
                <w:vertAlign w:val="subscript"/>
              </w:rPr>
              <w:t>Cr</w:t>
            </w:r>
            <w:r>
              <w:rPr>
                <w:rFonts w:cs="Times New Roman" w:eastAsiaTheme="minorEastAsia"/>
                <w:color w:val="000000"/>
                <w:sz w:val="21"/>
                <w:szCs w:val="21"/>
              </w:rPr>
              <w:t>)</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lang w:val="en-GB"/>
              </w:rPr>
              <w:t>15</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20</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2"/>
                <w:szCs w:val="22"/>
              </w:rPr>
            </w:pPr>
            <w:r>
              <w:rPr>
                <w:rFonts w:hint="eastAsia" w:eastAsiaTheme="minorEastAsia"/>
                <w:color w:val="000000"/>
                <w:sz w:val="22"/>
                <w:szCs w:val="22"/>
              </w:rPr>
              <w:t>5</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五日生化需氧量</w:t>
            </w:r>
            <w:r>
              <w:rPr>
                <w:rFonts w:cs="Times New Roman" w:eastAsiaTheme="minorEastAsia"/>
                <w:color w:val="000000"/>
                <w:sz w:val="21"/>
                <w:szCs w:val="21"/>
              </w:rPr>
              <w:t>(BOD</w:t>
            </w:r>
            <w:r>
              <w:rPr>
                <w:rFonts w:cs="Times New Roman" w:eastAsiaTheme="minorEastAsia"/>
                <w:color w:val="000000"/>
                <w:sz w:val="21"/>
                <w:szCs w:val="21"/>
                <w:vertAlign w:val="subscript"/>
              </w:rPr>
              <w:t>5</w:t>
            </w:r>
            <w:r>
              <w:rPr>
                <w:rFonts w:cs="Times New Roman" w:eastAsiaTheme="minorEastAsia"/>
                <w:color w:val="000000"/>
                <w:sz w:val="21"/>
                <w:szCs w:val="21"/>
              </w:rPr>
              <w:t>)</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lang w:val="en-GB"/>
              </w:rPr>
              <w:t>3</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4</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2"/>
                <w:szCs w:val="22"/>
              </w:rPr>
            </w:pPr>
            <w:r>
              <w:rPr>
                <w:rFonts w:hint="eastAsia" w:eastAsiaTheme="minorEastAsia"/>
                <w:color w:val="000000"/>
                <w:sz w:val="22"/>
                <w:szCs w:val="22"/>
              </w:rPr>
              <w:t>6</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氨氮（NH</w:t>
            </w:r>
            <w:r>
              <w:rPr>
                <w:rFonts w:hint="eastAsia" w:eastAsiaTheme="minorEastAsia"/>
                <w:color w:val="000000"/>
                <w:sz w:val="21"/>
                <w:szCs w:val="21"/>
                <w:vertAlign w:val="subscript"/>
              </w:rPr>
              <w:t>3</w:t>
            </w:r>
            <w:r>
              <w:rPr>
                <w:rFonts w:hint="eastAsia" w:eastAsiaTheme="minorEastAsia"/>
                <w:color w:val="000000"/>
                <w:sz w:val="21"/>
                <w:szCs w:val="21"/>
              </w:rPr>
              <w:t>-N）</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0.5</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1.0</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2"/>
                <w:szCs w:val="22"/>
              </w:rPr>
            </w:pPr>
            <w:r>
              <w:rPr>
                <w:rFonts w:hint="eastAsia" w:eastAsiaTheme="minorEastAsia"/>
                <w:color w:val="000000"/>
                <w:sz w:val="22"/>
                <w:szCs w:val="22"/>
              </w:rPr>
              <w:t>7</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总磷</w:t>
            </w:r>
            <w:r>
              <w:rPr>
                <w:rFonts w:cs="Times New Roman" w:eastAsiaTheme="minorEastAsia"/>
                <w:color w:val="000000"/>
                <w:sz w:val="21"/>
                <w:szCs w:val="21"/>
              </w:rPr>
              <w:t>(</w:t>
            </w:r>
            <w:r>
              <w:rPr>
                <w:rFonts w:hint="eastAsia" w:eastAsiaTheme="minorEastAsia"/>
                <w:color w:val="000000"/>
                <w:sz w:val="21"/>
                <w:szCs w:val="21"/>
              </w:rPr>
              <w:t>以</w:t>
            </w:r>
            <w:r>
              <w:rPr>
                <w:rFonts w:cs="Times New Roman" w:eastAsiaTheme="minorEastAsia"/>
                <w:color w:val="000000"/>
                <w:sz w:val="21"/>
                <w:szCs w:val="21"/>
              </w:rPr>
              <w:t>P</w:t>
            </w:r>
            <w:r>
              <w:rPr>
                <w:rFonts w:hint="eastAsia" w:eastAsiaTheme="minorEastAsia"/>
                <w:color w:val="000000"/>
                <w:sz w:val="21"/>
                <w:szCs w:val="21"/>
              </w:rPr>
              <w:t>计</w:t>
            </w:r>
            <w:r>
              <w:rPr>
                <w:rFonts w:cs="Times New Roman" w:eastAsiaTheme="minorEastAsia"/>
                <w:color w:val="000000"/>
                <w:sz w:val="21"/>
                <w:szCs w:val="21"/>
              </w:rPr>
              <w:t>)</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0.1</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0.2</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2"/>
                <w:szCs w:val="22"/>
              </w:rPr>
            </w:pPr>
            <w:r>
              <w:rPr>
                <w:rFonts w:hint="eastAsia" w:eastAsiaTheme="minorEastAsia"/>
                <w:color w:val="000000"/>
                <w:sz w:val="22"/>
                <w:szCs w:val="22"/>
              </w:rPr>
              <w:t>8</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总氮(湖、库，以N计)</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0.5</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1.0</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2"/>
                <w:szCs w:val="22"/>
              </w:rPr>
            </w:pPr>
            <w:r>
              <w:rPr>
                <w:rFonts w:hint="eastAsia" w:eastAsiaTheme="minorEastAsia"/>
                <w:color w:val="000000"/>
                <w:sz w:val="22"/>
                <w:szCs w:val="22"/>
              </w:rPr>
              <w:t>9</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挥发酚</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0.002</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0.005</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2"/>
                <w:szCs w:val="22"/>
              </w:rPr>
            </w:pPr>
            <w:r>
              <w:rPr>
                <w:rFonts w:hint="eastAsia" w:eastAsiaTheme="minorEastAsia"/>
                <w:color w:val="000000"/>
                <w:sz w:val="22"/>
                <w:szCs w:val="22"/>
              </w:rPr>
              <w:t>10</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石油类</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0.05</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0.05</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2"/>
                <w:szCs w:val="22"/>
              </w:rPr>
            </w:pPr>
            <w:r>
              <w:rPr>
                <w:rFonts w:hint="eastAsia" w:eastAsiaTheme="minorEastAsia"/>
                <w:color w:val="000000"/>
                <w:sz w:val="22"/>
                <w:szCs w:val="22"/>
              </w:rPr>
              <w:t>11</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cs="Times New Roman" w:eastAsiaTheme="minorEastAsia"/>
                <w:color w:val="000000"/>
                <w:sz w:val="21"/>
                <w:szCs w:val="21"/>
              </w:rPr>
            </w:pPr>
            <w:r>
              <w:rPr>
                <w:rFonts w:cs="Times New Roman" w:eastAsiaTheme="minorEastAsia"/>
                <w:color w:val="000000"/>
                <w:sz w:val="21"/>
                <w:szCs w:val="21"/>
              </w:rPr>
              <w:t>LAS</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w:t>
            </w:r>
          </w:p>
        </w:tc>
        <w:tc>
          <w:tcPr>
            <w:tcW w:w="1823"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0.2</w:t>
            </w:r>
          </w:p>
        </w:tc>
        <w:tc>
          <w:tcPr>
            <w:tcW w:w="1823"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0.2</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2"/>
                <w:szCs w:val="22"/>
              </w:rPr>
            </w:pPr>
            <w:r>
              <w:rPr>
                <w:rFonts w:hint="eastAsia" w:eastAsiaTheme="minorEastAsia"/>
                <w:color w:val="000000"/>
                <w:sz w:val="22"/>
                <w:szCs w:val="22"/>
              </w:rPr>
              <w:t>12</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硫化物</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0.1</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0.2</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2"/>
                <w:szCs w:val="22"/>
              </w:rPr>
            </w:pPr>
            <w:r>
              <w:rPr>
                <w:rFonts w:hint="eastAsia" w:eastAsiaTheme="minorEastAsia"/>
                <w:color w:val="000000"/>
                <w:sz w:val="22"/>
                <w:szCs w:val="22"/>
              </w:rPr>
              <w:t>13</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粪大肠菌群（个/L）</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2000</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10000</w:t>
            </w:r>
          </w:p>
        </w:tc>
        <w:tc>
          <w:tcPr>
            <w:tcW w:w="1861"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sz w:val="21"/>
                <w:szCs w:val="21"/>
              </w:rPr>
            </w:pPr>
          </w:p>
        </w:tc>
      </w:tr>
      <w:tr>
        <w:tblPrEx>
          <w:tblLayout w:type="fixed"/>
          <w:tblCellMar>
            <w:top w:w="0" w:type="dxa"/>
            <w:left w:w="108" w:type="dxa"/>
            <w:bottom w:w="0" w:type="dxa"/>
            <w:right w:w="108" w:type="dxa"/>
          </w:tblCellMar>
        </w:tblPrEx>
        <w:trPr>
          <w:trHeight w:val="20" w:hRule="atLeast"/>
        </w:trPr>
        <w:tc>
          <w:tcPr>
            <w:tcW w:w="68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2"/>
                <w:szCs w:val="22"/>
              </w:rPr>
            </w:pPr>
            <w:r>
              <w:rPr>
                <w:rFonts w:hint="eastAsia" w:eastAsiaTheme="minorEastAsia"/>
                <w:color w:val="000000"/>
                <w:sz w:val="22"/>
                <w:szCs w:val="22"/>
              </w:rPr>
              <w:t>14</w:t>
            </w:r>
          </w:p>
        </w:tc>
        <w:tc>
          <w:tcPr>
            <w:tcW w:w="2439" w:type="dxa"/>
            <w:tcBorders>
              <w:top w:val="nil"/>
              <w:left w:val="nil"/>
              <w:bottom w:val="single" w:color="auto" w:sz="4" w:space="0"/>
              <w:right w:val="nil"/>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悬浮物（</w:t>
            </w:r>
            <w:r>
              <w:rPr>
                <w:rFonts w:cs="Times New Roman" w:eastAsiaTheme="minorEastAsia"/>
                <w:color w:val="000000"/>
                <w:sz w:val="21"/>
                <w:szCs w:val="21"/>
              </w:rPr>
              <w:t>SS</w:t>
            </w:r>
            <w:r>
              <w:rPr>
                <w:rFonts w:hint="eastAsia" w:eastAsiaTheme="minorEastAsia"/>
                <w:color w:val="000000"/>
                <w:sz w:val="21"/>
                <w:szCs w:val="21"/>
              </w:rPr>
              <w:t>）</w:t>
            </w:r>
          </w:p>
        </w:tc>
        <w:tc>
          <w:tcPr>
            <w:tcW w:w="43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w:t>
            </w:r>
          </w:p>
        </w:tc>
        <w:tc>
          <w:tcPr>
            <w:tcW w:w="1823" w:type="dxa"/>
            <w:tcBorders>
              <w:top w:val="nil"/>
              <w:left w:val="nil"/>
              <w:bottom w:val="single" w:color="auto" w:sz="4" w:space="0"/>
              <w:right w:val="nil"/>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25</w:t>
            </w:r>
          </w:p>
        </w:tc>
        <w:tc>
          <w:tcPr>
            <w:tcW w:w="1823"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cs="Times New Roman" w:eastAsiaTheme="minorEastAsia"/>
                <w:color w:val="000000"/>
                <w:sz w:val="21"/>
                <w:szCs w:val="21"/>
              </w:rPr>
            </w:pPr>
            <w:r>
              <w:rPr>
                <w:rFonts w:cs="Times New Roman" w:eastAsiaTheme="minorEastAsia"/>
                <w:color w:val="000000"/>
                <w:sz w:val="21"/>
                <w:szCs w:val="21"/>
              </w:rPr>
              <w:t>30</w:t>
            </w:r>
          </w:p>
        </w:tc>
        <w:tc>
          <w:tcPr>
            <w:tcW w:w="1861"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cs="Times New Roman" w:eastAsiaTheme="minorEastAsia"/>
                <w:color w:val="000000"/>
                <w:sz w:val="21"/>
                <w:szCs w:val="21"/>
              </w:rPr>
              <w:t>SL63-94</w:t>
            </w:r>
            <w:r>
              <w:rPr>
                <w:rFonts w:hint="eastAsia" w:eastAsiaTheme="minorEastAsia"/>
                <w:color w:val="000000"/>
                <w:sz w:val="21"/>
                <w:szCs w:val="21"/>
              </w:rPr>
              <w:t>二、三级标准</w:t>
            </w:r>
          </w:p>
        </w:tc>
      </w:tr>
    </w:tbl>
    <w:p>
      <w:pPr>
        <w:pStyle w:val="6"/>
      </w:pPr>
      <w:r>
        <w:t>地下水质量标准</w:t>
      </w:r>
    </w:p>
    <w:p>
      <w:pPr>
        <w:ind w:firstLine="480"/>
        <w:rPr>
          <w:rFonts w:eastAsiaTheme="minorEastAsia"/>
        </w:rPr>
      </w:pPr>
      <w:r>
        <w:rPr>
          <w:rFonts w:hint="eastAsia" w:eastAsiaTheme="minorEastAsia"/>
        </w:rPr>
        <w:t>根据《广东省地下水功能区划》，项目所在区域属于</w:t>
      </w:r>
      <w:r>
        <w:rPr>
          <w:rFonts w:cs="Times New Roman" w:eastAsiaTheme="minorEastAsia"/>
        </w:rPr>
        <w:t>珠江三角洲</w:t>
      </w:r>
      <w:r>
        <w:rPr>
          <w:rFonts w:hint="eastAsia" w:cs="Times New Roman" w:eastAsiaTheme="minorEastAsia"/>
        </w:rPr>
        <w:t>江门恩平开平地下水水源涵养区（</w:t>
      </w:r>
      <w:r>
        <w:rPr>
          <w:rFonts w:cs="Times New Roman" w:eastAsiaTheme="minorEastAsia"/>
        </w:rPr>
        <w:t>H074407002T02</w:t>
      </w:r>
      <w:r>
        <w:rPr>
          <w:rFonts w:hint="eastAsia" w:cs="Times New Roman" w:eastAsiaTheme="minorEastAsia"/>
        </w:rPr>
        <w:t>）</w:t>
      </w:r>
      <w:r>
        <w:rPr>
          <w:rFonts w:hint="eastAsia" w:eastAsiaTheme="minorEastAsia"/>
        </w:rPr>
        <w:t>，</w:t>
      </w:r>
      <w:r>
        <w:rPr>
          <w:rFonts w:hint="eastAsia" w:cs="Times New Roman" w:eastAsiaTheme="minorEastAsia"/>
        </w:rPr>
        <w:t>水质</w:t>
      </w:r>
      <w:r>
        <w:rPr>
          <w:rFonts w:cs="Times New Roman" w:eastAsiaTheme="minorEastAsia"/>
        </w:rPr>
        <w:t>保护目标为</w:t>
      </w:r>
      <w:r>
        <w:rPr>
          <w:rFonts w:hint="eastAsia" w:cs="Times New Roman" w:eastAsiaTheme="minorEastAsia"/>
        </w:rPr>
        <w:t>III类，</w:t>
      </w:r>
      <w:r>
        <w:rPr>
          <w:rFonts w:hint="eastAsia" w:eastAsiaTheme="minorEastAsia"/>
        </w:rPr>
        <w:t>执行</w:t>
      </w:r>
      <w:r>
        <w:rPr>
          <w:rFonts w:hint="eastAsia" w:cs="Times New Roman" w:eastAsiaTheme="minorEastAsia"/>
        </w:rPr>
        <w:t>《地下水质量标准》（</w:t>
      </w:r>
      <w:r>
        <w:rPr>
          <w:rFonts w:cs="Times New Roman" w:eastAsiaTheme="minorEastAsia"/>
        </w:rPr>
        <w:t>GB/T 14848-2017</w:t>
      </w:r>
      <w:r>
        <w:rPr>
          <w:rFonts w:hint="eastAsia" w:cs="Times New Roman" w:eastAsiaTheme="minorEastAsia"/>
        </w:rPr>
        <w:t>）</w:t>
      </w:r>
      <w:r>
        <w:rPr>
          <w:rFonts w:cs="Times New Roman" w:eastAsiaTheme="minorEastAsia"/>
        </w:rPr>
        <w:t>III</w:t>
      </w:r>
      <w:r>
        <w:rPr>
          <w:rFonts w:hint="eastAsia" w:eastAsiaTheme="minorEastAsia"/>
        </w:rPr>
        <w:t>类标准。</w:t>
      </w:r>
      <w:r>
        <w:rPr>
          <w:rFonts w:cs="Times New Roman" w:eastAsiaTheme="minorEastAsia"/>
        </w:rPr>
        <w:t>具体标准</w:t>
      </w:r>
      <w:r>
        <w:rPr>
          <w:rFonts w:hint="eastAsia" w:cs="Times New Roman" w:eastAsiaTheme="minorEastAsia"/>
        </w:rPr>
        <w:t>限</w:t>
      </w:r>
      <w:r>
        <w:rPr>
          <w:rFonts w:cs="Times New Roman" w:eastAsiaTheme="minorEastAsia"/>
        </w:rPr>
        <w:t>值见</w:t>
      </w:r>
      <w:r>
        <w:rPr>
          <w:rFonts w:cs="Times New Roman" w:eastAsiaTheme="minorEastAsia"/>
        </w:rPr>
        <w:fldChar w:fldCharType="begin"/>
      </w:r>
      <w:r>
        <w:rPr>
          <w:rFonts w:cs="Times New Roman" w:eastAsiaTheme="minorEastAsia"/>
        </w:rPr>
        <w:instrText xml:space="preserve"> REF _Ref522029834 \h  \* MERGEFORMAT </w:instrText>
      </w:r>
      <w:r>
        <w:rPr>
          <w:rFonts w:cs="Times New Roman" w:eastAsiaTheme="minorEastAsia"/>
        </w:rPr>
        <w:fldChar w:fldCharType="separate"/>
      </w:r>
      <w:r>
        <w:rPr>
          <w:rFonts w:hint="eastAsia" w:eastAsiaTheme="minorEastAsia"/>
        </w:rPr>
        <w:t xml:space="preserve">表 </w:t>
      </w:r>
      <w:r>
        <w:rPr>
          <w:rFonts w:eastAsiaTheme="minorEastAsia"/>
        </w:rPr>
        <w:t>1.4</w:t>
      </w:r>
      <w:r>
        <w:rPr>
          <w:rFonts w:eastAsiaTheme="minorEastAsia"/>
        </w:rPr>
        <w:noBreakHyphen/>
      </w:r>
      <w:r>
        <w:rPr>
          <w:rFonts w:eastAsiaTheme="minorEastAsia"/>
        </w:rPr>
        <w:t>2</w:t>
      </w:r>
      <w:r>
        <w:rPr>
          <w:rFonts w:cs="Times New Roman" w:eastAsiaTheme="minorEastAsia"/>
        </w:rPr>
        <w:fldChar w:fldCharType="end"/>
      </w:r>
      <w:r>
        <w:rPr>
          <w:rFonts w:hint="eastAsia" w:eastAsiaTheme="minorEastAsia"/>
        </w:rPr>
        <w:t>。</w:t>
      </w:r>
    </w:p>
    <w:p>
      <w:pPr>
        <w:pStyle w:val="18"/>
      </w:pPr>
      <w:bookmarkStart w:id="97" w:name="_Ref522029834"/>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bookmarkEnd w:id="97"/>
      <w:r>
        <w:rPr>
          <w:rFonts w:hint="eastAsia"/>
        </w:rPr>
        <w:t>《地下水质量标准》（GB/T 14848-2017）摘录</w:t>
      </w:r>
    </w:p>
    <w:tbl>
      <w:tblPr>
        <w:tblStyle w:val="56"/>
        <w:tblW w:w="8960" w:type="dxa"/>
        <w:tblInd w:w="108" w:type="dxa"/>
        <w:tblLayout w:type="fixed"/>
        <w:tblCellMar>
          <w:top w:w="0" w:type="dxa"/>
          <w:left w:w="108" w:type="dxa"/>
          <w:bottom w:w="0" w:type="dxa"/>
          <w:right w:w="108" w:type="dxa"/>
        </w:tblCellMar>
      </w:tblPr>
      <w:tblGrid>
        <w:gridCol w:w="1060"/>
        <w:gridCol w:w="4100"/>
        <w:gridCol w:w="2140"/>
        <w:gridCol w:w="1660"/>
      </w:tblGrid>
      <w:tr>
        <w:tblPrEx>
          <w:tblLayout w:type="fixed"/>
          <w:tblCellMar>
            <w:top w:w="0" w:type="dxa"/>
            <w:left w:w="108" w:type="dxa"/>
            <w:bottom w:w="0" w:type="dxa"/>
            <w:right w:w="108" w:type="dxa"/>
          </w:tblCellMar>
        </w:tblPrEx>
        <w:trPr>
          <w:trHeight w:val="315" w:hRule="atLeast"/>
        </w:trPr>
        <w:tc>
          <w:tcPr>
            <w:tcW w:w="1060"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序号</w:t>
            </w:r>
          </w:p>
        </w:tc>
        <w:tc>
          <w:tcPr>
            <w:tcW w:w="4100"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地下水质量常规指标</w:t>
            </w:r>
          </w:p>
        </w:tc>
        <w:tc>
          <w:tcPr>
            <w:tcW w:w="2140"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Ⅲ类标准限值</w:t>
            </w:r>
          </w:p>
        </w:tc>
        <w:tc>
          <w:tcPr>
            <w:tcW w:w="1660"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单位</w:t>
            </w:r>
          </w:p>
        </w:tc>
      </w:tr>
      <w:tr>
        <w:tblPrEx>
          <w:tblLayout w:type="fixed"/>
          <w:tblCellMar>
            <w:top w:w="0" w:type="dxa"/>
            <w:left w:w="108" w:type="dxa"/>
            <w:bottom w:w="0" w:type="dxa"/>
            <w:right w:w="108" w:type="dxa"/>
          </w:tblCellMar>
        </w:tblPrEx>
        <w:trPr>
          <w:trHeight w:val="52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cs="Times New Roman"/>
              </w:rPr>
            </w:pPr>
            <w:r>
              <w:rPr>
                <w:rFonts w:cs="Times New Roman"/>
              </w:rPr>
              <w:t>1</w:t>
            </w:r>
          </w:p>
        </w:tc>
        <w:tc>
          <w:tcPr>
            <w:tcW w:w="4100" w:type="dxa"/>
            <w:tcBorders>
              <w:top w:val="nil"/>
              <w:left w:val="nil"/>
              <w:bottom w:val="single" w:color="auto" w:sz="4" w:space="0"/>
              <w:right w:val="single" w:color="auto" w:sz="4" w:space="0"/>
            </w:tcBorders>
            <w:shd w:val="clear" w:color="auto" w:fill="auto"/>
            <w:vAlign w:val="center"/>
          </w:tcPr>
          <w:p>
            <w:pPr>
              <w:pStyle w:val="107"/>
              <w:rPr>
                <w:rFonts w:cs="Arial"/>
              </w:rPr>
            </w:pPr>
            <w:r>
              <w:rPr>
                <w:rFonts w:cs="Arial"/>
              </w:rPr>
              <w:t>pH</w:t>
            </w:r>
          </w:p>
        </w:tc>
        <w:tc>
          <w:tcPr>
            <w:tcW w:w="2140" w:type="dxa"/>
            <w:tcBorders>
              <w:top w:val="nil"/>
              <w:left w:val="nil"/>
              <w:bottom w:val="single" w:color="auto" w:sz="4" w:space="0"/>
              <w:right w:val="single" w:color="auto" w:sz="4" w:space="0"/>
            </w:tcBorders>
            <w:shd w:val="clear" w:color="auto" w:fill="auto"/>
            <w:vAlign w:val="center"/>
          </w:tcPr>
          <w:p>
            <w:pPr>
              <w:pStyle w:val="107"/>
              <w:rPr>
                <w:rFonts w:cs="Times New Roman"/>
              </w:rPr>
            </w:pPr>
            <w:r>
              <w:rPr>
                <w:rFonts w:cs="Times New Roman"/>
              </w:rPr>
              <w:t>6.5-8.5</w:t>
            </w:r>
          </w:p>
        </w:tc>
        <w:tc>
          <w:tcPr>
            <w:tcW w:w="1660" w:type="dxa"/>
            <w:tcBorders>
              <w:top w:val="nil"/>
              <w:left w:val="nil"/>
              <w:bottom w:val="single" w:color="auto" w:sz="4" w:space="0"/>
              <w:right w:val="single" w:color="auto" w:sz="4" w:space="0"/>
            </w:tcBorders>
            <w:shd w:val="clear" w:color="auto" w:fill="auto"/>
            <w:vAlign w:val="center"/>
          </w:tcPr>
          <w:p>
            <w:pPr>
              <w:pStyle w:val="107"/>
              <w:rPr>
                <w:sz w:val="22"/>
                <w:szCs w:val="22"/>
              </w:rPr>
            </w:pPr>
            <w:r>
              <w:rPr>
                <w:rFonts w:hint="eastAsia"/>
                <w:sz w:val="22"/>
                <w:szCs w:val="22"/>
              </w:rPr>
              <w:t>无量纲</w:t>
            </w:r>
          </w:p>
        </w:tc>
      </w:tr>
      <w:tr>
        <w:tblPrEx>
          <w:tblLayout w:type="fixed"/>
          <w:tblCellMar>
            <w:top w:w="0" w:type="dxa"/>
            <w:left w:w="108" w:type="dxa"/>
            <w:bottom w:w="0" w:type="dxa"/>
            <w:right w:w="108" w:type="dxa"/>
          </w:tblCellMar>
        </w:tblPrEx>
        <w:trPr>
          <w:trHeight w:val="28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cs="Times New Roman"/>
              </w:rPr>
            </w:pPr>
            <w:r>
              <w:rPr>
                <w:rFonts w:cs="Times New Roman"/>
              </w:rPr>
              <w:t>2</w:t>
            </w:r>
          </w:p>
        </w:tc>
        <w:tc>
          <w:tcPr>
            <w:tcW w:w="4100" w:type="dxa"/>
            <w:tcBorders>
              <w:top w:val="nil"/>
              <w:left w:val="nil"/>
              <w:bottom w:val="single" w:color="auto" w:sz="4" w:space="0"/>
              <w:right w:val="single" w:color="auto" w:sz="4" w:space="0"/>
            </w:tcBorders>
            <w:shd w:val="clear" w:color="auto" w:fill="auto"/>
            <w:vAlign w:val="center"/>
          </w:tcPr>
          <w:p>
            <w:pPr>
              <w:pStyle w:val="107"/>
            </w:pPr>
            <w:r>
              <w:rPr>
                <w:rFonts w:hint="eastAsia"/>
              </w:rPr>
              <w:t>氨氮</w:t>
            </w:r>
          </w:p>
        </w:tc>
        <w:tc>
          <w:tcPr>
            <w:tcW w:w="2140" w:type="dxa"/>
            <w:tcBorders>
              <w:top w:val="nil"/>
              <w:left w:val="nil"/>
              <w:bottom w:val="single" w:color="auto" w:sz="4" w:space="0"/>
              <w:right w:val="single" w:color="auto" w:sz="4" w:space="0"/>
            </w:tcBorders>
            <w:shd w:val="clear" w:color="auto" w:fill="auto"/>
            <w:vAlign w:val="center"/>
          </w:tcPr>
          <w:p>
            <w:pPr>
              <w:pStyle w:val="107"/>
              <w:rPr>
                <w:rFonts w:cs="Times New Roman"/>
              </w:rPr>
            </w:pPr>
            <w:r>
              <w:rPr>
                <w:rFonts w:hint="eastAsia" w:cs="Times New Roman"/>
              </w:rPr>
              <w:t>≤0.5</w:t>
            </w:r>
            <w:r>
              <w:rPr>
                <w:rFonts w:cs="Times New Roman"/>
              </w:rPr>
              <w:t>0</w:t>
            </w:r>
          </w:p>
        </w:tc>
        <w:tc>
          <w:tcPr>
            <w:tcW w:w="166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sz w:val="22"/>
                <w:szCs w:val="22"/>
              </w:rPr>
            </w:pPr>
            <w:r>
              <w:rPr>
                <w:rFonts w:hint="eastAsia"/>
                <w:sz w:val="22"/>
                <w:szCs w:val="22"/>
              </w:rPr>
              <w:t>mg/L</w:t>
            </w:r>
          </w:p>
        </w:tc>
      </w:tr>
      <w:tr>
        <w:tblPrEx>
          <w:tblLayout w:type="fixed"/>
          <w:tblCellMar>
            <w:top w:w="0" w:type="dxa"/>
            <w:left w:w="108" w:type="dxa"/>
            <w:bottom w:w="0" w:type="dxa"/>
            <w:right w:w="108" w:type="dxa"/>
          </w:tblCellMar>
        </w:tblPrEx>
        <w:trPr>
          <w:trHeight w:val="28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cs="Times New Roman"/>
              </w:rPr>
            </w:pPr>
            <w:r>
              <w:rPr>
                <w:rFonts w:cs="Times New Roman"/>
              </w:rPr>
              <w:t>3</w:t>
            </w:r>
          </w:p>
        </w:tc>
        <w:tc>
          <w:tcPr>
            <w:tcW w:w="4100" w:type="dxa"/>
            <w:tcBorders>
              <w:top w:val="nil"/>
              <w:left w:val="nil"/>
              <w:bottom w:val="single" w:color="auto" w:sz="4" w:space="0"/>
              <w:right w:val="single" w:color="auto" w:sz="4" w:space="0"/>
            </w:tcBorders>
            <w:shd w:val="clear" w:color="auto" w:fill="auto"/>
            <w:vAlign w:val="center"/>
          </w:tcPr>
          <w:p>
            <w:pPr>
              <w:pStyle w:val="107"/>
            </w:pPr>
            <w:r>
              <w:rPr>
                <w:rFonts w:hint="eastAsia"/>
              </w:rPr>
              <w:t>硝酸盐</w:t>
            </w:r>
          </w:p>
        </w:tc>
        <w:tc>
          <w:tcPr>
            <w:tcW w:w="2140" w:type="dxa"/>
            <w:tcBorders>
              <w:top w:val="nil"/>
              <w:left w:val="nil"/>
              <w:bottom w:val="single" w:color="auto" w:sz="4" w:space="0"/>
              <w:right w:val="single" w:color="auto" w:sz="4" w:space="0"/>
            </w:tcBorders>
            <w:shd w:val="clear" w:color="auto" w:fill="auto"/>
            <w:vAlign w:val="center"/>
          </w:tcPr>
          <w:p>
            <w:pPr>
              <w:pStyle w:val="107"/>
              <w:rPr>
                <w:rFonts w:cs="Times New Roman"/>
              </w:rPr>
            </w:pPr>
            <w:r>
              <w:rPr>
                <w:rFonts w:hint="eastAsia" w:cs="Times New Roman"/>
              </w:rPr>
              <w:t>≤</w:t>
            </w:r>
            <w:r>
              <w:rPr>
                <w:rFonts w:cs="Times New Roman"/>
              </w:rPr>
              <w:t>20</w:t>
            </w:r>
          </w:p>
        </w:tc>
        <w:tc>
          <w:tcPr>
            <w:tcW w:w="1660" w:type="dxa"/>
            <w:vMerge w:val="continue"/>
            <w:tcBorders>
              <w:top w:val="nil"/>
              <w:left w:val="single" w:color="auto" w:sz="4" w:space="0"/>
              <w:bottom w:val="single" w:color="auto" w:sz="4" w:space="0"/>
              <w:right w:val="single" w:color="auto" w:sz="4" w:space="0"/>
            </w:tcBorders>
            <w:vAlign w:val="center"/>
          </w:tcPr>
          <w:p>
            <w:pPr>
              <w:pStyle w:val="107"/>
              <w:rPr>
                <w:sz w:val="22"/>
                <w:szCs w:val="22"/>
              </w:rPr>
            </w:pPr>
          </w:p>
        </w:tc>
      </w:tr>
      <w:tr>
        <w:tblPrEx>
          <w:tblLayout w:type="fixed"/>
          <w:tblCellMar>
            <w:top w:w="0" w:type="dxa"/>
            <w:left w:w="108" w:type="dxa"/>
            <w:bottom w:w="0" w:type="dxa"/>
            <w:right w:w="108" w:type="dxa"/>
          </w:tblCellMar>
        </w:tblPrEx>
        <w:trPr>
          <w:trHeight w:val="28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cs="Times New Roman"/>
              </w:rPr>
            </w:pPr>
            <w:r>
              <w:rPr>
                <w:rFonts w:cs="Times New Roman"/>
              </w:rPr>
              <w:t>4</w:t>
            </w:r>
          </w:p>
        </w:tc>
        <w:tc>
          <w:tcPr>
            <w:tcW w:w="4100" w:type="dxa"/>
            <w:tcBorders>
              <w:top w:val="nil"/>
              <w:left w:val="nil"/>
              <w:bottom w:val="single" w:color="auto" w:sz="4" w:space="0"/>
              <w:right w:val="single" w:color="auto" w:sz="4" w:space="0"/>
            </w:tcBorders>
            <w:shd w:val="clear" w:color="auto" w:fill="auto"/>
            <w:vAlign w:val="center"/>
          </w:tcPr>
          <w:p>
            <w:pPr>
              <w:pStyle w:val="107"/>
            </w:pPr>
            <w:r>
              <w:rPr>
                <w:rFonts w:hint="eastAsia"/>
              </w:rPr>
              <w:t>亚硝酸盐（以N计）</w:t>
            </w:r>
          </w:p>
        </w:tc>
        <w:tc>
          <w:tcPr>
            <w:tcW w:w="2140" w:type="dxa"/>
            <w:tcBorders>
              <w:top w:val="nil"/>
              <w:left w:val="nil"/>
              <w:bottom w:val="single" w:color="auto" w:sz="4" w:space="0"/>
              <w:right w:val="single" w:color="auto" w:sz="4" w:space="0"/>
            </w:tcBorders>
            <w:shd w:val="clear" w:color="auto" w:fill="auto"/>
            <w:vAlign w:val="center"/>
          </w:tcPr>
          <w:p>
            <w:pPr>
              <w:pStyle w:val="107"/>
              <w:rPr>
                <w:rFonts w:cs="Times New Roman"/>
              </w:rPr>
            </w:pPr>
            <w:r>
              <w:rPr>
                <w:rFonts w:hint="eastAsia" w:cs="Times New Roman"/>
              </w:rPr>
              <w:t>≤</w:t>
            </w:r>
            <w:r>
              <w:rPr>
                <w:rFonts w:cs="Times New Roman"/>
              </w:rPr>
              <w:t>1.00</w:t>
            </w:r>
          </w:p>
        </w:tc>
        <w:tc>
          <w:tcPr>
            <w:tcW w:w="1660" w:type="dxa"/>
            <w:vMerge w:val="continue"/>
            <w:tcBorders>
              <w:top w:val="nil"/>
              <w:left w:val="single" w:color="auto" w:sz="4" w:space="0"/>
              <w:bottom w:val="single" w:color="auto" w:sz="4" w:space="0"/>
              <w:right w:val="single" w:color="auto" w:sz="4" w:space="0"/>
            </w:tcBorders>
            <w:vAlign w:val="center"/>
          </w:tcPr>
          <w:p>
            <w:pPr>
              <w:pStyle w:val="107"/>
              <w:rPr>
                <w:sz w:val="22"/>
                <w:szCs w:val="22"/>
              </w:rPr>
            </w:pPr>
          </w:p>
        </w:tc>
      </w:tr>
      <w:tr>
        <w:tblPrEx>
          <w:tblLayout w:type="fixed"/>
          <w:tblCellMar>
            <w:top w:w="0" w:type="dxa"/>
            <w:left w:w="108" w:type="dxa"/>
            <w:bottom w:w="0" w:type="dxa"/>
            <w:right w:w="108" w:type="dxa"/>
          </w:tblCellMar>
        </w:tblPrEx>
        <w:trPr>
          <w:trHeight w:val="28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cs="Times New Roman"/>
              </w:rPr>
            </w:pPr>
            <w:r>
              <w:rPr>
                <w:rFonts w:cs="Times New Roman"/>
              </w:rPr>
              <w:t>5</w:t>
            </w:r>
          </w:p>
        </w:tc>
        <w:tc>
          <w:tcPr>
            <w:tcW w:w="4100" w:type="dxa"/>
            <w:tcBorders>
              <w:top w:val="nil"/>
              <w:left w:val="nil"/>
              <w:bottom w:val="single" w:color="auto" w:sz="4" w:space="0"/>
              <w:right w:val="single" w:color="auto" w:sz="4" w:space="0"/>
            </w:tcBorders>
            <w:shd w:val="clear" w:color="auto" w:fill="auto"/>
            <w:vAlign w:val="center"/>
          </w:tcPr>
          <w:p>
            <w:pPr>
              <w:pStyle w:val="107"/>
            </w:pPr>
            <w:r>
              <w:rPr>
                <w:rFonts w:hint="eastAsia"/>
              </w:rPr>
              <w:t>挥发性酚类（以苯酚计）</w:t>
            </w:r>
          </w:p>
        </w:tc>
        <w:tc>
          <w:tcPr>
            <w:tcW w:w="2140" w:type="dxa"/>
            <w:tcBorders>
              <w:top w:val="nil"/>
              <w:left w:val="nil"/>
              <w:bottom w:val="single" w:color="auto" w:sz="4" w:space="0"/>
              <w:right w:val="single" w:color="auto" w:sz="4" w:space="0"/>
            </w:tcBorders>
            <w:shd w:val="clear" w:color="auto" w:fill="auto"/>
            <w:vAlign w:val="center"/>
          </w:tcPr>
          <w:p>
            <w:pPr>
              <w:pStyle w:val="107"/>
              <w:rPr>
                <w:rFonts w:cs="Times New Roman"/>
              </w:rPr>
            </w:pPr>
            <w:r>
              <w:rPr>
                <w:rFonts w:hint="eastAsia" w:cs="Times New Roman"/>
              </w:rPr>
              <w:t>≤</w:t>
            </w:r>
            <w:r>
              <w:rPr>
                <w:rFonts w:cs="Times New Roman"/>
              </w:rPr>
              <w:t>0.002</w:t>
            </w:r>
          </w:p>
        </w:tc>
        <w:tc>
          <w:tcPr>
            <w:tcW w:w="1660" w:type="dxa"/>
            <w:vMerge w:val="continue"/>
            <w:tcBorders>
              <w:top w:val="nil"/>
              <w:left w:val="single" w:color="auto" w:sz="4" w:space="0"/>
              <w:bottom w:val="single" w:color="auto" w:sz="4" w:space="0"/>
              <w:right w:val="single" w:color="auto" w:sz="4" w:space="0"/>
            </w:tcBorders>
            <w:vAlign w:val="center"/>
          </w:tcPr>
          <w:p>
            <w:pPr>
              <w:pStyle w:val="107"/>
              <w:rPr>
                <w:sz w:val="22"/>
                <w:szCs w:val="22"/>
              </w:rPr>
            </w:pPr>
          </w:p>
        </w:tc>
      </w:tr>
      <w:tr>
        <w:tblPrEx>
          <w:tblLayout w:type="fixed"/>
          <w:tblCellMar>
            <w:top w:w="0" w:type="dxa"/>
            <w:left w:w="108" w:type="dxa"/>
            <w:bottom w:w="0" w:type="dxa"/>
            <w:right w:w="108" w:type="dxa"/>
          </w:tblCellMar>
        </w:tblPrEx>
        <w:trPr>
          <w:trHeight w:val="28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cs="Times New Roman"/>
              </w:rPr>
            </w:pPr>
            <w:r>
              <w:rPr>
                <w:rFonts w:cs="Times New Roman"/>
              </w:rPr>
              <w:t>6</w:t>
            </w:r>
          </w:p>
        </w:tc>
        <w:tc>
          <w:tcPr>
            <w:tcW w:w="4100" w:type="dxa"/>
            <w:tcBorders>
              <w:top w:val="nil"/>
              <w:left w:val="nil"/>
              <w:bottom w:val="single" w:color="auto" w:sz="4" w:space="0"/>
              <w:right w:val="single" w:color="auto" w:sz="4" w:space="0"/>
            </w:tcBorders>
            <w:shd w:val="clear" w:color="auto" w:fill="auto"/>
            <w:vAlign w:val="center"/>
          </w:tcPr>
          <w:p>
            <w:pPr>
              <w:pStyle w:val="107"/>
            </w:pPr>
            <w:r>
              <w:rPr>
                <w:rFonts w:hint="eastAsia"/>
              </w:rPr>
              <w:t>总硬度（以CaCO</w:t>
            </w:r>
            <w:r>
              <w:rPr>
                <w:rFonts w:hint="eastAsia"/>
                <w:vertAlign w:val="subscript"/>
              </w:rPr>
              <w:t>3</w:t>
            </w:r>
            <w:r>
              <w:rPr>
                <w:rFonts w:hint="eastAsia"/>
              </w:rPr>
              <w:t>计）</w:t>
            </w:r>
          </w:p>
        </w:tc>
        <w:tc>
          <w:tcPr>
            <w:tcW w:w="2140" w:type="dxa"/>
            <w:tcBorders>
              <w:top w:val="nil"/>
              <w:left w:val="nil"/>
              <w:bottom w:val="single" w:color="auto" w:sz="4" w:space="0"/>
              <w:right w:val="single" w:color="auto" w:sz="4" w:space="0"/>
            </w:tcBorders>
            <w:shd w:val="clear" w:color="auto" w:fill="auto"/>
            <w:vAlign w:val="center"/>
          </w:tcPr>
          <w:p>
            <w:pPr>
              <w:pStyle w:val="107"/>
              <w:rPr>
                <w:rFonts w:cs="Times New Roman"/>
              </w:rPr>
            </w:pPr>
            <w:r>
              <w:rPr>
                <w:rFonts w:hint="eastAsia" w:cs="Times New Roman"/>
              </w:rPr>
              <w:t>≤</w:t>
            </w:r>
            <w:r>
              <w:rPr>
                <w:rFonts w:cs="Times New Roman"/>
              </w:rPr>
              <w:t>450</w:t>
            </w:r>
          </w:p>
        </w:tc>
        <w:tc>
          <w:tcPr>
            <w:tcW w:w="1660" w:type="dxa"/>
            <w:vMerge w:val="continue"/>
            <w:tcBorders>
              <w:top w:val="nil"/>
              <w:left w:val="single" w:color="auto" w:sz="4" w:space="0"/>
              <w:bottom w:val="single" w:color="auto" w:sz="4" w:space="0"/>
              <w:right w:val="single" w:color="auto" w:sz="4" w:space="0"/>
            </w:tcBorders>
            <w:vAlign w:val="center"/>
          </w:tcPr>
          <w:p>
            <w:pPr>
              <w:pStyle w:val="107"/>
              <w:rPr>
                <w:sz w:val="22"/>
                <w:szCs w:val="22"/>
              </w:rPr>
            </w:pPr>
          </w:p>
        </w:tc>
      </w:tr>
      <w:tr>
        <w:tblPrEx>
          <w:tblLayout w:type="fixed"/>
          <w:tblCellMar>
            <w:top w:w="0" w:type="dxa"/>
            <w:left w:w="108" w:type="dxa"/>
            <w:bottom w:w="0" w:type="dxa"/>
            <w:right w:w="108" w:type="dxa"/>
          </w:tblCellMar>
        </w:tblPrEx>
        <w:trPr>
          <w:trHeight w:val="28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cs="Times New Roman"/>
              </w:rPr>
            </w:pPr>
            <w:r>
              <w:rPr>
                <w:rFonts w:cs="Times New Roman"/>
              </w:rPr>
              <w:t>7</w:t>
            </w:r>
          </w:p>
        </w:tc>
        <w:tc>
          <w:tcPr>
            <w:tcW w:w="4100" w:type="dxa"/>
            <w:tcBorders>
              <w:top w:val="nil"/>
              <w:left w:val="nil"/>
              <w:bottom w:val="single" w:color="auto" w:sz="4" w:space="0"/>
              <w:right w:val="single" w:color="auto" w:sz="4" w:space="0"/>
            </w:tcBorders>
            <w:shd w:val="clear" w:color="auto" w:fill="auto"/>
            <w:vAlign w:val="center"/>
          </w:tcPr>
          <w:p>
            <w:pPr>
              <w:pStyle w:val="107"/>
            </w:pPr>
            <w:r>
              <w:rPr>
                <w:rFonts w:hint="eastAsia"/>
              </w:rPr>
              <w:t>铁</w:t>
            </w:r>
          </w:p>
        </w:tc>
        <w:tc>
          <w:tcPr>
            <w:tcW w:w="2140" w:type="dxa"/>
            <w:tcBorders>
              <w:top w:val="nil"/>
              <w:left w:val="nil"/>
              <w:bottom w:val="single" w:color="auto" w:sz="4" w:space="0"/>
              <w:right w:val="single" w:color="auto" w:sz="4" w:space="0"/>
            </w:tcBorders>
            <w:shd w:val="clear" w:color="auto" w:fill="auto"/>
            <w:vAlign w:val="center"/>
          </w:tcPr>
          <w:p>
            <w:pPr>
              <w:pStyle w:val="107"/>
              <w:rPr>
                <w:rFonts w:cs="Times New Roman"/>
              </w:rPr>
            </w:pPr>
            <w:r>
              <w:rPr>
                <w:rFonts w:hint="eastAsia" w:cs="Times New Roman"/>
              </w:rPr>
              <w:t>≤</w:t>
            </w:r>
            <w:r>
              <w:rPr>
                <w:rFonts w:cs="Times New Roman"/>
              </w:rPr>
              <w:t>0.3</w:t>
            </w:r>
          </w:p>
        </w:tc>
        <w:tc>
          <w:tcPr>
            <w:tcW w:w="1660" w:type="dxa"/>
            <w:vMerge w:val="continue"/>
            <w:tcBorders>
              <w:top w:val="nil"/>
              <w:left w:val="single" w:color="auto" w:sz="4" w:space="0"/>
              <w:bottom w:val="single" w:color="auto" w:sz="4" w:space="0"/>
              <w:right w:val="single" w:color="auto" w:sz="4" w:space="0"/>
            </w:tcBorders>
            <w:vAlign w:val="center"/>
          </w:tcPr>
          <w:p>
            <w:pPr>
              <w:pStyle w:val="107"/>
              <w:rPr>
                <w:sz w:val="22"/>
                <w:szCs w:val="22"/>
              </w:rPr>
            </w:pPr>
          </w:p>
        </w:tc>
      </w:tr>
      <w:tr>
        <w:tblPrEx>
          <w:tblLayout w:type="fixed"/>
          <w:tblCellMar>
            <w:top w:w="0" w:type="dxa"/>
            <w:left w:w="108" w:type="dxa"/>
            <w:bottom w:w="0" w:type="dxa"/>
            <w:right w:w="108" w:type="dxa"/>
          </w:tblCellMar>
        </w:tblPrEx>
        <w:trPr>
          <w:trHeight w:val="28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cs="Times New Roman"/>
              </w:rPr>
            </w:pPr>
            <w:r>
              <w:rPr>
                <w:rFonts w:cs="Times New Roman"/>
              </w:rPr>
              <w:t>8</w:t>
            </w:r>
          </w:p>
        </w:tc>
        <w:tc>
          <w:tcPr>
            <w:tcW w:w="4100" w:type="dxa"/>
            <w:tcBorders>
              <w:top w:val="nil"/>
              <w:left w:val="nil"/>
              <w:bottom w:val="single" w:color="auto" w:sz="4" w:space="0"/>
              <w:right w:val="single" w:color="auto" w:sz="4" w:space="0"/>
            </w:tcBorders>
            <w:shd w:val="clear" w:color="auto" w:fill="auto"/>
            <w:vAlign w:val="center"/>
          </w:tcPr>
          <w:p>
            <w:pPr>
              <w:pStyle w:val="107"/>
            </w:pPr>
            <w:r>
              <w:rPr>
                <w:rFonts w:hint="eastAsia"/>
              </w:rPr>
              <w:t>溶解性总固体</w:t>
            </w:r>
          </w:p>
        </w:tc>
        <w:tc>
          <w:tcPr>
            <w:tcW w:w="2140" w:type="dxa"/>
            <w:tcBorders>
              <w:top w:val="nil"/>
              <w:left w:val="nil"/>
              <w:bottom w:val="single" w:color="auto" w:sz="4" w:space="0"/>
              <w:right w:val="single" w:color="auto" w:sz="4" w:space="0"/>
            </w:tcBorders>
            <w:shd w:val="clear" w:color="auto" w:fill="auto"/>
            <w:vAlign w:val="center"/>
          </w:tcPr>
          <w:p>
            <w:pPr>
              <w:pStyle w:val="107"/>
              <w:rPr>
                <w:rFonts w:cs="Times New Roman"/>
              </w:rPr>
            </w:pPr>
            <w:r>
              <w:rPr>
                <w:rFonts w:hint="eastAsia" w:cs="Times New Roman"/>
              </w:rPr>
              <w:t>≤</w:t>
            </w:r>
            <w:r>
              <w:rPr>
                <w:rFonts w:cs="Times New Roman"/>
              </w:rPr>
              <w:t>1000</w:t>
            </w:r>
          </w:p>
        </w:tc>
        <w:tc>
          <w:tcPr>
            <w:tcW w:w="1660" w:type="dxa"/>
            <w:vMerge w:val="continue"/>
            <w:tcBorders>
              <w:top w:val="nil"/>
              <w:left w:val="single" w:color="auto" w:sz="4" w:space="0"/>
              <w:bottom w:val="single" w:color="auto" w:sz="4" w:space="0"/>
              <w:right w:val="single" w:color="auto" w:sz="4" w:space="0"/>
            </w:tcBorders>
            <w:vAlign w:val="center"/>
          </w:tcPr>
          <w:p>
            <w:pPr>
              <w:pStyle w:val="107"/>
              <w:rPr>
                <w:sz w:val="22"/>
                <w:szCs w:val="22"/>
              </w:rPr>
            </w:pPr>
          </w:p>
        </w:tc>
      </w:tr>
      <w:tr>
        <w:tblPrEx>
          <w:tblLayout w:type="fixed"/>
          <w:tblCellMar>
            <w:top w:w="0" w:type="dxa"/>
            <w:left w:w="108" w:type="dxa"/>
            <w:bottom w:w="0" w:type="dxa"/>
            <w:right w:w="108" w:type="dxa"/>
          </w:tblCellMar>
        </w:tblPrEx>
        <w:trPr>
          <w:trHeight w:val="390"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cs="Times New Roman"/>
              </w:rPr>
            </w:pPr>
            <w:r>
              <w:rPr>
                <w:rFonts w:cs="Times New Roman"/>
              </w:rPr>
              <w:t>9</w:t>
            </w:r>
          </w:p>
        </w:tc>
        <w:tc>
          <w:tcPr>
            <w:tcW w:w="4100" w:type="dxa"/>
            <w:tcBorders>
              <w:top w:val="nil"/>
              <w:left w:val="nil"/>
              <w:bottom w:val="single" w:color="auto" w:sz="4" w:space="0"/>
              <w:right w:val="single" w:color="auto" w:sz="4" w:space="0"/>
            </w:tcBorders>
            <w:shd w:val="clear" w:color="auto" w:fill="auto"/>
            <w:vAlign w:val="center"/>
          </w:tcPr>
          <w:p>
            <w:pPr>
              <w:pStyle w:val="107"/>
            </w:pPr>
            <w:r>
              <w:rPr>
                <w:rFonts w:hint="eastAsia"/>
              </w:rPr>
              <w:t>高锰酸盐指数（耗氧量，</w:t>
            </w:r>
            <w:r>
              <w:t>COD</w:t>
            </w:r>
            <w:r>
              <w:rPr>
                <w:vertAlign w:val="subscript"/>
              </w:rPr>
              <w:t>Mn</w:t>
            </w:r>
            <w:r>
              <w:rPr>
                <w:rFonts w:hint="eastAsia"/>
              </w:rPr>
              <w:t>法）</w:t>
            </w:r>
          </w:p>
        </w:tc>
        <w:tc>
          <w:tcPr>
            <w:tcW w:w="2140" w:type="dxa"/>
            <w:tcBorders>
              <w:top w:val="nil"/>
              <w:left w:val="nil"/>
              <w:bottom w:val="single" w:color="auto" w:sz="4" w:space="0"/>
              <w:right w:val="single" w:color="auto" w:sz="4" w:space="0"/>
            </w:tcBorders>
            <w:shd w:val="clear" w:color="auto" w:fill="auto"/>
            <w:vAlign w:val="center"/>
          </w:tcPr>
          <w:p>
            <w:pPr>
              <w:pStyle w:val="107"/>
              <w:rPr>
                <w:rFonts w:cs="Times New Roman"/>
              </w:rPr>
            </w:pPr>
            <w:r>
              <w:rPr>
                <w:rFonts w:hint="eastAsia" w:cs="Times New Roman"/>
              </w:rPr>
              <w:t>≤</w:t>
            </w:r>
            <w:r>
              <w:rPr>
                <w:rFonts w:cs="Times New Roman"/>
              </w:rPr>
              <w:t>3.0</w:t>
            </w:r>
          </w:p>
        </w:tc>
        <w:tc>
          <w:tcPr>
            <w:tcW w:w="1660" w:type="dxa"/>
            <w:vMerge w:val="continue"/>
            <w:tcBorders>
              <w:top w:val="nil"/>
              <w:left w:val="single" w:color="auto" w:sz="4" w:space="0"/>
              <w:bottom w:val="single" w:color="auto" w:sz="4" w:space="0"/>
              <w:right w:val="single" w:color="auto" w:sz="4" w:space="0"/>
            </w:tcBorders>
            <w:vAlign w:val="center"/>
          </w:tcPr>
          <w:p>
            <w:pPr>
              <w:pStyle w:val="107"/>
              <w:rPr>
                <w:sz w:val="22"/>
                <w:szCs w:val="22"/>
              </w:rPr>
            </w:pPr>
          </w:p>
        </w:tc>
      </w:tr>
      <w:tr>
        <w:tblPrEx>
          <w:tblLayout w:type="fixed"/>
          <w:tblCellMar>
            <w:top w:w="0" w:type="dxa"/>
            <w:left w:w="108" w:type="dxa"/>
            <w:bottom w:w="0" w:type="dxa"/>
            <w:right w:w="108" w:type="dxa"/>
          </w:tblCellMar>
        </w:tblPrEx>
        <w:trPr>
          <w:trHeight w:val="330"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cs="Times New Roman"/>
              </w:rPr>
            </w:pPr>
            <w:r>
              <w:rPr>
                <w:rFonts w:cs="Times New Roman"/>
              </w:rPr>
              <w:t>10</w:t>
            </w:r>
          </w:p>
        </w:tc>
        <w:tc>
          <w:tcPr>
            <w:tcW w:w="4100" w:type="dxa"/>
            <w:tcBorders>
              <w:top w:val="nil"/>
              <w:left w:val="nil"/>
              <w:bottom w:val="single" w:color="auto" w:sz="4" w:space="0"/>
              <w:right w:val="single" w:color="auto" w:sz="4" w:space="0"/>
            </w:tcBorders>
            <w:shd w:val="clear" w:color="auto" w:fill="auto"/>
            <w:vAlign w:val="center"/>
          </w:tcPr>
          <w:p>
            <w:pPr>
              <w:pStyle w:val="107"/>
            </w:pPr>
            <w:r>
              <w:rPr>
                <w:rFonts w:hint="eastAsia"/>
              </w:rPr>
              <w:t>总大肠菌群</w:t>
            </w:r>
          </w:p>
        </w:tc>
        <w:tc>
          <w:tcPr>
            <w:tcW w:w="2140" w:type="dxa"/>
            <w:tcBorders>
              <w:top w:val="nil"/>
              <w:left w:val="nil"/>
              <w:bottom w:val="single" w:color="auto" w:sz="4" w:space="0"/>
              <w:right w:val="single" w:color="auto" w:sz="4" w:space="0"/>
            </w:tcBorders>
            <w:shd w:val="clear" w:color="auto" w:fill="auto"/>
            <w:vAlign w:val="center"/>
          </w:tcPr>
          <w:p>
            <w:pPr>
              <w:pStyle w:val="107"/>
              <w:rPr>
                <w:rFonts w:cs="Times New Roman"/>
              </w:rPr>
            </w:pPr>
            <w:r>
              <w:rPr>
                <w:rFonts w:hint="eastAsia" w:cs="Times New Roman"/>
              </w:rPr>
              <w:t>≤</w:t>
            </w:r>
            <w:r>
              <w:rPr>
                <w:rFonts w:cs="Times New Roman"/>
              </w:rPr>
              <w:t>3.0</w:t>
            </w:r>
          </w:p>
        </w:tc>
        <w:tc>
          <w:tcPr>
            <w:tcW w:w="1660" w:type="dxa"/>
            <w:tcBorders>
              <w:top w:val="nil"/>
              <w:left w:val="nil"/>
              <w:bottom w:val="single" w:color="auto" w:sz="4" w:space="0"/>
              <w:right w:val="single" w:color="auto" w:sz="4" w:space="0"/>
            </w:tcBorders>
            <w:shd w:val="clear" w:color="auto" w:fill="auto"/>
            <w:vAlign w:val="center"/>
          </w:tcPr>
          <w:p>
            <w:pPr>
              <w:pStyle w:val="107"/>
              <w:rPr>
                <w:rFonts w:cs="Times New Roman"/>
              </w:rPr>
            </w:pPr>
            <w:r>
              <w:rPr>
                <w:rFonts w:cs="Times New Roman"/>
              </w:rPr>
              <w:t>MPN</w:t>
            </w:r>
            <w:r>
              <w:rPr>
                <w:rFonts w:cs="Times New Roman"/>
                <w:vertAlign w:val="superscript"/>
              </w:rPr>
              <w:t>h</w:t>
            </w:r>
            <w:r>
              <w:rPr>
                <w:rFonts w:cs="Times New Roman"/>
              </w:rPr>
              <w:t xml:space="preserve">/100 mL </w:t>
            </w:r>
            <w:r>
              <w:rPr>
                <w:rFonts w:hint="eastAsia" w:cs="Times New Roman"/>
              </w:rPr>
              <w:t>或</w:t>
            </w:r>
            <w:r>
              <w:rPr>
                <w:rFonts w:cs="Times New Roman"/>
              </w:rPr>
              <w:t>CFU</w:t>
            </w:r>
            <w:r>
              <w:rPr>
                <w:rFonts w:cs="Times New Roman"/>
                <w:vertAlign w:val="superscript"/>
              </w:rPr>
              <w:t>o</w:t>
            </w:r>
            <w:r>
              <w:rPr>
                <w:rFonts w:cs="Times New Roman"/>
              </w:rPr>
              <w:t>/100 mL</w:t>
            </w:r>
          </w:p>
        </w:tc>
      </w:tr>
      <w:tr>
        <w:tblPrEx>
          <w:tblLayout w:type="fixed"/>
          <w:tblCellMar>
            <w:top w:w="0" w:type="dxa"/>
            <w:left w:w="108" w:type="dxa"/>
            <w:bottom w:w="0" w:type="dxa"/>
            <w:right w:w="108" w:type="dxa"/>
          </w:tblCellMar>
        </w:tblPrEx>
        <w:trPr>
          <w:trHeight w:val="285" w:hRule="atLeast"/>
        </w:trPr>
        <w:tc>
          <w:tcPr>
            <w:tcW w:w="1060" w:type="dxa"/>
            <w:tcBorders>
              <w:top w:val="nil"/>
              <w:left w:val="single" w:color="auto" w:sz="4" w:space="0"/>
              <w:bottom w:val="single" w:color="auto" w:sz="4" w:space="0"/>
              <w:right w:val="single" w:color="auto" w:sz="4" w:space="0"/>
            </w:tcBorders>
            <w:shd w:val="clear" w:color="auto" w:fill="auto"/>
            <w:vAlign w:val="center"/>
          </w:tcPr>
          <w:p>
            <w:pPr>
              <w:pStyle w:val="107"/>
              <w:rPr>
                <w:rFonts w:cs="Times New Roman"/>
              </w:rPr>
            </w:pPr>
            <w:r>
              <w:rPr>
                <w:rFonts w:cs="Times New Roman"/>
              </w:rPr>
              <w:t>11</w:t>
            </w:r>
          </w:p>
        </w:tc>
        <w:tc>
          <w:tcPr>
            <w:tcW w:w="4100" w:type="dxa"/>
            <w:tcBorders>
              <w:top w:val="nil"/>
              <w:left w:val="nil"/>
              <w:bottom w:val="single" w:color="auto" w:sz="4" w:space="0"/>
              <w:right w:val="single" w:color="auto" w:sz="4" w:space="0"/>
            </w:tcBorders>
            <w:shd w:val="clear" w:color="auto" w:fill="auto"/>
            <w:vAlign w:val="center"/>
          </w:tcPr>
          <w:p>
            <w:pPr>
              <w:pStyle w:val="107"/>
            </w:pPr>
            <w:r>
              <w:rPr>
                <w:rFonts w:hint="eastAsia"/>
              </w:rPr>
              <w:t>菌落总数</w:t>
            </w:r>
          </w:p>
        </w:tc>
        <w:tc>
          <w:tcPr>
            <w:tcW w:w="2140" w:type="dxa"/>
            <w:tcBorders>
              <w:top w:val="nil"/>
              <w:left w:val="nil"/>
              <w:bottom w:val="single" w:color="auto" w:sz="4" w:space="0"/>
              <w:right w:val="single" w:color="auto" w:sz="4" w:space="0"/>
            </w:tcBorders>
            <w:shd w:val="clear" w:color="auto" w:fill="auto"/>
            <w:vAlign w:val="center"/>
          </w:tcPr>
          <w:p>
            <w:pPr>
              <w:pStyle w:val="107"/>
              <w:rPr>
                <w:rFonts w:cs="Times New Roman"/>
              </w:rPr>
            </w:pPr>
            <w:r>
              <w:rPr>
                <w:rFonts w:hint="eastAsia" w:cs="Times New Roman"/>
              </w:rPr>
              <w:t>≤</w:t>
            </w:r>
            <w:r>
              <w:rPr>
                <w:rFonts w:cs="Times New Roman"/>
              </w:rPr>
              <w:t>100</w:t>
            </w:r>
          </w:p>
        </w:tc>
        <w:tc>
          <w:tcPr>
            <w:tcW w:w="1660" w:type="dxa"/>
            <w:tcBorders>
              <w:top w:val="nil"/>
              <w:left w:val="nil"/>
              <w:bottom w:val="single" w:color="auto" w:sz="4" w:space="0"/>
              <w:right w:val="single" w:color="auto" w:sz="4" w:space="0"/>
            </w:tcBorders>
            <w:shd w:val="clear" w:color="auto" w:fill="auto"/>
            <w:vAlign w:val="center"/>
          </w:tcPr>
          <w:p>
            <w:pPr>
              <w:pStyle w:val="107"/>
              <w:rPr>
                <w:sz w:val="22"/>
                <w:szCs w:val="22"/>
              </w:rPr>
            </w:pPr>
            <w:r>
              <w:rPr>
                <w:rFonts w:hint="eastAsia"/>
                <w:sz w:val="22"/>
                <w:szCs w:val="22"/>
              </w:rPr>
              <w:t>CFU/mL</w:t>
            </w:r>
          </w:p>
        </w:tc>
      </w:tr>
    </w:tbl>
    <w:p>
      <w:pPr>
        <w:pStyle w:val="6"/>
      </w:pPr>
      <w:bookmarkStart w:id="98" w:name="_Hlk3507945"/>
      <w:r>
        <w:t>环境空气质量标准</w:t>
      </w:r>
    </w:p>
    <w:bookmarkEnd w:id="98"/>
    <w:p>
      <w:pPr>
        <w:ind w:firstLine="480"/>
        <w:rPr>
          <w:rFonts w:cs="Times New Roman" w:eastAsiaTheme="minorEastAsia"/>
        </w:rPr>
      </w:pPr>
      <w:r>
        <w:rPr>
          <w:rFonts w:cs="Times New Roman" w:eastAsiaTheme="minorEastAsia"/>
        </w:rPr>
        <w:t>项目所在区域</w:t>
      </w:r>
      <w:r>
        <w:rPr>
          <w:rFonts w:hint="eastAsia" w:cs="Times New Roman" w:eastAsiaTheme="minorEastAsia"/>
        </w:rPr>
        <w:t>属于环境空气质量二类功能区，</w:t>
      </w:r>
      <w:r>
        <w:rPr>
          <w:rFonts w:cs="Times New Roman" w:eastAsiaTheme="minorEastAsia"/>
        </w:rPr>
        <w:t xml:space="preserve"> SO</w:t>
      </w:r>
      <w:r>
        <w:rPr>
          <w:rFonts w:cs="Times New Roman" w:eastAsiaTheme="minorEastAsia"/>
          <w:vertAlign w:val="subscript"/>
        </w:rPr>
        <w:t>2</w:t>
      </w:r>
      <w:r>
        <w:rPr>
          <w:rFonts w:cs="Times New Roman" w:eastAsiaTheme="minorEastAsia"/>
        </w:rPr>
        <w:t>、NO</w:t>
      </w:r>
      <w:r>
        <w:rPr>
          <w:rFonts w:cs="Times New Roman" w:eastAsiaTheme="minorEastAsia"/>
          <w:vertAlign w:val="subscript"/>
        </w:rPr>
        <w:t>2</w:t>
      </w:r>
      <w:r>
        <w:rPr>
          <w:rFonts w:cs="Times New Roman" w:eastAsiaTheme="minorEastAsia"/>
        </w:rPr>
        <w:t>、</w:t>
      </w:r>
      <w:r>
        <w:rPr>
          <w:rFonts w:hint="eastAsia" w:cs="Times New Roman" w:eastAsiaTheme="minorEastAsia"/>
        </w:rPr>
        <w:t>C</w:t>
      </w:r>
      <w:r>
        <w:rPr>
          <w:rFonts w:cs="Times New Roman" w:eastAsiaTheme="minorEastAsia"/>
        </w:rPr>
        <w:t>O</w:t>
      </w:r>
      <w:r>
        <w:rPr>
          <w:rFonts w:hint="eastAsia" w:cs="Times New Roman" w:eastAsiaTheme="minorEastAsia"/>
        </w:rPr>
        <w:t>、</w:t>
      </w:r>
      <w:r>
        <w:rPr>
          <w:rFonts w:hint="eastAsia" w:eastAsiaTheme="minorEastAsia"/>
        </w:rPr>
        <w:t>O</w:t>
      </w:r>
      <w:r>
        <w:rPr>
          <w:rFonts w:eastAsiaTheme="minorEastAsia"/>
          <w:vertAlign w:val="subscript"/>
        </w:rPr>
        <w:t>3</w:t>
      </w:r>
      <w:r>
        <w:rPr>
          <w:rFonts w:hint="eastAsia" w:eastAsiaTheme="minorEastAsia"/>
        </w:rPr>
        <w:t>、</w:t>
      </w:r>
      <w:r>
        <w:rPr>
          <w:rFonts w:cs="Times New Roman" w:eastAsiaTheme="minorEastAsia"/>
        </w:rPr>
        <w:t>PM</w:t>
      </w:r>
      <w:r>
        <w:rPr>
          <w:rFonts w:cs="Times New Roman" w:eastAsiaTheme="minorEastAsia"/>
          <w:vertAlign w:val="subscript"/>
        </w:rPr>
        <w:t>10</w:t>
      </w:r>
      <w:r>
        <w:rPr>
          <w:rFonts w:cs="Times New Roman" w:eastAsiaTheme="minorEastAsia"/>
        </w:rPr>
        <w:t>、PM</w:t>
      </w:r>
      <w:r>
        <w:rPr>
          <w:rFonts w:cs="Times New Roman" w:eastAsiaTheme="minorEastAsia"/>
          <w:vertAlign w:val="subscript"/>
        </w:rPr>
        <w:t>2.</w:t>
      </w:r>
      <w:r>
        <w:rPr>
          <w:rFonts w:hint="eastAsia" w:cs="Times New Roman" w:eastAsiaTheme="minorEastAsia"/>
          <w:vertAlign w:val="subscript"/>
        </w:rPr>
        <w:t>5</w:t>
      </w:r>
      <w:r>
        <w:rPr>
          <w:rFonts w:cs="Times New Roman" w:eastAsiaTheme="minorEastAsia"/>
        </w:rPr>
        <w:t>执行《环境空气质量标准》（GB 3095-2012）中的二级标准；</w:t>
      </w:r>
      <w:r>
        <w:rPr>
          <w:rFonts w:hint="eastAsia" w:cs="Times New Roman" w:eastAsiaTheme="minorEastAsia"/>
        </w:rPr>
        <w:t>由于目前除河北省外，国内无非甲烷总烃（N</w:t>
      </w:r>
      <w:r>
        <w:rPr>
          <w:rFonts w:cs="Times New Roman" w:eastAsiaTheme="minorEastAsia"/>
        </w:rPr>
        <w:t>MHC</w:t>
      </w:r>
      <w:r>
        <w:rPr>
          <w:rFonts w:hint="eastAsia" w:cs="Times New Roman" w:eastAsiaTheme="minorEastAsia"/>
        </w:rPr>
        <w:t>）环境质量标准，评价采用由中国环境科学出版社出版的</w:t>
      </w:r>
      <w:r>
        <w:rPr>
          <w:rFonts w:cs="Times New Roman" w:eastAsiaTheme="minorEastAsia"/>
        </w:rPr>
        <w:t>原国家环境保护局科技标准司的《大气污染物综合排放标准详解》中推荐的2.0mg/m</w:t>
      </w:r>
      <w:r>
        <w:rPr>
          <w:rFonts w:cs="Times New Roman" w:eastAsiaTheme="minorEastAsia"/>
          <w:vertAlign w:val="superscript"/>
        </w:rPr>
        <w:t>3</w:t>
      </w:r>
      <w:r>
        <w:rPr>
          <w:rFonts w:cs="Times New Roman" w:eastAsiaTheme="minorEastAsia"/>
        </w:rPr>
        <w:t>作为</w:t>
      </w:r>
      <w:r>
        <w:rPr>
          <w:rFonts w:hint="eastAsia" w:cs="Times New Roman" w:eastAsiaTheme="minorEastAsia"/>
        </w:rPr>
        <w:t>小时平均浓度计算依据</w:t>
      </w:r>
      <w:r>
        <w:rPr>
          <w:rFonts w:cs="Times New Roman" w:eastAsiaTheme="minorEastAsia"/>
        </w:rPr>
        <w:t>；TVOC</w:t>
      </w:r>
      <w:r>
        <w:rPr>
          <w:rFonts w:hint="eastAsia" w:cs="Times New Roman" w:eastAsiaTheme="minorEastAsia"/>
        </w:rPr>
        <w:t>、</w:t>
      </w:r>
      <w:r>
        <w:rPr>
          <w:rFonts w:eastAsiaTheme="minorEastAsia"/>
        </w:rPr>
        <w:t>H</w:t>
      </w:r>
      <w:r>
        <w:rPr>
          <w:rFonts w:eastAsiaTheme="minorEastAsia"/>
          <w:vertAlign w:val="subscript"/>
        </w:rPr>
        <w:t>2</w:t>
      </w:r>
      <w:r>
        <w:rPr>
          <w:rFonts w:eastAsiaTheme="minorEastAsia"/>
        </w:rPr>
        <w:t>S</w:t>
      </w:r>
      <w:r>
        <w:rPr>
          <w:rFonts w:hint="eastAsia" w:eastAsiaTheme="minorEastAsia"/>
        </w:rPr>
        <w:t>空气质量浓度参考</w:t>
      </w:r>
      <w:r>
        <w:rPr>
          <w:rFonts w:eastAsiaTheme="minorEastAsia"/>
        </w:rPr>
        <w:t>《环境影响评价技术导则</w:t>
      </w:r>
      <w:r>
        <w:rPr>
          <w:rFonts w:hint="eastAsia" w:eastAsiaTheme="minorEastAsia"/>
        </w:rPr>
        <w:t xml:space="preserve"> </w:t>
      </w:r>
      <w:r>
        <w:rPr>
          <w:rFonts w:eastAsiaTheme="minorEastAsia"/>
        </w:rPr>
        <w:t>大气环境》</w:t>
      </w:r>
      <w:r>
        <w:rPr>
          <w:rFonts w:hint="eastAsia" w:eastAsiaTheme="minorEastAsia"/>
        </w:rPr>
        <w:t>（</w:t>
      </w:r>
      <w:r>
        <w:rPr>
          <w:rFonts w:eastAsiaTheme="minorEastAsia"/>
        </w:rPr>
        <w:t>HJ 2.2-2018</w:t>
      </w:r>
      <w:r>
        <w:rPr>
          <w:rFonts w:hint="eastAsia" w:eastAsiaTheme="minorEastAsia"/>
        </w:rPr>
        <w:t>）附录D有关标准</w:t>
      </w:r>
      <w:r>
        <w:rPr>
          <w:rFonts w:hint="eastAsia" w:cs="Times New Roman" w:eastAsiaTheme="minorEastAsia"/>
        </w:rPr>
        <w:t>；</w:t>
      </w:r>
      <w:r>
        <w:rPr>
          <w:rFonts w:cs="Times New Roman" w:eastAsiaTheme="minorEastAsia"/>
        </w:rPr>
        <w:t>臭气浓度参照《恶臭污染物排放标准》（GB 14554-93）中</w:t>
      </w:r>
      <w:r>
        <w:rPr>
          <w:rFonts w:hint="eastAsia" w:cs="Times New Roman" w:eastAsiaTheme="minorEastAsia"/>
        </w:rPr>
        <w:t>新扩改建厂界二级标准</w:t>
      </w:r>
      <w:r>
        <w:rPr>
          <w:rFonts w:cs="Times New Roman" w:eastAsiaTheme="minorEastAsia"/>
        </w:rPr>
        <w:t>限值要求</w:t>
      </w:r>
      <w:r>
        <w:rPr>
          <w:rFonts w:hint="eastAsia" w:cs="Times New Roman" w:eastAsiaTheme="minorEastAsia"/>
        </w:rPr>
        <w:t>。</w:t>
      </w:r>
      <w:r>
        <w:rPr>
          <w:rFonts w:cs="Times New Roman" w:eastAsiaTheme="minorEastAsia"/>
        </w:rPr>
        <w:t>具体标准</w:t>
      </w:r>
      <w:r>
        <w:rPr>
          <w:rFonts w:hint="eastAsia" w:cs="Times New Roman" w:eastAsiaTheme="minorEastAsia"/>
        </w:rPr>
        <w:t>限</w:t>
      </w:r>
      <w:r>
        <w:rPr>
          <w:rFonts w:cs="Times New Roman" w:eastAsiaTheme="minorEastAsia"/>
        </w:rPr>
        <w:t>值见</w:t>
      </w:r>
      <w:r>
        <w:rPr>
          <w:rFonts w:cs="Times New Roman" w:eastAsiaTheme="minorEastAsia"/>
        </w:rPr>
        <w:fldChar w:fldCharType="begin"/>
      </w:r>
      <w:r>
        <w:rPr>
          <w:rFonts w:cs="Times New Roman" w:eastAsiaTheme="minorEastAsia"/>
        </w:rPr>
        <w:instrText xml:space="preserve"> REF _Ref522028029 \h  \* MERGEFORMAT </w:instrText>
      </w:r>
      <w:r>
        <w:rPr>
          <w:rFonts w:cs="Times New Roman" w:eastAsiaTheme="minorEastAsia"/>
        </w:rPr>
        <w:fldChar w:fldCharType="separate"/>
      </w:r>
      <w:r>
        <w:rPr>
          <w:rFonts w:hint="eastAsia" w:eastAsiaTheme="minorEastAsia"/>
        </w:rPr>
        <w:t xml:space="preserve">表 </w:t>
      </w:r>
      <w:r>
        <w:rPr>
          <w:rFonts w:eastAsiaTheme="minorEastAsia"/>
        </w:rPr>
        <w:t>1.4</w:t>
      </w:r>
      <w:r>
        <w:rPr>
          <w:rFonts w:eastAsiaTheme="minorEastAsia"/>
        </w:rPr>
        <w:noBreakHyphen/>
      </w:r>
      <w:r>
        <w:rPr>
          <w:rFonts w:eastAsiaTheme="minorEastAsia"/>
        </w:rPr>
        <w:t>3</w:t>
      </w:r>
      <w:r>
        <w:rPr>
          <w:rFonts w:cs="Times New Roman" w:eastAsiaTheme="minorEastAsia"/>
        </w:rPr>
        <w:fldChar w:fldCharType="end"/>
      </w:r>
      <w:r>
        <w:rPr>
          <w:rFonts w:cs="Times New Roman" w:eastAsiaTheme="minorEastAsia"/>
        </w:rPr>
        <w:t>。</w:t>
      </w:r>
    </w:p>
    <w:p>
      <w:pPr>
        <w:spacing w:line="240" w:lineRule="auto"/>
        <w:ind w:firstLine="0" w:firstLineChars="0"/>
        <w:rPr>
          <w:rFonts w:cs="Times New Roman" w:eastAsiaTheme="minorEastAsia"/>
        </w:rPr>
      </w:pPr>
      <w:r>
        <w:rPr>
          <w:rFonts w:cs="Times New Roman" w:eastAsiaTheme="minorEastAsia"/>
        </w:rPr>
        <w:br w:type="page"/>
      </w:r>
    </w:p>
    <w:p>
      <w:pPr>
        <w:ind w:firstLine="480"/>
        <w:rPr>
          <w:rFonts w:cs="Times New Roman" w:eastAsiaTheme="minorEastAsia"/>
        </w:rPr>
      </w:pPr>
    </w:p>
    <w:p>
      <w:pPr>
        <w:pStyle w:val="18"/>
      </w:pPr>
      <w:bookmarkStart w:id="99" w:name="_Ref522028029"/>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bookmarkEnd w:id="99"/>
      <w:r>
        <w:rPr>
          <w:rFonts w:hint="eastAsia"/>
        </w:rPr>
        <w:t>环境空气质量标准</w:t>
      </w:r>
    </w:p>
    <w:tbl>
      <w:tblPr>
        <w:tblStyle w:val="56"/>
        <w:tblW w:w="9054" w:type="dxa"/>
        <w:tblInd w:w="0" w:type="dxa"/>
        <w:tblLayout w:type="fixed"/>
        <w:tblCellMar>
          <w:top w:w="0" w:type="dxa"/>
          <w:left w:w="108" w:type="dxa"/>
          <w:bottom w:w="0" w:type="dxa"/>
          <w:right w:w="108" w:type="dxa"/>
        </w:tblCellMar>
      </w:tblPr>
      <w:tblGrid>
        <w:gridCol w:w="1212"/>
        <w:gridCol w:w="1934"/>
        <w:gridCol w:w="695"/>
        <w:gridCol w:w="719"/>
        <w:gridCol w:w="860"/>
        <w:gridCol w:w="3634"/>
      </w:tblGrid>
      <w:tr>
        <w:tblPrEx>
          <w:tblLayout w:type="fixed"/>
          <w:tblCellMar>
            <w:top w:w="0" w:type="dxa"/>
            <w:left w:w="108" w:type="dxa"/>
            <w:bottom w:w="0" w:type="dxa"/>
            <w:right w:w="108" w:type="dxa"/>
          </w:tblCellMar>
        </w:tblPrEx>
        <w:trPr>
          <w:trHeight w:val="20" w:hRule="atLeast"/>
          <w:tblHeader/>
        </w:trPr>
        <w:tc>
          <w:tcPr>
            <w:tcW w:w="1212" w:type="dxa"/>
            <w:vMerge w:val="restart"/>
            <w:tcBorders>
              <w:top w:val="single" w:color="auto" w:sz="6" w:space="0"/>
              <w:left w:val="single" w:color="auto" w:sz="6" w:space="0"/>
              <w:right w:val="single" w:color="auto" w:sz="6" w:space="0"/>
            </w:tcBorders>
            <w:shd w:val="clear" w:color="auto" w:fill="D8D8D8" w:themeFill="background1" w:themeFillShade="D9"/>
            <w:vAlign w:val="center"/>
          </w:tcPr>
          <w:p>
            <w:pPr>
              <w:pStyle w:val="107"/>
              <w:rPr>
                <w:b/>
              </w:rPr>
            </w:pPr>
            <w:r>
              <w:rPr>
                <w:rFonts w:hint="eastAsia"/>
                <w:b/>
              </w:rPr>
              <w:t>污染物项目</w:t>
            </w:r>
          </w:p>
        </w:tc>
        <w:tc>
          <w:tcPr>
            <w:tcW w:w="1934" w:type="dxa"/>
            <w:vMerge w:val="restart"/>
            <w:tcBorders>
              <w:top w:val="single" w:color="auto" w:sz="6" w:space="0"/>
              <w:left w:val="single" w:color="auto" w:sz="6" w:space="0"/>
              <w:right w:val="single" w:color="auto" w:sz="6" w:space="0"/>
            </w:tcBorders>
            <w:shd w:val="clear" w:color="auto" w:fill="D8D8D8" w:themeFill="background1" w:themeFillShade="D9"/>
            <w:vAlign w:val="center"/>
          </w:tcPr>
          <w:p>
            <w:pPr>
              <w:pStyle w:val="107"/>
              <w:rPr>
                <w:b/>
              </w:rPr>
            </w:pPr>
            <w:r>
              <w:rPr>
                <w:rFonts w:hint="eastAsia"/>
                <w:b/>
              </w:rPr>
              <w:t>取值时间</w:t>
            </w:r>
          </w:p>
        </w:tc>
        <w:tc>
          <w:tcPr>
            <w:tcW w:w="1414" w:type="dxa"/>
            <w:gridSpan w:val="2"/>
            <w:tcBorders>
              <w:top w:val="single" w:color="auto" w:sz="6" w:space="0"/>
              <w:left w:val="single" w:color="auto" w:sz="6" w:space="0"/>
              <w:bottom w:val="single" w:color="auto" w:sz="6" w:space="0"/>
              <w:right w:val="single" w:color="auto" w:sz="6" w:space="0"/>
            </w:tcBorders>
            <w:shd w:val="clear" w:color="auto" w:fill="D8D8D8" w:themeFill="background1" w:themeFillShade="D9"/>
            <w:vAlign w:val="center"/>
          </w:tcPr>
          <w:p>
            <w:pPr>
              <w:pStyle w:val="107"/>
              <w:rPr>
                <w:b/>
              </w:rPr>
            </w:pPr>
            <w:r>
              <w:rPr>
                <w:rFonts w:hint="eastAsia"/>
                <w:b/>
              </w:rPr>
              <w:t>浓度限值</w:t>
            </w:r>
          </w:p>
        </w:tc>
        <w:tc>
          <w:tcPr>
            <w:tcW w:w="860" w:type="dxa"/>
            <w:vMerge w:val="restart"/>
            <w:tcBorders>
              <w:top w:val="single" w:color="auto" w:sz="6" w:space="0"/>
              <w:left w:val="single" w:color="auto" w:sz="6" w:space="0"/>
              <w:right w:val="single" w:color="auto" w:sz="6" w:space="0"/>
            </w:tcBorders>
            <w:shd w:val="clear" w:color="auto" w:fill="D8D8D8" w:themeFill="background1" w:themeFillShade="D9"/>
            <w:vAlign w:val="center"/>
          </w:tcPr>
          <w:p>
            <w:pPr>
              <w:pStyle w:val="107"/>
              <w:rPr>
                <w:rFonts w:cs="等线"/>
                <w:b/>
                <w:sz w:val="22"/>
                <w:szCs w:val="22"/>
              </w:rPr>
            </w:pPr>
            <w:r>
              <w:rPr>
                <w:rFonts w:hint="eastAsia" w:cs="等线"/>
                <w:b/>
                <w:sz w:val="22"/>
                <w:szCs w:val="22"/>
              </w:rPr>
              <w:t>单位</w:t>
            </w:r>
          </w:p>
        </w:tc>
        <w:tc>
          <w:tcPr>
            <w:tcW w:w="3634" w:type="dxa"/>
            <w:vMerge w:val="restart"/>
            <w:tcBorders>
              <w:top w:val="single" w:color="auto" w:sz="6" w:space="0"/>
              <w:left w:val="single" w:color="auto" w:sz="6" w:space="0"/>
              <w:right w:val="single" w:color="auto" w:sz="6" w:space="0"/>
            </w:tcBorders>
            <w:shd w:val="clear" w:color="auto" w:fill="D8D8D8" w:themeFill="background1" w:themeFillShade="D9"/>
            <w:vAlign w:val="center"/>
          </w:tcPr>
          <w:p>
            <w:pPr>
              <w:pStyle w:val="107"/>
              <w:rPr>
                <w:b/>
              </w:rPr>
            </w:pPr>
            <w:r>
              <w:rPr>
                <w:rFonts w:hint="eastAsia"/>
                <w:b/>
              </w:rPr>
              <w:t>选用标准</w:t>
            </w:r>
          </w:p>
        </w:tc>
      </w:tr>
      <w:tr>
        <w:tblPrEx>
          <w:tblLayout w:type="fixed"/>
          <w:tblCellMar>
            <w:top w:w="0" w:type="dxa"/>
            <w:left w:w="108" w:type="dxa"/>
            <w:bottom w:w="0" w:type="dxa"/>
            <w:right w:w="108" w:type="dxa"/>
          </w:tblCellMar>
        </w:tblPrEx>
        <w:trPr>
          <w:trHeight w:val="20" w:hRule="atLeast"/>
          <w:tblHeader/>
        </w:trPr>
        <w:tc>
          <w:tcPr>
            <w:tcW w:w="1212" w:type="dxa"/>
            <w:vMerge w:val="continue"/>
            <w:tcBorders>
              <w:left w:val="single" w:color="auto" w:sz="6" w:space="0"/>
              <w:bottom w:val="single" w:color="auto" w:sz="6" w:space="0"/>
              <w:right w:val="single" w:color="auto" w:sz="6" w:space="0"/>
            </w:tcBorders>
            <w:shd w:val="clear" w:color="auto" w:fill="D8D8D8" w:themeFill="background1" w:themeFillShade="D9"/>
            <w:vAlign w:val="center"/>
          </w:tcPr>
          <w:p>
            <w:pPr>
              <w:pStyle w:val="107"/>
            </w:pPr>
          </w:p>
        </w:tc>
        <w:tc>
          <w:tcPr>
            <w:tcW w:w="1934" w:type="dxa"/>
            <w:vMerge w:val="continue"/>
            <w:tcBorders>
              <w:left w:val="single" w:color="auto" w:sz="6" w:space="0"/>
              <w:bottom w:val="single" w:color="auto" w:sz="6" w:space="0"/>
              <w:right w:val="single" w:color="auto" w:sz="6" w:space="0"/>
            </w:tcBorders>
            <w:shd w:val="clear" w:color="auto" w:fill="D8D8D8" w:themeFill="background1" w:themeFillShade="D9"/>
            <w:vAlign w:val="center"/>
          </w:tcPr>
          <w:p>
            <w:pPr>
              <w:pStyle w:val="107"/>
            </w:pPr>
          </w:p>
        </w:tc>
        <w:tc>
          <w:tcPr>
            <w:tcW w:w="695" w:type="dxa"/>
            <w:tcBorders>
              <w:top w:val="single" w:color="auto" w:sz="6" w:space="0"/>
              <w:left w:val="single" w:color="auto" w:sz="6" w:space="0"/>
              <w:bottom w:val="single" w:color="auto" w:sz="6" w:space="0"/>
              <w:right w:val="single" w:color="auto" w:sz="6" w:space="0"/>
            </w:tcBorders>
            <w:shd w:val="clear" w:color="auto" w:fill="D8D8D8" w:themeFill="background1" w:themeFillShade="D9"/>
            <w:vAlign w:val="center"/>
          </w:tcPr>
          <w:p>
            <w:pPr>
              <w:pStyle w:val="107"/>
            </w:pPr>
            <w:r>
              <w:rPr>
                <w:rFonts w:hint="eastAsia"/>
              </w:rPr>
              <w:t>一级</w:t>
            </w:r>
          </w:p>
        </w:tc>
        <w:tc>
          <w:tcPr>
            <w:tcW w:w="719" w:type="dxa"/>
            <w:tcBorders>
              <w:top w:val="single" w:color="auto" w:sz="6" w:space="0"/>
              <w:left w:val="single" w:color="auto" w:sz="6" w:space="0"/>
              <w:bottom w:val="single" w:color="auto" w:sz="4" w:space="0"/>
              <w:right w:val="single" w:color="auto" w:sz="6" w:space="0"/>
            </w:tcBorders>
            <w:shd w:val="clear" w:color="auto" w:fill="D8D8D8" w:themeFill="background1" w:themeFillShade="D9"/>
            <w:vAlign w:val="center"/>
          </w:tcPr>
          <w:p>
            <w:pPr>
              <w:pStyle w:val="107"/>
            </w:pPr>
            <w:r>
              <w:rPr>
                <w:rFonts w:hint="eastAsia"/>
              </w:rPr>
              <w:t>二级</w:t>
            </w:r>
          </w:p>
        </w:tc>
        <w:tc>
          <w:tcPr>
            <w:tcW w:w="860" w:type="dxa"/>
            <w:vMerge w:val="continue"/>
            <w:tcBorders>
              <w:left w:val="single" w:color="auto" w:sz="6" w:space="0"/>
              <w:bottom w:val="single" w:color="auto" w:sz="4" w:space="0"/>
              <w:right w:val="single" w:color="auto" w:sz="6" w:space="0"/>
            </w:tcBorders>
            <w:shd w:val="clear" w:color="auto" w:fill="D8D8D8" w:themeFill="background1" w:themeFillShade="D9"/>
            <w:vAlign w:val="center"/>
          </w:tcPr>
          <w:p>
            <w:pPr>
              <w:pStyle w:val="107"/>
              <w:rPr>
                <w:rFonts w:cs="等线"/>
                <w:sz w:val="22"/>
                <w:szCs w:val="22"/>
              </w:rPr>
            </w:pPr>
          </w:p>
        </w:tc>
        <w:tc>
          <w:tcPr>
            <w:tcW w:w="3634" w:type="dxa"/>
            <w:vMerge w:val="continue"/>
            <w:tcBorders>
              <w:left w:val="single" w:color="auto" w:sz="6" w:space="0"/>
              <w:bottom w:val="single" w:color="auto" w:sz="6" w:space="0"/>
              <w:right w:val="single" w:color="auto" w:sz="6" w:space="0"/>
            </w:tcBorders>
            <w:shd w:val="clear" w:color="auto" w:fill="D8D8D8" w:themeFill="background1" w:themeFillShade="D9"/>
            <w:vAlign w:val="center"/>
          </w:tcPr>
          <w:p>
            <w:pPr>
              <w:pStyle w:val="107"/>
            </w:pPr>
          </w:p>
        </w:tc>
      </w:tr>
      <w:tr>
        <w:tblPrEx>
          <w:tblLayout w:type="fixed"/>
          <w:tblCellMar>
            <w:top w:w="0" w:type="dxa"/>
            <w:left w:w="108" w:type="dxa"/>
            <w:bottom w:w="0" w:type="dxa"/>
            <w:right w:w="108" w:type="dxa"/>
          </w:tblCellMar>
        </w:tblPrEx>
        <w:trPr>
          <w:trHeight w:val="20" w:hRule="atLeast"/>
        </w:trPr>
        <w:tc>
          <w:tcPr>
            <w:tcW w:w="1212" w:type="dxa"/>
            <w:vMerge w:val="restart"/>
            <w:tcBorders>
              <w:top w:val="single" w:color="auto" w:sz="6" w:space="0"/>
              <w:left w:val="single" w:color="auto" w:sz="6" w:space="0"/>
              <w:right w:val="single" w:color="auto" w:sz="6" w:space="0"/>
            </w:tcBorders>
            <w:vAlign w:val="center"/>
          </w:tcPr>
          <w:p>
            <w:pPr>
              <w:pStyle w:val="107"/>
              <w:rPr>
                <w:rFonts w:cs="Arial"/>
                <w:vertAlign w:val="subscript"/>
              </w:rPr>
            </w:pPr>
            <w:r>
              <w:rPr>
                <w:rFonts w:cs="Arial"/>
              </w:rPr>
              <w:t>SO</w:t>
            </w:r>
            <w:r>
              <w:rPr>
                <w:rFonts w:cs="Arial"/>
                <w:vertAlign w:val="subscript"/>
              </w:rPr>
              <w:t>2</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pPr>
            <w:r>
              <w:rPr>
                <w:rFonts w:hint="eastAsia"/>
              </w:rPr>
              <w:t>年平均</w:t>
            </w:r>
          </w:p>
        </w:tc>
        <w:tc>
          <w:tcPr>
            <w:tcW w:w="695"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20</w:t>
            </w:r>
          </w:p>
        </w:tc>
        <w:tc>
          <w:tcPr>
            <w:tcW w:w="719"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60</w:t>
            </w:r>
          </w:p>
        </w:tc>
        <w:tc>
          <w:tcPr>
            <w:tcW w:w="860" w:type="dxa"/>
            <w:vMerge w:val="restart"/>
            <w:tcBorders>
              <w:top w:val="single" w:color="auto" w:sz="6" w:space="0"/>
              <w:left w:val="single" w:color="auto" w:sz="6" w:space="0"/>
              <w:right w:val="single" w:color="auto" w:sz="6" w:space="0"/>
            </w:tcBorders>
            <w:vAlign w:val="center"/>
          </w:tcPr>
          <w:p>
            <w:pPr>
              <w:pStyle w:val="107"/>
              <w:rPr>
                <w:rFonts w:cs="Arial"/>
                <w:vertAlign w:val="superscript"/>
              </w:rPr>
            </w:pPr>
            <w:r>
              <w:rPr>
                <w:rFonts w:cs="Arial"/>
              </w:rPr>
              <w:t>μg/m</w:t>
            </w:r>
            <w:r>
              <w:rPr>
                <w:rFonts w:cs="Arial"/>
                <w:vertAlign w:val="superscript"/>
              </w:rPr>
              <w:t>3</w:t>
            </w:r>
          </w:p>
        </w:tc>
        <w:tc>
          <w:tcPr>
            <w:tcW w:w="3634" w:type="dxa"/>
            <w:vMerge w:val="restart"/>
            <w:tcBorders>
              <w:top w:val="single" w:color="auto" w:sz="6" w:space="0"/>
              <w:left w:val="single" w:color="auto" w:sz="6" w:space="0"/>
              <w:right w:val="single" w:color="auto" w:sz="6" w:space="0"/>
            </w:tcBorders>
            <w:vAlign w:val="center"/>
          </w:tcPr>
          <w:p>
            <w:pPr>
              <w:pStyle w:val="107"/>
            </w:pPr>
            <w:r>
              <w:rPr>
                <w:rFonts w:cs="Times New Roman"/>
              </w:rPr>
              <w:t>《环境空气质量标准》（GB 3095-2012）</w:t>
            </w:r>
          </w:p>
        </w:tc>
      </w:tr>
      <w:tr>
        <w:tblPrEx>
          <w:tblLayout w:type="fixed"/>
          <w:tblCellMar>
            <w:top w:w="0" w:type="dxa"/>
            <w:left w:w="108" w:type="dxa"/>
            <w:bottom w:w="0" w:type="dxa"/>
            <w:right w:w="108" w:type="dxa"/>
          </w:tblCellMar>
        </w:tblPrEx>
        <w:trPr>
          <w:trHeight w:val="20" w:hRule="atLeast"/>
        </w:trPr>
        <w:tc>
          <w:tcPr>
            <w:tcW w:w="1212" w:type="dxa"/>
            <w:vMerge w:val="continue"/>
            <w:tcBorders>
              <w:left w:val="single" w:color="auto" w:sz="6" w:space="0"/>
              <w:right w:val="single" w:color="auto" w:sz="6" w:space="0"/>
            </w:tcBorders>
            <w:vAlign w:val="center"/>
          </w:tcPr>
          <w:p>
            <w:pPr>
              <w:pStyle w:val="107"/>
              <w:rPr>
                <w:rFonts w:cs="Arial"/>
              </w:rPr>
            </w:pPr>
          </w:p>
        </w:tc>
        <w:tc>
          <w:tcPr>
            <w:tcW w:w="1934" w:type="dxa"/>
            <w:tcBorders>
              <w:top w:val="single" w:color="auto" w:sz="6" w:space="0"/>
              <w:left w:val="single" w:color="auto" w:sz="6" w:space="0"/>
              <w:bottom w:val="single" w:color="auto" w:sz="6" w:space="0"/>
              <w:right w:val="single" w:color="auto" w:sz="6" w:space="0"/>
            </w:tcBorders>
            <w:vAlign w:val="center"/>
          </w:tcPr>
          <w:p>
            <w:pPr>
              <w:pStyle w:val="107"/>
            </w:pPr>
            <w:r>
              <w:rPr>
                <w:rFonts w:cs="Arial"/>
              </w:rPr>
              <w:t>24</w:t>
            </w:r>
            <w:r>
              <w:rPr>
                <w:rFonts w:hint="eastAsia"/>
              </w:rPr>
              <w:t>小时平均</w:t>
            </w:r>
          </w:p>
        </w:tc>
        <w:tc>
          <w:tcPr>
            <w:tcW w:w="695"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50</w:t>
            </w:r>
          </w:p>
        </w:tc>
        <w:tc>
          <w:tcPr>
            <w:tcW w:w="719"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150</w:t>
            </w:r>
          </w:p>
        </w:tc>
        <w:tc>
          <w:tcPr>
            <w:tcW w:w="860" w:type="dxa"/>
            <w:vMerge w:val="continue"/>
            <w:tcBorders>
              <w:left w:val="single" w:color="auto" w:sz="6" w:space="0"/>
              <w:right w:val="single" w:color="auto" w:sz="6" w:space="0"/>
            </w:tcBorders>
            <w:vAlign w:val="center"/>
          </w:tcPr>
          <w:p>
            <w:pPr>
              <w:pStyle w:val="107"/>
              <w:rPr>
                <w:rFonts w:cs="Arial"/>
              </w:rPr>
            </w:pPr>
          </w:p>
        </w:tc>
        <w:tc>
          <w:tcPr>
            <w:tcW w:w="3634" w:type="dxa"/>
            <w:vMerge w:val="continue"/>
            <w:tcBorders>
              <w:left w:val="single" w:color="auto" w:sz="6" w:space="0"/>
              <w:right w:val="single" w:color="auto" w:sz="6"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1212" w:type="dxa"/>
            <w:vMerge w:val="continue"/>
            <w:tcBorders>
              <w:left w:val="single" w:color="auto" w:sz="6" w:space="0"/>
              <w:bottom w:val="single" w:color="auto" w:sz="6" w:space="0"/>
              <w:right w:val="single" w:color="auto" w:sz="6" w:space="0"/>
            </w:tcBorders>
            <w:vAlign w:val="center"/>
          </w:tcPr>
          <w:p>
            <w:pPr>
              <w:pStyle w:val="107"/>
              <w:rPr>
                <w:rFonts w:cs="Arial"/>
              </w:rPr>
            </w:pPr>
          </w:p>
        </w:tc>
        <w:tc>
          <w:tcPr>
            <w:tcW w:w="1934" w:type="dxa"/>
            <w:tcBorders>
              <w:top w:val="single" w:color="auto" w:sz="6" w:space="0"/>
              <w:left w:val="single" w:color="auto" w:sz="6" w:space="0"/>
              <w:bottom w:val="single" w:color="auto" w:sz="6" w:space="0"/>
              <w:right w:val="single" w:color="auto" w:sz="6" w:space="0"/>
            </w:tcBorders>
            <w:vAlign w:val="center"/>
          </w:tcPr>
          <w:p>
            <w:pPr>
              <w:pStyle w:val="107"/>
            </w:pPr>
            <w:r>
              <w:rPr>
                <w:rFonts w:cs="Arial"/>
              </w:rPr>
              <w:t>1</w:t>
            </w:r>
            <w:r>
              <w:rPr>
                <w:rFonts w:hint="eastAsia"/>
              </w:rPr>
              <w:t>小时平均</w:t>
            </w:r>
          </w:p>
        </w:tc>
        <w:tc>
          <w:tcPr>
            <w:tcW w:w="695"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150</w:t>
            </w:r>
          </w:p>
        </w:tc>
        <w:tc>
          <w:tcPr>
            <w:tcW w:w="719"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500</w:t>
            </w:r>
          </w:p>
        </w:tc>
        <w:tc>
          <w:tcPr>
            <w:tcW w:w="860" w:type="dxa"/>
            <w:vMerge w:val="continue"/>
            <w:tcBorders>
              <w:left w:val="single" w:color="auto" w:sz="6" w:space="0"/>
              <w:right w:val="single" w:color="auto" w:sz="6" w:space="0"/>
            </w:tcBorders>
            <w:vAlign w:val="center"/>
          </w:tcPr>
          <w:p>
            <w:pPr>
              <w:pStyle w:val="107"/>
              <w:rPr>
                <w:rFonts w:cs="Arial"/>
              </w:rPr>
            </w:pPr>
          </w:p>
        </w:tc>
        <w:tc>
          <w:tcPr>
            <w:tcW w:w="3634" w:type="dxa"/>
            <w:vMerge w:val="continue"/>
            <w:tcBorders>
              <w:left w:val="single" w:color="auto" w:sz="6" w:space="0"/>
              <w:right w:val="single" w:color="auto" w:sz="6"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1212" w:type="dxa"/>
            <w:vMerge w:val="restart"/>
            <w:tcBorders>
              <w:top w:val="single" w:color="auto" w:sz="6" w:space="0"/>
              <w:left w:val="single" w:color="auto" w:sz="6" w:space="0"/>
              <w:right w:val="single" w:color="auto" w:sz="6" w:space="0"/>
            </w:tcBorders>
            <w:vAlign w:val="center"/>
          </w:tcPr>
          <w:p>
            <w:pPr>
              <w:pStyle w:val="107"/>
              <w:rPr>
                <w:rFonts w:cs="Arial"/>
                <w:vertAlign w:val="subscript"/>
              </w:rPr>
            </w:pPr>
            <w:r>
              <w:rPr>
                <w:rFonts w:cs="Arial"/>
              </w:rPr>
              <w:t>NO</w:t>
            </w:r>
            <w:r>
              <w:rPr>
                <w:rFonts w:cs="Arial"/>
                <w:vertAlign w:val="subscript"/>
              </w:rPr>
              <w:t>2</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pPr>
            <w:r>
              <w:rPr>
                <w:rFonts w:hint="eastAsia"/>
              </w:rPr>
              <w:t>年平均</w:t>
            </w:r>
          </w:p>
        </w:tc>
        <w:tc>
          <w:tcPr>
            <w:tcW w:w="695"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40</w:t>
            </w:r>
          </w:p>
        </w:tc>
        <w:tc>
          <w:tcPr>
            <w:tcW w:w="719"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40</w:t>
            </w:r>
          </w:p>
        </w:tc>
        <w:tc>
          <w:tcPr>
            <w:tcW w:w="860" w:type="dxa"/>
            <w:vMerge w:val="continue"/>
            <w:tcBorders>
              <w:left w:val="single" w:color="auto" w:sz="6" w:space="0"/>
              <w:right w:val="single" w:color="auto" w:sz="6" w:space="0"/>
            </w:tcBorders>
            <w:vAlign w:val="center"/>
          </w:tcPr>
          <w:p>
            <w:pPr>
              <w:pStyle w:val="107"/>
              <w:rPr>
                <w:rFonts w:cs="Arial"/>
              </w:rPr>
            </w:pPr>
          </w:p>
        </w:tc>
        <w:tc>
          <w:tcPr>
            <w:tcW w:w="3634" w:type="dxa"/>
            <w:vMerge w:val="continue"/>
            <w:tcBorders>
              <w:left w:val="single" w:color="auto" w:sz="6" w:space="0"/>
              <w:right w:val="single" w:color="auto" w:sz="6"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1212" w:type="dxa"/>
            <w:vMerge w:val="continue"/>
            <w:tcBorders>
              <w:left w:val="single" w:color="auto" w:sz="6" w:space="0"/>
              <w:right w:val="single" w:color="auto" w:sz="6" w:space="0"/>
            </w:tcBorders>
            <w:vAlign w:val="center"/>
          </w:tcPr>
          <w:p>
            <w:pPr>
              <w:pStyle w:val="107"/>
              <w:rPr>
                <w:rFonts w:cs="Arial"/>
              </w:rPr>
            </w:pPr>
          </w:p>
        </w:tc>
        <w:tc>
          <w:tcPr>
            <w:tcW w:w="1934" w:type="dxa"/>
            <w:tcBorders>
              <w:top w:val="single" w:color="auto" w:sz="6" w:space="0"/>
              <w:left w:val="single" w:color="auto" w:sz="6" w:space="0"/>
              <w:bottom w:val="single" w:color="auto" w:sz="6" w:space="0"/>
              <w:right w:val="single" w:color="auto" w:sz="6" w:space="0"/>
            </w:tcBorders>
            <w:vAlign w:val="center"/>
          </w:tcPr>
          <w:p>
            <w:pPr>
              <w:pStyle w:val="107"/>
            </w:pPr>
            <w:r>
              <w:rPr>
                <w:rFonts w:cs="Arial"/>
              </w:rPr>
              <w:t>24</w:t>
            </w:r>
            <w:r>
              <w:rPr>
                <w:rFonts w:hint="eastAsia"/>
              </w:rPr>
              <w:t>小时平均</w:t>
            </w:r>
          </w:p>
        </w:tc>
        <w:tc>
          <w:tcPr>
            <w:tcW w:w="695"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80</w:t>
            </w:r>
          </w:p>
        </w:tc>
        <w:tc>
          <w:tcPr>
            <w:tcW w:w="719"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80</w:t>
            </w:r>
          </w:p>
        </w:tc>
        <w:tc>
          <w:tcPr>
            <w:tcW w:w="860" w:type="dxa"/>
            <w:vMerge w:val="continue"/>
            <w:tcBorders>
              <w:left w:val="single" w:color="auto" w:sz="6" w:space="0"/>
              <w:right w:val="single" w:color="auto" w:sz="6" w:space="0"/>
            </w:tcBorders>
            <w:vAlign w:val="center"/>
          </w:tcPr>
          <w:p>
            <w:pPr>
              <w:pStyle w:val="107"/>
              <w:rPr>
                <w:rFonts w:cs="Arial"/>
              </w:rPr>
            </w:pPr>
          </w:p>
        </w:tc>
        <w:tc>
          <w:tcPr>
            <w:tcW w:w="3634" w:type="dxa"/>
            <w:vMerge w:val="continue"/>
            <w:tcBorders>
              <w:left w:val="single" w:color="auto" w:sz="6" w:space="0"/>
              <w:right w:val="single" w:color="auto" w:sz="6"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1212" w:type="dxa"/>
            <w:vMerge w:val="continue"/>
            <w:tcBorders>
              <w:left w:val="single" w:color="auto" w:sz="6" w:space="0"/>
              <w:bottom w:val="single" w:color="auto" w:sz="4" w:space="0"/>
              <w:right w:val="single" w:color="auto" w:sz="6" w:space="0"/>
            </w:tcBorders>
            <w:vAlign w:val="center"/>
          </w:tcPr>
          <w:p>
            <w:pPr>
              <w:pStyle w:val="107"/>
              <w:rPr>
                <w:rFonts w:cs="Arial"/>
              </w:rPr>
            </w:pPr>
          </w:p>
        </w:tc>
        <w:tc>
          <w:tcPr>
            <w:tcW w:w="1934" w:type="dxa"/>
            <w:tcBorders>
              <w:top w:val="single" w:color="auto" w:sz="6" w:space="0"/>
              <w:left w:val="single" w:color="auto" w:sz="6" w:space="0"/>
              <w:bottom w:val="single" w:color="auto" w:sz="6" w:space="0"/>
              <w:right w:val="single" w:color="auto" w:sz="6" w:space="0"/>
            </w:tcBorders>
            <w:vAlign w:val="center"/>
          </w:tcPr>
          <w:p>
            <w:pPr>
              <w:pStyle w:val="107"/>
            </w:pPr>
            <w:r>
              <w:rPr>
                <w:rFonts w:cs="Arial"/>
              </w:rPr>
              <w:t>1</w:t>
            </w:r>
            <w:r>
              <w:rPr>
                <w:rFonts w:hint="eastAsia"/>
              </w:rPr>
              <w:t>小时平均</w:t>
            </w:r>
          </w:p>
        </w:tc>
        <w:tc>
          <w:tcPr>
            <w:tcW w:w="695"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200</w:t>
            </w:r>
          </w:p>
        </w:tc>
        <w:tc>
          <w:tcPr>
            <w:tcW w:w="719"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200</w:t>
            </w:r>
          </w:p>
        </w:tc>
        <w:tc>
          <w:tcPr>
            <w:tcW w:w="860" w:type="dxa"/>
            <w:vMerge w:val="continue"/>
            <w:tcBorders>
              <w:left w:val="single" w:color="auto" w:sz="6" w:space="0"/>
              <w:right w:val="single" w:color="auto" w:sz="6" w:space="0"/>
            </w:tcBorders>
            <w:vAlign w:val="center"/>
          </w:tcPr>
          <w:p>
            <w:pPr>
              <w:pStyle w:val="107"/>
              <w:rPr>
                <w:rFonts w:cs="Arial"/>
              </w:rPr>
            </w:pPr>
          </w:p>
        </w:tc>
        <w:tc>
          <w:tcPr>
            <w:tcW w:w="3634" w:type="dxa"/>
            <w:vMerge w:val="continue"/>
            <w:tcBorders>
              <w:left w:val="single" w:color="auto" w:sz="6" w:space="0"/>
              <w:right w:val="single" w:color="auto" w:sz="6"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1212"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cs="Arial"/>
              </w:rPr>
            </w:pPr>
            <w:r>
              <w:rPr>
                <w:rFonts w:cs="Arial"/>
              </w:rPr>
              <w:t>O</w:t>
            </w:r>
            <w:r>
              <w:rPr>
                <w:rFonts w:cs="Arial"/>
                <w:vertAlign w:val="subscript"/>
              </w:rPr>
              <w:t>3</w:t>
            </w:r>
          </w:p>
        </w:tc>
        <w:tc>
          <w:tcPr>
            <w:tcW w:w="1934" w:type="dxa"/>
            <w:tcBorders>
              <w:top w:val="single" w:color="auto" w:sz="6" w:space="0"/>
              <w:left w:val="single" w:color="auto" w:sz="4" w:space="0"/>
              <w:bottom w:val="single" w:color="auto" w:sz="6" w:space="0"/>
              <w:right w:val="single" w:color="auto" w:sz="6" w:space="0"/>
            </w:tcBorders>
          </w:tcPr>
          <w:p>
            <w:pPr>
              <w:pStyle w:val="107"/>
              <w:rPr>
                <w:rFonts w:cs="Arial"/>
              </w:rPr>
            </w:pPr>
            <w:r>
              <w:rPr>
                <w:rFonts w:hint="eastAsia"/>
              </w:rPr>
              <w:t>日最大</w:t>
            </w:r>
            <w:r>
              <w:rPr>
                <w:rFonts w:cs="Arial"/>
              </w:rPr>
              <w:t>8</w:t>
            </w:r>
            <w:r>
              <w:rPr>
                <w:rFonts w:hint="eastAsia"/>
              </w:rPr>
              <w:t>小时平均</w:t>
            </w:r>
          </w:p>
        </w:tc>
        <w:tc>
          <w:tcPr>
            <w:tcW w:w="695" w:type="dxa"/>
            <w:tcBorders>
              <w:top w:val="single" w:color="auto" w:sz="6" w:space="0"/>
              <w:left w:val="single" w:color="auto" w:sz="6" w:space="0"/>
              <w:bottom w:val="single" w:color="auto" w:sz="6" w:space="0"/>
              <w:right w:val="single" w:color="auto" w:sz="6" w:space="0"/>
            </w:tcBorders>
          </w:tcPr>
          <w:p>
            <w:pPr>
              <w:pStyle w:val="107"/>
              <w:rPr>
                <w:rFonts w:cs="Arial"/>
              </w:rPr>
            </w:pPr>
            <w:r>
              <w:rPr>
                <w:rFonts w:cs="Arial"/>
              </w:rPr>
              <w:t>100</w:t>
            </w:r>
          </w:p>
        </w:tc>
        <w:tc>
          <w:tcPr>
            <w:tcW w:w="719" w:type="dxa"/>
            <w:tcBorders>
              <w:top w:val="single" w:color="auto" w:sz="6" w:space="0"/>
              <w:left w:val="single" w:color="auto" w:sz="6" w:space="0"/>
              <w:bottom w:val="single" w:color="auto" w:sz="6" w:space="0"/>
              <w:right w:val="single" w:color="auto" w:sz="6" w:space="0"/>
            </w:tcBorders>
          </w:tcPr>
          <w:p>
            <w:pPr>
              <w:pStyle w:val="107"/>
              <w:rPr>
                <w:rFonts w:cs="Arial"/>
              </w:rPr>
            </w:pPr>
            <w:r>
              <w:rPr>
                <w:rFonts w:cs="Arial"/>
              </w:rPr>
              <w:t>160</w:t>
            </w:r>
          </w:p>
        </w:tc>
        <w:tc>
          <w:tcPr>
            <w:tcW w:w="860" w:type="dxa"/>
            <w:vMerge w:val="continue"/>
            <w:tcBorders>
              <w:left w:val="single" w:color="auto" w:sz="6" w:space="0"/>
              <w:right w:val="single" w:color="auto" w:sz="6" w:space="0"/>
            </w:tcBorders>
            <w:vAlign w:val="center"/>
          </w:tcPr>
          <w:p>
            <w:pPr>
              <w:pStyle w:val="107"/>
              <w:rPr>
                <w:rFonts w:cs="Arial"/>
              </w:rPr>
            </w:pPr>
          </w:p>
        </w:tc>
        <w:tc>
          <w:tcPr>
            <w:tcW w:w="3634" w:type="dxa"/>
            <w:vMerge w:val="continue"/>
            <w:tcBorders>
              <w:left w:val="single" w:color="auto" w:sz="6" w:space="0"/>
              <w:right w:val="single" w:color="auto" w:sz="6"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1212" w:type="dxa"/>
            <w:vMerge w:val="continue"/>
            <w:tcBorders>
              <w:top w:val="single" w:color="auto" w:sz="4" w:space="0"/>
              <w:left w:val="single" w:color="auto" w:sz="4" w:space="0"/>
              <w:bottom w:val="single" w:color="auto" w:sz="4" w:space="0"/>
              <w:right w:val="single" w:color="auto" w:sz="4" w:space="0"/>
            </w:tcBorders>
          </w:tcPr>
          <w:p>
            <w:pPr>
              <w:pStyle w:val="107"/>
              <w:rPr>
                <w:rFonts w:cs="Arial"/>
              </w:rPr>
            </w:pPr>
          </w:p>
        </w:tc>
        <w:tc>
          <w:tcPr>
            <w:tcW w:w="1934" w:type="dxa"/>
            <w:tcBorders>
              <w:top w:val="single" w:color="auto" w:sz="6" w:space="0"/>
              <w:left w:val="single" w:color="auto" w:sz="4" w:space="0"/>
              <w:bottom w:val="single" w:color="auto" w:sz="6" w:space="0"/>
              <w:right w:val="single" w:color="auto" w:sz="6" w:space="0"/>
            </w:tcBorders>
          </w:tcPr>
          <w:p>
            <w:pPr>
              <w:pStyle w:val="107"/>
              <w:rPr>
                <w:rFonts w:cs="Arial"/>
              </w:rPr>
            </w:pPr>
            <w:r>
              <w:rPr>
                <w:rFonts w:cs="Arial"/>
              </w:rPr>
              <w:t>1</w:t>
            </w:r>
            <w:r>
              <w:rPr>
                <w:rFonts w:hint="eastAsia"/>
              </w:rPr>
              <w:t>小时平均</w:t>
            </w:r>
          </w:p>
        </w:tc>
        <w:tc>
          <w:tcPr>
            <w:tcW w:w="695" w:type="dxa"/>
            <w:tcBorders>
              <w:top w:val="single" w:color="auto" w:sz="6" w:space="0"/>
              <w:left w:val="single" w:color="auto" w:sz="6" w:space="0"/>
              <w:bottom w:val="single" w:color="auto" w:sz="6" w:space="0"/>
              <w:right w:val="single" w:color="auto" w:sz="6" w:space="0"/>
            </w:tcBorders>
          </w:tcPr>
          <w:p>
            <w:pPr>
              <w:pStyle w:val="107"/>
              <w:rPr>
                <w:rFonts w:cs="Arial"/>
              </w:rPr>
            </w:pPr>
            <w:r>
              <w:rPr>
                <w:rFonts w:cs="Arial"/>
              </w:rPr>
              <w:t>160</w:t>
            </w:r>
          </w:p>
        </w:tc>
        <w:tc>
          <w:tcPr>
            <w:tcW w:w="719" w:type="dxa"/>
            <w:tcBorders>
              <w:top w:val="single" w:color="auto" w:sz="6" w:space="0"/>
              <w:left w:val="single" w:color="auto" w:sz="6" w:space="0"/>
              <w:bottom w:val="single" w:color="auto" w:sz="6" w:space="0"/>
              <w:right w:val="single" w:color="auto" w:sz="6" w:space="0"/>
            </w:tcBorders>
          </w:tcPr>
          <w:p>
            <w:pPr>
              <w:pStyle w:val="107"/>
              <w:rPr>
                <w:rFonts w:cs="Arial"/>
              </w:rPr>
            </w:pPr>
            <w:r>
              <w:rPr>
                <w:rFonts w:cs="Arial"/>
              </w:rPr>
              <w:t>200</w:t>
            </w:r>
          </w:p>
        </w:tc>
        <w:tc>
          <w:tcPr>
            <w:tcW w:w="860" w:type="dxa"/>
            <w:vMerge w:val="continue"/>
            <w:tcBorders>
              <w:left w:val="single" w:color="auto" w:sz="6" w:space="0"/>
              <w:right w:val="single" w:color="auto" w:sz="6" w:space="0"/>
            </w:tcBorders>
            <w:vAlign w:val="center"/>
          </w:tcPr>
          <w:p>
            <w:pPr>
              <w:pStyle w:val="107"/>
              <w:rPr>
                <w:rFonts w:cs="Arial"/>
              </w:rPr>
            </w:pPr>
          </w:p>
        </w:tc>
        <w:tc>
          <w:tcPr>
            <w:tcW w:w="3634" w:type="dxa"/>
            <w:vMerge w:val="continue"/>
            <w:tcBorders>
              <w:left w:val="single" w:color="auto" w:sz="6" w:space="0"/>
              <w:right w:val="single" w:color="auto" w:sz="6"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1212" w:type="dxa"/>
            <w:vMerge w:val="restart"/>
            <w:tcBorders>
              <w:top w:val="single" w:color="auto" w:sz="4" w:space="0"/>
              <w:left w:val="single" w:color="auto" w:sz="6" w:space="0"/>
              <w:right w:val="single" w:color="auto" w:sz="6" w:space="0"/>
            </w:tcBorders>
            <w:vAlign w:val="center"/>
          </w:tcPr>
          <w:p>
            <w:pPr>
              <w:pStyle w:val="107"/>
              <w:rPr>
                <w:rFonts w:cs="Arial"/>
                <w:vertAlign w:val="subscript"/>
              </w:rPr>
            </w:pPr>
            <w:r>
              <w:rPr>
                <w:rFonts w:cs="Arial"/>
              </w:rPr>
              <w:t>PM</w:t>
            </w:r>
            <w:r>
              <w:rPr>
                <w:rFonts w:cs="Arial"/>
                <w:vertAlign w:val="subscript"/>
              </w:rPr>
              <w:t>10</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pPr>
            <w:r>
              <w:rPr>
                <w:rFonts w:hint="eastAsia"/>
              </w:rPr>
              <w:t>年平均</w:t>
            </w:r>
          </w:p>
        </w:tc>
        <w:tc>
          <w:tcPr>
            <w:tcW w:w="695"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40</w:t>
            </w:r>
          </w:p>
        </w:tc>
        <w:tc>
          <w:tcPr>
            <w:tcW w:w="719"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70</w:t>
            </w:r>
          </w:p>
        </w:tc>
        <w:tc>
          <w:tcPr>
            <w:tcW w:w="860" w:type="dxa"/>
            <w:vMerge w:val="continue"/>
            <w:tcBorders>
              <w:left w:val="single" w:color="auto" w:sz="6" w:space="0"/>
              <w:right w:val="single" w:color="auto" w:sz="6" w:space="0"/>
            </w:tcBorders>
            <w:vAlign w:val="center"/>
          </w:tcPr>
          <w:p>
            <w:pPr>
              <w:pStyle w:val="107"/>
              <w:rPr>
                <w:rFonts w:cs="Arial"/>
              </w:rPr>
            </w:pPr>
          </w:p>
        </w:tc>
        <w:tc>
          <w:tcPr>
            <w:tcW w:w="3634" w:type="dxa"/>
            <w:vMerge w:val="continue"/>
            <w:tcBorders>
              <w:left w:val="single" w:color="auto" w:sz="6" w:space="0"/>
              <w:right w:val="single" w:color="auto" w:sz="6"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1212" w:type="dxa"/>
            <w:vMerge w:val="continue"/>
            <w:tcBorders>
              <w:left w:val="single" w:color="auto" w:sz="6" w:space="0"/>
              <w:bottom w:val="single" w:color="auto" w:sz="6" w:space="0"/>
              <w:right w:val="single" w:color="auto" w:sz="6" w:space="0"/>
            </w:tcBorders>
            <w:vAlign w:val="center"/>
          </w:tcPr>
          <w:p>
            <w:pPr>
              <w:pStyle w:val="107"/>
              <w:rPr>
                <w:rFonts w:cs="Arial"/>
              </w:rPr>
            </w:pPr>
          </w:p>
        </w:tc>
        <w:tc>
          <w:tcPr>
            <w:tcW w:w="1934" w:type="dxa"/>
            <w:tcBorders>
              <w:top w:val="single" w:color="auto" w:sz="6" w:space="0"/>
              <w:left w:val="single" w:color="auto" w:sz="6" w:space="0"/>
              <w:bottom w:val="single" w:color="auto" w:sz="6" w:space="0"/>
              <w:right w:val="single" w:color="auto" w:sz="6" w:space="0"/>
            </w:tcBorders>
            <w:vAlign w:val="center"/>
          </w:tcPr>
          <w:p>
            <w:pPr>
              <w:pStyle w:val="107"/>
            </w:pPr>
            <w:r>
              <w:rPr>
                <w:rFonts w:cs="Arial"/>
              </w:rPr>
              <w:t>24</w:t>
            </w:r>
            <w:r>
              <w:rPr>
                <w:rFonts w:hint="eastAsia"/>
              </w:rPr>
              <w:t>小时平均</w:t>
            </w:r>
          </w:p>
        </w:tc>
        <w:tc>
          <w:tcPr>
            <w:tcW w:w="695"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50</w:t>
            </w:r>
          </w:p>
        </w:tc>
        <w:tc>
          <w:tcPr>
            <w:tcW w:w="719" w:type="dxa"/>
            <w:tcBorders>
              <w:top w:val="single" w:color="auto" w:sz="6" w:space="0"/>
              <w:left w:val="single" w:color="auto" w:sz="6" w:space="0"/>
              <w:bottom w:val="single" w:color="auto" w:sz="6" w:space="0"/>
              <w:right w:val="single" w:color="auto" w:sz="4" w:space="0"/>
            </w:tcBorders>
            <w:vAlign w:val="center"/>
          </w:tcPr>
          <w:p>
            <w:pPr>
              <w:pStyle w:val="107"/>
              <w:rPr>
                <w:rFonts w:cs="Arial"/>
              </w:rPr>
            </w:pPr>
            <w:r>
              <w:rPr>
                <w:rFonts w:cs="Arial"/>
              </w:rPr>
              <w:t>150</w:t>
            </w:r>
          </w:p>
        </w:tc>
        <w:tc>
          <w:tcPr>
            <w:tcW w:w="860" w:type="dxa"/>
            <w:vMerge w:val="continue"/>
            <w:tcBorders>
              <w:left w:val="single" w:color="auto" w:sz="4" w:space="0"/>
              <w:bottom w:val="single" w:color="auto" w:sz="4" w:space="0"/>
              <w:right w:val="single" w:color="auto" w:sz="6" w:space="0"/>
            </w:tcBorders>
            <w:vAlign w:val="center"/>
          </w:tcPr>
          <w:p>
            <w:pPr>
              <w:pStyle w:val="107"/>
              <w:rPr>
                <w:rFonts w:cs="Arial"/>
              </w:rPr>
            </w:pPr>
          </w:p>
        </w:tc>
        <w:tc>
          <w:tcPr>
            <w:tcW w:w="3634" w:type="dxa"/>
            <w:vMerge w:val="continue"/>
            <w:tcBorders>
              <w:left w:val="single" w:color="auto" w:sz="6" w:space="0"/>
              <w:right w:val="single" w:color="auto" w:sz="6"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1212" w:type="dxa"/>
            <w:vMerge w:val="restart"/>
            <w:tcBorders>
              <w:left w:val="single" w:color="auto" w:sz="6" w:space="0"/>
              <w:right w:val="single" w:color="auto" w:sz="6" w:space="0"/>
            </w:tcBorders>
            <w:vAlign w:val="center"/>
          </w:tcPr>
          <w:p>
            <w:pPr>
              <w:pStyle w:val="107"/>
              <w:rPr>
                <w:rFonts w:cs="Arial"/>
              </w:rPr>
            </w:pPr>
            <w:r>
              <w:rPr>
                <w:rFonts w:hint="eastAsia" w:cs="Arial"/>
              </w:rPr>
              <w:t>C</w:t>
            </w:r>
            <w:r>
              <w:rPr>
                <w:rFonts w:cs="Arial"/>
              </w:rPr>
              <w:t>O</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24</w:t>
            </w:r>
            <w:r>
              <w:rPr>
                <w:rFonts w:hint="eastAsia"/>
              </w:rPr>
              <w:t>小时平均</w:t>
            </w:r>
          </w:p>
        </w:tc>
        <w:tc>
          <w:tcPr>
            <w:tcW w:w="695"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hint="eastAsia" w:cs="Arial"/>
              </w:rPr>
              <w:t>4</w:t>
            </w:r>
          </w:p>
        </w:tc>
        <w:tc>
          <w:tcPr>
            <w:tcW w:w="719" w:type="dxa"/>
            <w:tcBorders>
              <w:top w:val="single" w:color="auto" w:sz="4" w:space="0"/>
              <w:left w:val="single" w:color="auto" w:sz="6" w:space="0"/>
              <w:bottom w:val="single" w:color="auto" w:sz="6" w:space="0"/>
              <w:right w:val="single" w:color="auto" w:sz="4" w:space="0"/>
            </w:tcBorders>
            <w:vAlign w:val="center"/>
          </w:tcPr>
          <w:p>
            <w:pPr>
              <w:pStyle w:val="107"/>
              <w:rPr>
                <w:rFonts w:cs="Arial"/>
              </w:rPr>
            </w:pPr>
            <w:r>
              <w:rPr>
                <w:rFonts w:hint="eastAsia" w:cs="Arial"/>
              </w:rPr>
              <w:t>4</w:t>
            </w:r>
          </w:p>
        </w:tc>
        <w:tc>
          <w:tcPr>
            <w:tcW w:w="860" w:type="dxa"/>
            <w:vMerge w:val="restart"/>
            <w:tcBorders>
              <w:top w:val="single" w:color="auto" w:sz="4" w:space="0"/>
              <w:left w:val="single" w:color="auto" w:sz="4" w:space="0"/>
              <w:right w:val="single" w:color="auto" w:sz="6" w:space="0"/>
            </w:tcBorders>
            <w:vAlign w:val="center"/>
          </w:tcPr>
          <w:p>
            <w:pPr>
              <w:pStyle w:val="107"/>
              <w:rPr>
                <w:rFonts w:cs="Arial"/>
              </w:rPr>
            </w:pPr>
            <w:r>
              <w:rPr>
                <w:rFonts w:cs="Arial"/>
              </w:rPr>
              <w:t>mg/m</w:t>
            </w:r>
            <w:r>
              <w:rPr>
                <w:rFonts w:cs="Arial"/>
                <w:vertAlign w:val="superscript"/>
              </w:rPr>
              <w:t>3</w:t>
            </w:r>
          </w:p>
        </w:tc>
        <w:tc>
          <w:tcPr>
            <w:tcW w:w="3634" w:type="dxa"/>
            <w:vMerge w:val="continue"/>
            <w:tcBorders>
              <w:top w:val="single" w:color="auto" w:sz="4" w:space="0"/>
              <w:left w:val="single" w:color="auto" w:sz="6" w:space="0"/>
              <w:right w:val="single" w:color="auto" w:sz="6"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1212" w:type="dxa"/>
            <w:vMerge w:val="continue"/>
            <w:tcBorders>
              <w:left w:val="single" w:color="auto" w:sz="6" w:space="0"/>
              <w:bottom w:val="single" w:color="auto" w:sz="6" w:space="0"/>
              <w:right w:val="single" w:color="auto" w:sz="6" w:space="0"/>
            </w:tcBorders>
            <w:vAlign w:val="center"/>
          </w:tcPr>
          <w:p>
            <w:pPr>
              <w:pStyle w:val="107"/>
              <w:rPr>
                <w:rFonts w:cs="Arial"/>
              </w:rPr>
            </w:pPr>
          </w:p>
        </w:tc>
        <w:tc>
          <w:tcPr>
            <w:tcW w:w="1934"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1</w:t>
            </w:r>
            <w:r>
              <w:rPr>
                <w:rFonts w:hint="eastAsia"/>
              </w:rPr>
              <w:t>小时平均</w:t>
            </w:r>
          </w:p>
        </w:tc>
        <w:tc>
          <w:tcPr>
            <w:tcW w:w="695"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hint="eastAsia" w:cs="Arial"/>
              </w:rPr>
              <w:t>1</w:t>
            </w:r>
            <w:r>
              <w:rPr>
                <w:rFonts w:cs="Arial"/>
              </w:rPr>
              <w:t>0</w:t>
            </w:r>
          </w:p>
        </w:tc>
        <w:tc>
          <w:tcPr>
            <w:tcW w:w="719" w:type="dxa"/>
            <w:tcBorders>
              <w:top w:val="single" w:color="auto" w:sz="6" w:space="0"/>
              <w:left w:val="single" w:color="auto" w:sz="6" w:space="0"/>
              <w:bottom w:val="single" w:color="auto" w:sz="4" w:space="0"/>
              <w:right w:val="single" w:color="auto" w:sz="4" w:space="0"/>
            </w:tcBorders>
            <w:vAlign w:val="center"/>
          </w:tcPr>
          <w:p>
            <w:pPr>
              <w:pStyle w:val="107"/>
              <w:rPr>
                <w:rFonts w:cs="Arial"/>
              </w:rPr>
            </w:pPr>
            <w:r>
              <w:rPr>
                <w:rFonts w:hint="eastAsia" w:cs="Arial"/>
              </w:rPr>
              <w:t>1</w:t>
            </w:r>
            <w:r>
              <w:rPr>
                <w:rFonts w:cs="Arial"/>
              </w:rPr>
              <w:t>0</w:t>
            </w:r>
          </w:p>
        </w:tc>
        <w:tc>
          <w:tcPr>
            <w:tcW w:w="860" w:type="dxa"/>
            <w:vMerge w:val="continue"/>
            <w:tcBorders>
              <w:left w:val="single" w:color="auto" w:sz="4" w:space="0"/>
              <w:bottom w:val="single" w:color="auto" w:sz="4" w:space="0"/>
              <w:right w:val="single" w:color="auto" w:sz="6" w:space="0"/>
            </w:tcBorders>
            <w:vAlign w:val="center"/>
          </w:tcPr>
          <w:p>
            <w:pPr>
              <w:pStyle w:val="107"/>
              <w:rPr>
                <w:rFonts w:cs="Arial"/>
              </w:rPr>
            </w:pPr>
          </w:p>
        </w:tc>
        <w:tc>
          <w:tcPr>
            <w:tcW w:w="3634" w:type="dxa"/>
            <w:vMerge w:val="continue"/>
            <w:tcBorders>
              <w:left w:val="single" w:color="auto" w:sz="6" w:space="0"/>
              <w:right w:val="single" w:color="auto" w:sz="6"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1212" w:type="dxa"/>
            <w:vMerge w:val="restart"/>
            <w:tcBorders>
              <w:top w:val="single" w:color="auto" w:sz="6" w:space="0"/>
              <w:left w:val="single" w:color="auto" w:sz="6" w:space="0"/>
              <w:right w:val="single" w:color="auto" w:sz="6" w:space="0"/>
            </w:tcBorders>
            <w:vAlign w:val="center"/>
          </w:tcPr>
          <w:p>
            <w:pPr>
              <w:pStyle w:val="107"/>
              <w:rPr>
                <w:rFonts w:cs="Arial"/>
              </w:rPr>
            </w:pPr>
            <w:r>
              <w:rPr>
                <w:rFonts w:cs="Arial"/>
              </w:rPr>
              <w:t>TSP</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pPr>
            <w:r>
              <w:rPr>
                <w:rFonts w:hint="eastAsia"/>
              </w:rPr>
              <w:t>年平均</w:t>
            </w:r>
          </w:p>
        </w:tc>
        <w:tc>
          <w:tcPr>
            <w:tcW w:w="695"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80</w:t>
            </w:r>
          </w:p>
        </w:tc>
        <w:tc>
          <w:tcPr>
            <w:tcW w:w="719" w:type="dxa"/>
            <w:tcBorders>
              <w:top w:val="single" w:color="auto" w:sz="4" w:space="0"/>
              <w:left w:val="single" w:color="auto" w:sz="6" w:space="0"/>
              <w:bottom w:val="single" w:color="auto" w:sz="6" w:space="0"/>
              <w:right w:val="single" w:color="auto" w:sz="4" w:space="0"/>
            </w:tcBorders>
            <w:vAlign w:val="center"/>
          </w:tcPr>
          <w:p>
            <w:pPr>
              <w:pStyle w:val="107"/>
              <w:rPr>
                <w:rFonts w:cs="Arial"/>
              </w:rPr>
            </w:pPr>
            <w:r>
              <w:rPr>
                <w:rFonts w:cs="Arial"/>
              </w:rPr>
              <w:t>200</w:t>
            </w:r>
          </w:p>
        </w:tc>
        <w:tc>
          <w:tcPr>
            <w:tcW w:w="860" w:type="dxa"/>
            <w:vMerge w:val="restart"/>
            <w:tcBorders>
              <w:top w:val="single" w:color="auto" w:sz="4" w:space="0"/>
              <w:left w:val="single" w:color="auto" w:sz="4" w:space="0"/>
              <w:right w:val="single" w:color="auto" w:sz="6" w:space="0"/>
            </w:tcBorders>
            <w:vAlign w:val="center"/>
          </w:tcPr>
          <w:p>
            <w:pPr>
              <w:pStyle w:val="107"/>
              <w:rPr>
                <w:rFonts w:cs="Arial"/>
              </w:rPr>
            </w:pPr>
            <w:r>
              <w:rPr>
                <w:rFonts w:cs="Arial"/>
              </w:rPr>
              <w:t>μg/m</w:t>
            </w:r>
            <w:r>
              <w:rPr>
                <w:rFonts w:cs="Arial"/>
                <w:vertAlign w:val="superscript"/>
              </w:rPr>
              <w:t>3</w:t>
            </w:r>
          </w:p>
        </w:tc>
        <w:tc>
          <w:tcPr>
            <w:tcW w:w="3634" w:type="dxa"/>
            <w:vMerge w:val="continue"/>
            <w:tcBorders>
              <w:top w:val="single" w:color="auto" w:sz="4" w:space="0"/>
              <w:left w:val="single" w:color="auto" w:sz="6" w:space="0"/>
              <w:right w:val="single" w:color="auto" w:sz="6" w:space="0"/>
            </w:tcBorders>
            <w:vAlign w:val="center"/>
          </w:tcPr>
          <w:p>
            <w:pPr>
              <w:pStyle w:val="107"/>
            </w:pPr>
          </w:p>
        </w:tc>
      </w:tr>
      <w:tr>
        <w:tblPrEx>
          <w:tblLayout w:type="fixed"/>
        </w:tblPrEx>
        <w:trPr>
          <w:trHeight w:val="20" w:hRule="atLeast"/>
        </w:trPr>
        <w:tc>
          <w:tcPr>
            <w:tcW w:w="1212" w:type="dxa"/>
            <w:vMerge w:val="continue"/>
            <w:tcBorders>
              <w:left w:val="single" w:color="auto" w:sz="6" w:space="0"/>
              <w:bottom w:val="single" w:color="auto" w:sz="6" w:space="0"/>
              <w:right w:val="single" w:color="auto" w:sz="6" w:space="0"/>
            </w:tcBorders>
            <w:vAlign w:val="center"/>
          </w:tcPr>
          <w:p>
            <w:pPr>
              <w:pStyle w:val="107"/>
              <w:rPr>
                <w:rFonts w:cs="Arial"/>
              </w:rPr>
            </w:pPr>
          </w:p>
        </w:tc>
        <w:tc>
          <w:tcPr>
            <w:tcW w:w="1934" w:type="dxa"/>
            <w:tcBorders>
              <w:top w:val="single" w:color="auto" w:sz="6" w:space="0"/>
              <w:left w:val="single" w:color="auto" w:sz="6" w:space="0"/>
              <w:bottom w:val="single" w:color="auto" w:sz="6" w:space="0"/>
              <w:right w:val="single" w:color="auto" w:sz="6" w:space="0"/>
            </w:tcBorders>
            <w:vAlign w:val="center"/>
          </w:tcPr>
          <w:p>
            <w:pPr>
              <w:pStyle w:val="107"/>
            </w:pPr>
            <w:r>
              <w:rPr>
                <w:rFonts w:cs="Arial"/>
              </w:rPr>
              <w:t>24</w:t>
            </w:r>
            <w:r>
              <w:rPr>
                <w:rFonts w:hint="eastAsia"/>
              </w:rPr>
              <w:t>小时平均</w:t>
            </w:r>
          </w:p>
        </w:tc>
        <w:tc>
          <w:tcPr>
            <w:tcW w:w="695"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120</w:t>
            </w:r>
          </w:p>
        </w:tc>
        <w:tc>
          <w:tcPr>
            <w:tcW w:w="719" w:type="dxa"/>
            <w:tcBorders>
              <w:top w:val="single" w:color="auto" w:sz="6" w:space="0"/>
              <w:left w:val="single" w:color="auto" w:sz="6" w:space="0"/>
              <w:bottom w:val="single" w:color="auto" w:sz="6" w:space="0"/>
              <w:right w:val="single" w:color="auto" w:sz="4" w:space="0"/>
            </w:tcBorders>
            <w:vAlign w:val="center"/>
          </w:tcPr>
          <w:p>
            <w:pPr>
              <w:pStyle w:val="107"/>
              <w:rPr>
                <w:rFonts w:cs="Arial"/>
              </w:rPr>
            </w:pPr>
            <w:r>
              <w:rPr>
                <w:rFonts w:cs="Arial"/>
              </w:rPr>
              <w:t>300</w:t>
            </w:r>
          </w:p>
        </w:tc>
        <w:tc>
          <w:tcPr>
            <w:tcW w:w="860" w:type="dxa"/>
            <w:vMerge w:val="continue"/>
            <w:tcBorders>
              <w:left w:val="single" w:color="auto" w:sz="4" w:space="0"/>
              <w:bottom w:val="single" w:color="auto" w:sz="6" w:space="0"/>
              <w:right w:val="single" w:color="auto" w:sz="6" w:space="0"/>
            </w:tcBorders>
            <w:vAlign w:val="center"/>
          </w:tcPr>
          <w:p>
            <w:pPr>
              <w:pStyle w:val="107"/>
              <w:rPr>
                <w:rFonts w:cs="Arial"/>
              </w:rPr>
            </w:pPr>
          </w:p>
        </w:tc>
        <w:tc>
          <w:tcPr>
            <w:tcW w:w="3634" w:type="dxa"/>
            <w:vMerge w:val="continue"/>
            <w:tcBorders>
              <w:left w:val="single" w:color="auto" w:sz="6" w:space="0"/>
              <w:bottom w:val="single" w:color="auto" w:sz="6" w:space="0"/>
              <w:right w:val="single" w:color="auto" w:sz="6"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1212" w:type="dxa"/>
            <w:tcBorders>
              <w:top w:val="single" w:color="auto" w:sz="6" w:space="0"/>
              <w:left w:val="single" w:color="auto" w:sz="6" w:space="0"/>
              <w:bottom w:val="single" w:color="auto" w:sz="6" w:space="0"/>
              <w:right w:val="single" w:color="auto" w:sz="6" w:space="0"/>
            </w:tcBorders>
            <w:vAlign w:val="center"/>
          </w:tcPr>
          <w:p>
            <w:pPr>
              <w:pStyle w:val="107"/>
            </w:pPr>
            <w:r>
              <w:rPr>
                <w:rFonts w:hint="eastAsia"/>
              </w:rPr>
              <w:t>非甲烷总烃</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pPr>
            <w:r>
              <w:rPr>
                <w:rFonts w:hint="eastAsia"/>
              </w:rPr>
              <w:t>1小时平均</w:t>
            </w:r>
          </w:p>
        </w:tc>
        <w:tc>
          <w:tcPr>
            <w:tcW w:w="1414" w:type="dxa"/>
            <w:gridSpan w:val="2"/>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2.0</w:t>
            </w:r>
          </w:p>
        </w:tc>
        <w:tc>
          <w:tcPr>
            <w:tcW w:w="860" w:type="dxa"/>
            <w:tcBorders>
              <w:top w:val="single" w:color="auto" w:sz="6" w:space="0"/>
              <w:left w:val="single" w:color="auto" w:sz="6" w:space="0"/>
              <w:bottom w:val="single" w:color="auto" w:sz="6" w:space="0"/>
              <w:right w:val="single" w:color="auto" w:sz="6" w:space="0"/>
            </w:tcBorders>
            <w:vAlign w:val="center"/>
          </w:tcPr>
          <w:p>
            <w:pPr>
              <w:pStyle w:val="107"/>
              <w:rPr>
                <w:rFonts w:cs="Arial"/>
                <w:vertAlign w:val="superscript"/>
              </w:rPr>
            </w:pPr>
            <w:r>
              <w:rPr>
                <w:rFonts w:cs="Arial"/>
              </w:rPr>
              <w:t>mg/m</w:t>
            </w:r>
            <w:r>
              <w:rPr>
                <w:rFonts w:cs="Arial"/>
                <w:vertAlign w:val="superscript"/>
              </w:rPr>
              <w:t>3</w:t>
            </w:r>
          </w:p>
        </w:tc>
        <w:tc>
          <w:tcPr>
            <w:tcW w:w="3634" w:type="dxa"/>
            <w:tcBorders>
              <w:top w:val="single" w:color="auto" w:sz="6" w:space="0"/>
              <w:left w:val="single" w:color="auto" w:sz="6" w:space="0"/>
              <w:bottom w:val="single" w:color="auto" w:sz="6" w:space="0"/>
              <w:right w:val="single" w:color="auto" w:sz="6" w:space="0"/>
            </w:tcBorders>
            <w:vAlign w:val="center"/>
          </w:tcPr>
          <w:p>
            <w:pPr>
              <w:pStyle w:val="107"/>
            </w:pPr>
            <w:r>
              <w:rPr>
                <w:rFonts w:hint="eastAsia"/>
              </w:rPr>
              <w:t>原国家环境保护局科技标准司的《大气污染物综合排放标准详解》</w:t>
            </w:r>
          </w:p>
        </w:tc>
      </w:tr>
      <w:tr>
        <w:tblPrEx>
          <w:tblLayout w:type="fixed"/>
          <w:tblCellMar>
            <w:top w:w="0" w:type="dxa"/>
            <w:left w:w="108" w:type="dxa"/>
            <w:bottom w:w="0" w:type="dxa"/>
            <w:right w:w="108" w:type="dxa"/>
          </w:tblCellMar>
        </w:tblPrEx>
        <w:trPr>
          <w:trHeight w:val="20" w:hRule="atLeast"/>
        </w:trPr>
        <w:tc>
          <w:tcPr>
            <w:tcW w:w="1212" w:type="dxa"/>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TVOC</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pPr>
            <w:r>
              <w:rPr>
                <w:rFonts w:cs="Arial"/>
              </w:rPr>
              <w:t>8</w:t>
            </w:r>
            <w:r>
              <w:rPr>
                <w:rFonts w:hint="eastAsia"/>
              </w:rPr>
              <w:t>小时平均</w:t>
            </w:r>
          </w:p>
        </w:tc>
        <w:tc>
          <w:tcPr>
            <w:tcW w:w="1414" w:type="dxa"/>
            <w:gridSpan w:val="2"/>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600</w:t>
            </w:r>
          </w:p>
        </w:tc>
        <w:tc>
          <w:tcPr>
            <w:tcW w:w="860" w:type="dxa"/>
            <w:tcBorders>
              <w:top w:val="single" w:color="auto" w:sz="6" w:space="0"/>
              <w:left w:val="single" w:color="auto" w:sz="6" w:space="0"/>
              <w:bottom w:val="single" w:color="auto" w:sz="6" w:space="0"/>
              <w:right w:val="single" w:color="auto" w:sz="6" w:space="0"/>
            </w:tcBorders>
            <w:vAlign w:val="center"/>
          </w:tcPr>
          <w:p>
            <w:pPr>
              <w:pStyle w:val="107"/>
              <w:rPr>
                <w:rFonts w:cs="Arial"/>
                <w:vertAlign w:val="superscript"/>
              </w:rPr>
            </w:pPr>
            <w:r>
              <w:rPr>
                <w:rFonts w:cs="Arial"/>
              </w:rPr>
              <w:t>μg/m</w:t>
            </w:r>
            <w:r>
              <w:rPr>
                <w:rFonts w:cs="Arial"/>
                <w:vertAlign w:val="superscript"/>
              </w:rPr>
              <w:t>3</w:t>
            </w:r>
          </w:p>
        </w:tc>
        <w:tc>
          <w:tcPr>
            <w:tcW w:w="3634" w:type="dxa"/>
            <w:vMerge w:val="restart"/>
            <w:tcBorders>
              <w:top w:val="single" w:color="auto" w:sz="6" w:space="0"/>
              <w:left w:val="single" w:color="auto" w:sz="6" w:space="0"/>
              <w:right w:val="single" w:color="auto" w:sz="6" w:space="0"/>
            </w:tcBorders>
            <w:vAlign w:val="center"/>
          </w:tcPr>
          <w:p>
            <w:pPr>
              <w:pStyle w:val="107"/>
            </w:pPr>
            <w:r>
              <w:t>《环境影响评价技术导则</w:t>
            </w:r>
            <w:r>
              <w:rPr>
                <w:rFonts w:hint="eastAsia"/>
              </w:rPr>
              <w:t xml:space="preserve"> </w:t>
            </w:r>
            <w:r>
              <w:t>大气环境》(HJ 2.2-2018)</w:t>
            </w:r>
            <w:r>
              <w:rPr>
                <w:rFonts w:hint="eastAsia"/>
              </w:rPr>
              <w:t>附录D</w:t>
            </w:r>
          </w:p>
        </w:tc>
      </w:tr>
      <w:tr>
        <w:tblPrEx>
          <w:tblLayout w:type="fixed"/>
          <w:tblCellMar>
            <w:top w:w="0" w:type="dxa"/>
            <w:left w:w="108" w:type="dxa"/>
            <w:bottom w:w="0" w:type="dxa"/>
            <w:right w:w="108" w:type="dxa"/>
          </w:tblCellMar>
        </w:tblPrEx>
        <w:trPr>
          <w:trHeight w:val="20" w:hRule="atLeast"/>
        </w:trPr>
        <w:tc>
          <w:tcPr>
            <w:tcW w:w="1212" w:type="dxa"/>
            <w:tcBorders>
              <w:top w:val="single" w:color="auto" w:sz="6" w:space="0"/>
              <w:left w:val="single" w:color="auto" w:sz="6" w:space="0"/>
              <w:bottom w:val="single" w:color="auto" w:sz="6" w:space="0"/>
              <w:right w:val="single" w:color="auto" w:sz="6" w:space="0"/>
            </w:tcBorders>
            <w:vAlign w:val="center"/>
          </w:tcPr>
          <w:p>
            <w:pPr>
              <w:pStyle w:val="107"/>
            </w:pPr>
            <w:r>
              <w:rPr>
                <w:rFonts w:hint="eastAsia"/>
              </w:rPr>
              <w:t>硫化氢</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pPr>
            <w:r>
              <w:rPr>
                <w:rFonts w:hint="eastAsia"/>
              </w:rPr>
              <w:t>一次值</w:t>
            </w:r>
          </w:p>
        </w:tc>
        <w:tc>
          <w:tcPr>
            <w:tcW w:w="1414" w:type="dxa"/>
            <w:gridSpan w:val="2"/>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10</w:t>
            </w:r>
          </w:p>
        </w:tc>
        <w:tc>
          <w:tcPr>
            <w:tcW w:w="860" w:type="dxa"/>
            <w:tcBorders>
              <w:top w:val="single" w:color="auto" w:sz="6" w:space="0"/>
              <w:left w:val="single" w:color="auto" w:sz="6" w:space="0"/>
              <w:bottom w:val="single" w:color="auto" w:sz="6" w:space="0"/>
              <w:right w:val="single" w:color="auto" w:sz="6" w:space="0"/>
            </w:tcBorders>
            <w:vAlign w:val="center"/>
          </w:tcPr>
          <w:p>
            <w:pPr>
              <w:pStyle w:val="107"/>
              <w:rPr>
                <w:rFonts w:cs="Arial"/>
                <w:vertAlign w:val="superscript"/>
              </w:rPr>
            </w:pPr>
            <w:r>
              <w:rPr>
                <w:rFonts w:cs="Arial"/>
              </w:rPr>
              <w:t>μg/m</w:t>
            </w:r>
            <w:r>
              <w:rPr>
                <w:rFonts w:cs="Arial"/>
                <w:vertAlign w:val="superscript"/>
              </w:rPr>
              <w:t>3</w:t>
            </w:r>
          </w:p>
        </w:tc>
        <w:tc>
          <w:tcPr>
            <w:tcW w:w="3634" w:type="dxa"/>
            <w:vMerge w:val="continue"/>
            <w:tcBorders>
              <w:left w:val="single" w:color="auto" w:sz="6" w:space="0"/>
              <w:bottom w:val="single" w:color="auto" w:sz="6" w:space="0"/>
              <w:right w:val="single" w:color="auto" w:sz="6"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1212" w:type="dxa"/>
            <w:tcBorders>
              <w:top w:val="single" w:color="auto" w:sz="6" w:space="0"/>
              <w:left w:val="single" w:color="auto" w:sz="6" w:space="0"/>
              <w:bottom w:val="single" w:color="auto" w:sz="6" w:space="0"/>
              <w:right w:val="single" w:color="auto" w:sz="6" w:space="0"/>
            </w:tcBorders>
            <w:vAlign w:val="center"/>
          </w:tcPr>
          <w:p>
            <w:pPr>
              <w:pStyle w:val="107"/>
            </w:pPr>
            <w:r>
              <w:rPr>
                <w:rFonts w:hint="eastAsia"/>
              </w:rPr>
              <w:t>臭气浓度</w:t>
            </w:r>
          </w:p>
        </w:tc>
        <w:tc>
          <w:tcPr>
            <w:tcW w:w="1934" w:type="dxa"/>
            <w:tcBorders>
              <w:top w:val="single" w:color="auto" w:sz="6" w:space="0"/>
              <w:left w:val="single" w:color="auto" w:sz="6" w:space="0"/>
              <w:bottom w:val="single" w:color="auto" w:sz="6" w:space="0"/>
              <w:right w:val="single" w:color="auto" w:sz="6" w:space="0"/>
            </w:tcBorders>
            <w:vAlign w:val="center"/>
          </w:tcPr>
          <w:p>
            <w:pPr>
              <w:pStyle w:val="107"/>
            </w:pPr>
            <w:r>
              <w:rPr>
                <w:rFonts w:hint="eastAsia"/>
              </w:rPr>
              <w:t>一次值</w:t>
            </w:r>
          </w:p>
        </w:tc>
        <w:tc>
          <w:tcPr>
            <w:tcW w:w="1414" w:type="dxa"/>
            <w:gridSpan w:val="2"/>
            <w:tcBorders>
              <w:top w:val="single" w:color="auto" w:sz="6" w:space="0"/>
              <w:left w:val="single" w:color="auto" w:sz="6" w:space="0"/>
              <w:bottom w:val="single" w:color="auto" w:sz="6" w:space="0"/>
              <w:right w:val="single" w:color="auto" w:sz="6" w:space="0"/>
            </w:tcBorders>
            <w:vAlign w:val="center"/>
          </w:tcPr>
          <w:p>
            <w:pPr>
              <w:pStyle w:val="107"/>
              <w:rPr>
                <w:rFonts w:cs="Arial"/>
              </w:rPr>
            </w:pPr>
            <w:r>
              <w:rPr>
                <w:rFonts w:cs="Arial"/>
              </w:rPr>
              <w:t>20</w:t>
            </w:r>
          </w:p>
        </w:tc>
        <w:tc>
          <w:tcPr>
            <w:tcW w:w="860" w:type="dxa"/>
            <w:tcBorders>
              <w:top w:val="single" w:color="auto" w:sz="6" w:space="0"/>
              <w:left w:val="single" w:color="auto" w:sz="6" w:space="0"/>
              <w:bottom w:val="single" w:color="auto" w:sz="6" w:space="0"/>
              <w:right w:val="single" w:color="auto" w:sz="6" w:space="0"/>
            </w:tcBorders>
            <w:vAlign w:val="center"/>
          </w:tcPr>
          <w:p>
            <w:pPr>
              <w:pStyle w:val="107"/>
            </w:pPr>
            <w:r>
              <w:rPr>
                <w:rFonts w:hint="eastAsia"/>
              </w:rPr>
              <w:t>无量纲</w:t>
            </w:r>
          </w:p>
        </w:tc>
        <w:tc>
          <w:tcPr>
            <w:tcW w:w="3634" w:type="dxa"/>
            <w:tcBorders>
              <w:top w:val="single" w:color="auto" w:sz="6" w:space="0"/>
              <w:left w:val="single" w:color="auto" w:sz="6" w:space="0"/>
              <w:bottom w:val="single" w:color="auto" w:sz="6" w:space="0"/>
              <w:right w:val="single" w:color="auto" w:sz="6" w:space="0"/>
            </w:tcBorders>
            <w:vAlign w:val="center"/>
          </w:tcPr>
          <w:p>
            <w:pPr>
              <w:pStyle w:val="107"/>
            </w:pPr>
            <w:r>
              <w:rPr>
                <w:rFonts w:cs="Arial"/>
              </w:rPr>
              <w:t>GB 14554-93</w:t>
            </w:r>
            <w:r>
              <w:rPr>
                <w:rFonts w:hint="eastAsia"/>
              </w:rPr>
              <w:t>新改扩建二级厂界标准</w:t>
            </w:r>
          </w:p>
        </w:tc>
      </w:tr>
    </w:tbl>
    <w:p>
      <w:pPr>
        <w:pStyle w:val="6"/>
      </w:pPr>
      <w:r>
        <w:t>声环境质量标准</w:t>
      </w:r>
    </w:p>
    <w:p>
      <w:pPr>
        <w:autoSpaceDE w:val="0"/>
        <w:autoSpaceDN w:val="0"/>
        <w:spacing w:after="120" w:afterLines="50"/>
        <w:ind w:firstLine="480"/>
        <w:rPr>
          <w:rFonts w:eastAsiaTheme="minorEastAsia"/>
        </w:rPr>
      </w:pPr>
      <w:r>
        <w:rPr>
          <w:rFonts w:eastAsiaTheme="minorEastAsia"/>
        </w:rPr>
        <w:t>根据</w:t>
      </w:r>
      <w:r>
        <w:rPr>
          <w:rFonts w:eastAsiaTheme="minorEastAsia"/>
        </w:rPr>
        <w:fldChar w:fldCharType="begin"/>
      </w:r>
      <w:r>
        <w:rPr>
          <w:rFonts w:eastAsiaTheme="minorEastAsia"/>
        </w:rPr>
        <w:instrText xml:space="preserve"> REF _Ref522030303 \r \h  \* MERGEFORMAT </w:instrText>
      </w:r>
      <w:r>
        <w:rPr>
          <w:rFonts w:eastAsiaTheme="minorEastAsia"/>
        </w:rPr>
        <w:fldChar w:fldCharType="separate"/>
      </w:r>
      <w:r>
        <w:rPr>
          <w:rFonts w:eastAsiaTheme="minorEastAsia"/>
        </w:rPr>
        <w:t>1.2.5</w:t>
      </w:r>
      <w:r>
        <w:rPr>
          <w:rFonts w:eastAsiaTheme="minorEastAsia"/>
        </w:rPr>
        <w:fldChar w:fldCharType="end"/>
      </w:r>
      <w:r>
        <w:rPr>
          <w:rFonts w:eastAsiaTheme="minorEastAsia"/>
        </w:rPr>
        <w:t>节</w:t>
      </w:r>
      <w:r>
        <w:rPr>
          <w:rFonts w:eastAsiaTheme="minorEastAsia"/>
        </w:rPr>
        <w:fldChar w:fldCharType="begin"/>
      </w:r>
      <w:r>
        <w:rPr>
          <w:rFonts w:eastAsiaTheme="minorEastAsia"/>
        </w:rPr>
        <w:instrText xml:space="preserve"> REF _Ref522030303 \h  \* MERGEFORMAT </w:instrText>
      </w:r>
      <w:r>
        <w:rPr>
          <w:rFonts w:eastAsiaTheme="minorEastAsia"/>
        </w:rPr>
        <w:fldChar w:fldCharType="separate"/>
      </w:r>
      <w:r>
        <w:rPr>
          <w:rFonts w:eastAsiaTheme="minorEastAsia"/>
          <w:szCs w:val="28"/>
        </w:rPr>
        <w:t>声环境功能区划</w:t>
      </w:r>
      <w:r>
        <w:rPr>
          <w:rFonts w:eastAsiaTheme="minorEastAsia"/>
        </w:rPr>
        <w:fldChar w:fldCharType="end"/>
      </w:r>
      <w:r>
        <w:rPr>
          <w:rFonts w:eastAsiaTheme="minorEastAsia"/>
        </w:rPr>
        <w:t>类别</w:t>
      </w:r>
      <w:r>
        <w:rPr>
          <w:rFonts w:hint="eastAsia" w:eastAsiaTheme="minorEastAsia"/>
        </w:rPr>
        <w:t>分析，本项目四周厂界</w:t>
      </w:r>
      <w:r>
        <w:rPr>
          <w:rFonts w:eastAsiaTheme="minorEastAsia"/>
        </w:rPr>
        <w:t>执行《声环境质量标准》(GB 3096-2008)中对应</w:t>
      </w:r>
      <w:r>
        <w:rPr>
          <w:rFonts w:hint="eastAsia" w:eastAsiaTheme="minorEastAsia"/>
        </w:rPr>
        <w:t>2类声环境功能区</w:t>
      </w:r>
      <w:r>
        <w:rPr>
          <w:rFonts w:eastAsiaTheme="minorEastAsia"/>
        </w:rPr>
        <w:t>限值</w:t>
      </w:r>
      <w:r>
        <w:rPr>
          <w:rFonts w:hint="eastAsia" w:eastAsiaTheme="minorEastAsia"/>
        </w:rPr>
        <w:t>，具体</w:t>
      </w:r>
      <w:r>
        <w:rPr>
          <w:rFonts w:eastAsiaTheme="minorEastAsia"/>
        </w:rPr>
        <w:t>见</w:t>
      </w:r>
      <w:r>
        <w:rPr>
          <w:rFonts w:eastAsiaTheme="minorEastAsia"/>
        </w:rPr>
        <w:fldChar w:fldCharType="begin"/>
      </w:r>
      <w:r>
        <w:rPr>
          <w:rFonts w:eastAsiaTheme="minorEastAsia"/>
        </w:rPr>
        <w:instrText xml:space="preserve"> REF _Ref522030200 \h  \* MERGEFORMAT </w:instrText>
      </w:r>
      <w:r>
        <w:rPr>
          <w:rFonts w:eastAsiaTheme="minorEastAsia"/>
        </w:rPr>
        <w:fldChar w:fldCharType="separate"/>
      </w:r>
      <w:r>
        <w:rPr>
          <w:rFonts w:hint="eastAsia" w:eastAsiaTheme="minorEastAsia"/>
        </w:rPr>
        <w:t xml:space="preserve">表 </w:t>
      </w:r>
      <w:r>
        <w:rPr>
          <w:rFonts w:eastAsiaTheme="minorEastAsia"/>
        </w:rPr>
        <w:t>1.4</w:t>
      </w:r>
      <w:r>
        <w:rPr>
          <w:rFonts w:eastAsiaTheme="minorEastAsia"/>
        </w:rPr>
        <w:noBreakHyphen/>
      </w:r>
      <w:r>
        <w:rPr>
          <w:rFonts w:eastAsiaTheme="minorEastAsia"/>
        </w:rPr>
        <w:t>4</w:t>
      </w:r>
      <w:r>
        <w:rPr>
          <w:rFonts w:eastAsiaTheme="minorEastAsia"/>
        </w:rPr>
        <w:fldChar w:fldCharType="end"/>
      </w:r>
      <w:r>
        <w:rPr>
          <w:rFonts w:eastAsiaTheme="minorEastAsia"/>
        </w:rPr>
        <w:t>。</w:t>
      </w:r>
    </w:p>
    <w:p>
      <w:pPr>
        <w:pStyle w:val="18"/>
      </w:pPr>
      <w:bookmarkStart w:id="100" w:name="_Ref522030200"/>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4</w:t>
      </w:r>
      <w:r>
        <w:fldChar w:fldCharType="end"/>
      </w:r>
      <w:bookmarkEnd w:id="100"/>
      <w:r>
        <w:t xml:space="preserve"> </w:t>
      </w:r>
      <w:r>
        <w:rPr>
          <w:rFonts w:hint="eastAsia"/>
        </w:rPr>
        <w:t>环境噪声限值</w:t>
      </w:r>
      <w:r>
        <w:tab/>
      </w:r>
      <w:r>
        <w:rPr>
          <w:rFonts w:hint="eastAsia"/>
        </w:rPr>
        <w:t>单位：dB(A)</w:t>
      </w:r>
    </w:p>
    <w:tbl>
      <w:tblPr>
        <w:tblStyle w:val="56"/>
        <w:tblW w:w="89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28"/>
        <w:gridCol w:w="3276"/>
        <w:gridCol w:w="30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28" w:type="dxa"/>
            <w:shd w:val="clear" w:color="auto" w:fill="D8D8D8" w:themeFill="background1" w:themeFillShade="D9"/>
            <w:vAlign w:val="center"/>
          </w:tcPr>
          <w:p>
            <w:pPr>
              <w:spacing w:line="280" w:lineRule="exact"/>
              <w:ind w:firstLine="0" w:firstLineChars="0"/>
              <w:jc w:val="center"/>
              <w:rPr>
                <w:rFonts w:cs="Times New Roman" w:eastAsiaTheme="minorEastAsia"/>
                <w:b/>
                <w:sz w:val="21"/>
                <w:szCs w:val="21"/>
              </w:rPr>
            </w:pPr>
            <w:r>
              <w:rPr>
                <w:rFonts w:hint="eastAsia" w:cs="Times New Roman" w:eastAsiaTheme="minorEastAsia"/>
                <w:b/>
                <w:sz w:val="21"/>
                <w:szCs w:val="21"/>
              </w:rPr>
              <w:t>声环境</w:t>
            </w:r>
            <w:r>
              <w:rPr>
                <w:rFonts w:cs="Times New Roman" w:eastAsiaTheme="minorEastAsia"/>
                <w:b/>
                <w:sz w:val="21"/>
                <w:szCs w:val="21"/>
              </w:rPr>
              <w:t>功能区类别</w:t>
            </w:r>
          </w:p>
        </w:tc>
        <w:tc>
          <w:tcPr>
            <w:tcW w:w="3276" w:type="dxa"/>
            <w:shd w:val="clear" w:color="auto" w:fill="D8D8D8" w:themeFill="background1" w:themeFillShade="D9"/>
            <w:vAlign w:val="center"/>
          </w:tcPr>
          <w:p>
            <w:pPr>
              <w:spacing w:line="280" w:lineRule="exact"/>
              <w:ind w:firstLine="0" w:firstLineChars="0"/>
              <w:jc w:val="center"/>
              <w:rPr>
                <w:rFonts w:cs="Times New Roman" w:eastAsiaTheme="minorEastAsia"/>
                <w:b/>
                <w:sz w:val="21"/>
                <w:szCs w:val="21"/>
              </w:rPr>
            </w:pPr>
            <w:r>
              <w:rPr>
                <w:rFonts w:cs="Times New Roman" w:eastAsiaTheme="minorEastAsia"/>
                <w:b/>
                <w:sz w:val="21"/>
                <w:szCs w:val="21"/>
              </w:rPr>
              <w:t>昼间</w:t>
            </w:r>
          </w:p>
        </w:tc>
        <w:tc>
          <w:tcPr>
            <w:tcW w:w="3042" w:type="dxa"/>
            <w:shd w:val="clear" w:color="auto" w:fill="D8D8D8" w:themeFill="background1" w:themeFillShade="D9"/>
            <w:vAlign w:val="center"/>
          </w:tcPr>
          <w:p>
            <w:pPr>
              <w:spacing w:line="280" w:lineRule="exact"/>
              <w:ind w:firstLine="0" w:firstLineChars="0"/>
              <w:jc w:val="center"/>
              <w:rPr>
                <w:rFonts w:cs="Times New Roman" w:eastAsiaTheme="minorEastAsia"/>
                <w:b/>
                <w:sz w:val="21"/>
                <w:szCs w:val="21"/>
              </w:rPr>
            </w:pPr>
            <w:r>
              <w:rPr>
                <w:rFonts w:cs="Times New Roman" w:eastAsiaTheme="minorEastAsia"/>
                <w:b/>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628" w:type="dxa"/>
            <w:vAlign w:val="center"/>
          </w:tcPr>
          <w:p>
            <w:pPr>
              <w:spacing w:line="280" w:lineRule="exact"/>
              <w:ind w:firstLine="0" w:firstLineChars="0"/>
              <w:jc w:val="center"/>
              <w:rPr>
                <w:rFonts w:cs="Times New Roman" w:eastAsiaTheme="minorEastAsia"/>
                <w:sz w:val="21"/>
                <w:szCs w:val="21"/>
              </w:rPr>
            </w:pPr>
            <w:r>
              <w:rPr>
                <w:rFonts w:hint="eastAsia" w:cs="Times New Roman" w:eastAsiaTheme="minorEastAsia"/>
                <w:sz w:val="21"/>
                <w:szCs w:val="21"/>
              </w:rPr>
              <w:t>2</w:t>
            </w:r>
            <w:r>
              <w:rPr>
                <w:rFonts w:cs="Times New Roman" w:eastAsiaTheme="minorEastAsia"/>
                <w:sz w:val="21"/>
                <w:szCs w:val="21"/>
              </w:rPr>
              <w:t>类</w:t>
            </w:r>
          </w:p>
        </w:tc>
        <w:tc>
          <w:tcPr>
            <w:tcW w:w="3276" w:type="dxa"/>
            <w:vAlign w:val="center"/>
          </w:tcPr>
          <w:p>
            <w:pPr>
              <w:spacing w:line="280" w:lineRule="exact"/>
              <w:ind w:firstLine="0" w:firstLineChars="0"/>
              <w:jc w:val="center"/>
              <w:rPr>
                <w:rFonts w:cs="Times New Roman" w:eastAsiaTheme="minorEastAsia"/>
                <w:sz w:val="21"/>
                <w:szCs w:val="21"/>
              </w:rPr>
            </w:pPr>
            <w:r>
              <w:rPr>
                <w:rFonts w:cs="Times New Roman" w:eastAsiaTheme="minorEastAsia"/>
                <w:sz w:val="21"/>
                <w:szCs w:val="21"/>
              </w:rPr>
              <w:t>6</w:t>
            </w:r>
            <w:r>
              <w:rPr>
                <w:rFonts w:hint="eastAsia" w:cs="Times New Roman" w:eastAsiaTheme="minorEastAsia"/>
                <w:sz w:val="21"/>
                <w:szCs w:val="21"/>
              </w:rPr>
              <w:t>0</w:t>
            </w:r>
          </w:p>
        </w:tc>
        <w:tc>
          <w:tcPr>
            <w:tcW w:w="3042" w:type="dxa"/>
            <w:vAlign w:val="center"/>
          </w:tcPr>
          <w:p>
            <w:pPr>
              <w:spacing w:line="280" w:lineRule="exact"/>
              <w:ind w:firstLine="0" w:firstLineChars="0"/>
              <w:jc w:val="center"/>
              <w:rPr>
                <w:rFonts w:cs="Times New Roman" w:eastAsiaTheme="minorEastAsia"/>
                <w:sz w:val="21"/>
                <w:szCs w:val="21"/>
              </w:rPr>
            </w:pPr>
            <w:r>
              <w:rPr>
                <w:rFonts w:cs="Times New Roman" w:eastAsiaTheme="minorEastAsia"/>
                <w:sz w:val="21"/>
                <w:szCs w:val="21"/>
              </w:rPr>
              <w:t>5</w:t>
            </w:r>
            <w:r>
              <w:rPr>
                <w:rFonts w:hint="eastAsia" w:cs="Times New Roman" w:eastAsiaTheme="minorEastAsia"/>
                <w:sz w:val="21"/>
                <w:szCs w:val="21"/>
              </w:rPr>
              <w:t>0</w:t>
            </w:r>
          </w:p>
        </w:tc>
      </w:tr>
    </w:tbl>
    <w:p>
      <w:pPr>
        <w:pStyle w:val="5"/>
        <w:rPr>
          <w:rStyle w:val="63"/>
          <w:color w:val="000000" w:themeColor="text1"/>
          <w14:textFill>
            <w14:solidFill>
              <w14:schemeClr w14:val="tx1"/>
            </w14:solidFill>
          </w14:textFill>
        </w:rPr>
      </w:pPr>
      <w:bookmarkStart w:id="101" w:name="_Ref2540490"/>
      <w:bookmarkStart w:id="102" w:name="_Toc331536088"/>
      <w:bookmarkStart w:id="103" w:name="_Toc293409674"/>
      <w:r>
        <w:rPr>
          <w:rStyle w:val="63"/>
          <w:color w:val="000000" w:themeColor="text1"/>
          <w14:textFill>
            <w14:solidFill>
              <w14:schemeClr w14:val="tx1"/>
            </w14:solidFill>
          </w14:textFill>
        </w:rPr>
        <w:t>土壤环境质量标准</w:t>
      </w:r>
      <w:bookmarkEnd w:id="101"/>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本项目用地性质为工业用地，土壤环境质量评价执行</w:t>
      </w:r>
      <w:r>
        <w:rPr>
          <w:color w:val="000000" w:themeColor="text1"/>
          <w14:textFill>
            <w14:solidFill>
              <w14:schemeClr w14:val="tx1"/>
            </w14:solidFill>
          </w14:textFill>
        </w:rPr>
        <w:t>本项目土壤评价参照执行《土壤环境质量标准》（GB15618－1995）二级标准</w:t>
      </w:r>
      <w:r>
        <w:rPr>
          <w:rStyle w:val="63"/>
          <w:rFonts w:hint="eastAsia"/>
          <w:color w:val="000000" w:themeColor="text1"/>
          <w14:textFill>
            <w14:solidFill>
              <w14:schemeClr w14:val="tx1"/>
            </w14:solidFill>
          </w14:textFill>
        </w:rPr>
        <w:t>，具体标准值详见</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REF _Ref2540277 \h</w:instrText>
      </w:r>
      <w:r>
        <w:rPr>
          <w:rStyle w:val="63"/>
          <w:color w:val="000000" w:themeColor="text1"/>
          <w14:textFill>
            <w14:solidFill>
              <w14:schemeClr w14:val="tx1"/>
            </w14:solidFill>
          </w14:textFill>
        </w:rPr>
        <w:instrText xml:space="preserve">  \* MERGEFORMAT </w:instrText>
      </w:r>
      <w:r>
        <w:rPr>
          <w:rStyle w:val="63"/>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t>1.4</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5</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w:t>
      </w:r>
    </w:p>
    <w:p>
      <w:pPr>
        <w:pStyle w:val="18"/>
      </w:pPr>
      <w:bookmarkStart w:id="104" w:name="_Ref2540277"/>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1.4</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5</w:t>
      </w:r>
      <w:r>
        <w:rPr>
          <w:rStyle w:val="63"/>
          <w:color w:val="000000" w:themeColor="text1"/>
          <w14:textFill>
            <w14:solidFill>
              <w14:schemeClr w14:val="tx1"/>
            </w14:solidFill>
          </w14:textFill>
        </w:rPr>
        <w:fldChar w:fldCharType="end"/>
      </w:r>
      <w:bookmarkEnd w:id="104"/>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土壤环境质量标准</w:t>
      </w:r>
      <w:r>
        <w:rPr>
          <w:rStyle w:val="63"/>
          <w:color w:val="000000" w:themeColor="text1"/>
          <w14:textFill>
            <w14:solidFill>
              <w14:schemeClr w14:val="tx1"/>
            </w14:solidFill>
          </w14:textFill>
        </w:rPr>
        <w:tab/>
      </w:r>
      <w:r>
        <w:rPr>
          <w:rStyle w:val="63"/>
          <w:rFonts w:hint="eastAsia"/>
          <w:color w:val="000000" w:themeColor="text1"/>
          <w14:textFill>
            <w14:solidFill>
              <w14:schemeClr w14:val="tx1"/>
            </w14:solidFill>
          </w14:textFill>
        </w:rPr>
        <w:t>单位：</w:t>
      </w:r>
      <w:r>
        <w:rPr>
          <w:rStyle w:val="63"/>
          <w:color w:val="000000" w:themeColor="text1"/>
          <w14:textFill>
            <w14:solidFill>
              <w14:schemeClr w14:val="tx1"/>
            </w14:solidFill>
          </w14:textFill>
        </w:rPr>
        <w:t>mg/kg</w:t>
      </w:r>
    </w:p>
    <w:tbl>
      <w:tblPr>
        <w:tblStyle w:val="56"/>
        <w:tblW w:w="907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102"/>
        <w:gridCol w:w="1449"/>
        <w:gridCol w:w="1527"/>
        <w:gridCol w:w="1593"/>
        <w:gridCol w:w="1431"/>
        <w:gridCol w:w="19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168" w:hRule="atLeast"/>
          <w:jc w:val="center"/>
        </w:trPr>
        <w:tc>
          <w:tcPr>
            <w:tcW w:w="1102" w:type="dxa"/>
            <w:vMerge w:val="restart"/>
            <w:tcBorders>
              <w:top w:val="single" w:color="auto" w:sz="12" w:space="0"/>
              <w:left w:val="nil"/>
              <w:bottom w:val="single" w:color="auto" w:sz="6" w:space="0"/>
            </w:tcBorders>
            <w:vAlign w:val="center"/>
          </w:tcPr>
          <w:p>
            <w:pPr>
              <w:snapToGrid w:val="0"/>
              <w:ind w:firstLine="422"/>
              <w:rPr>
                <w:b/>
                <w:color w:val="000000"/>
                <w:sz w:val="21"/>
                <w:szCs w:val="21"/>
              </w:rPr>
            </w:pPr>
            <w:r>
              <w:rPr>
                <w:b/>
                <w:color w:val="000000"/>
                <w:sz w:val="21"/>
                <w:szCs w:val="21"/>
              </w:rPr>
              <w:t>序号</w:t>
            </w:r>
          </w:p>
        </w:tc>
        <w:tc>
          <w:tcPr>
            <w:tcW w:w="2976" w:type="dxa"/>
            <w:gridSpan w:val="2"/>
            <w:tcBorders>
              <w:top w:val="single" w:color="auto" w:sz="12" w:space="0"/>
              <w:bottom w:val="single" w:color="auto" w:sz="6" w:space="0"/>
            </w:tcBorders>
            <w:vAlign w:val="center"/>
          </w:tcPr>
          <w:p>
            <w:pPr>
              <w:snapToGrid w:val="0"/>
              <w:ind w:firstLine="422"/>
              <w:jc w:val="center"/>
              <w:rPr>
                <w:b/>
                <w:color w:val="000000"/>
                <w:sz w:val="21"/>
                <w:szCs w:val="21"/>
              </w:rPr>
            </w:pPr>
            <w:r>
              <w:rPr>
                <w:b/>
                <w:color w:val="000000"/>
                <w:sz w:val="21"/>
                <w:szCs w:val="21"/>
              </w:rPr>
              <w:t>级别</w:t>
            </w:r>
          </w:p>
        </w:tc>
        <w:tc>
          <w:tcPr>
            <w:tcW w:w="4992" w:type="dxa"/>
            <w:gridSpan w:val="3"/>
            <w:tcBorders>
              <w:top w:val="single" w:color="auto" w:sz="12" w:space="0"/>
              <w:bottom w:val="single" w:color="auto" w:sz="6" w:space="0"/>
              <w:right w:val="nil"/>
            </w:tcBorders>
            <w:vAlign w:val="center"/>
          </w:tcPr>
          <w:p>
            <w:pPr>
              <w:snapToGrid w:val="0"/>
              <w:ind w:firstLine="422"/>
              <w:jc w:val="center"/>
              <w:rPr>
                <w:b/>
                <w:color w:val="000000"/>
                <w:sz w:val="21"/>
                <w:szCs w:val="21"/>
              </w:rPr>
            </w:pPr>
            <w:r>
              <w:rPr>
                <w:b/>
                <w:color w:val="000000"/>
                <w:sz w:val="21"/>
                <w:szCs w:val="21"/>
              </w:rPr>
              <w:t>二级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439" w:hRule="atLeast"/>
          <w:jc w:val="center"/>
        </w:trPr>
        <w:tc>
          <w:tcPr>
            <w:tcW w:w="1102" w:type="dxa"/>
            <w:vMerge w:val="continue"/>
            <w:tcBorders>
              <w:top w:val="single" w:color="auto" w:sz="6" w:space="0"/>
              <w:left w:val="nil"/>
              <w:bottom w:val="single" w:color="auto" w:sz="6" w:space="0"/>
            </w:tcBorders>
            <w:vAlign w:val="center"/>
          </w:tcPr>
          <w:p>
            <w:pPr>
              <w:ind w:firstLine="422"/>
              <w:rPr>
                <w:b/>
                <w:color w:val="000000"/>
                <w:sz w:val="21"/>
                <w:szCs w:val="21"/>
              </w:rPr>
            </w:pPr>
          </w:p>
        </w:tc>
        <w:tc>
          <w:tcPr>
            <w:tcW w:w="2976" w:type="dxa"/>
            <w:gridSpan w:val="2"/>
            <w:tcBorders>
              <w:top w:val="single" w:color="auto" w:sz="6" w:space="0"/>
              <w:bottom w:val="single" w:color="auto" w:sz="6" w:space="0"/>
              <w:tl2br w:val="single" w:color="auto" w:sz="4" w:space="0"/>
            </w:tcBorders>
            <w:vAlign w:val="center"/>
          </w:tcPr>
          <w:p>
            <w:pPr>
              <w:snapToGrid w:val="0"/>
              <w:ind w:right="211" w:firstLine="1687" w:firstLineChars="800"/>
              <w:rPr>
                <w:b/>
                <w:color w:val="000000"/>
                <w:sz w:val="21"/>
                <w:szCs w:val="21"/>
              </w:rPr>
            </w:pPr>
            <w:r>
              <w:rPr>
                <w:b/>
                <w:color w:val="000000"/>
                <w:sz w:val="21"/>
                <w:szCs w:val="21"/>
              </w:rPr>
              <w:t>pH值</w:t>
            </w:r>
          </w:p>
          <w:p>
            <w:pPr>
              <w:snapToGrid w:val="0"/>
              <w:ind w:firstLine="422"/>
              <w:rPr>
                <w:b/>
                <w:color w:val="000000"/>
                <w:sz w:val="21"/>
                <w:szCs w:val="21"/>
              </w:rPr>
            </w:pPr>
            <w:r>
              <w:rPr>
                <w:b/>
                <w:color w:val="000000"/>
                <w:sz w:val="21"/>
                <w:szCs w:val="21"/>
              </w:rPr>
              <w:t>项目</w:t>
            </w:r>
          </w:p>
        </w:tc>
        <w:tc>
          <w:tcPr>
            <w:tcW w:w="1593" w:type="dxa"/>
            <w:tcBorders>
              <w:top w:val="single" w:color="auto" w:sz="6" w:space="0"/>
              <w:bottom w:val="single" w:color="auto" w:sz="6" w:space="0"/>
            </w:tcBorders>
            <w:vAlign w:val="center"/>
          </w:tcPr>
          <w:p>
            <w:pPr>
              <w:snapToGrid w:val="0"/>
              <w:ind w:firstLine="422"/>
              <w:rPr>
                <w:b/>
                <w:color w:val="000000"/>
                <w:sz w:val="21"/>
                <w:szCs w:val="21"/>
              </w:rPr>
            </w:pPr>
            <w:r>
              <w:rPr>
                <w:b/>
                <w:color w:val="000000"/>
                <w:sz w:val="21"/>
                <w:szCs w:val="21"/>
              </w:rPr>
              <w:t>＜6.5</w:t>
            </w:r>
          </w:p>
        </w:tc>
        <w:tc>
          <w:tcPr>
            <w:tcW w:w="1431" w:type="dxa"/>
            <w:tcBorders>
              <w:top w:val="single" w:color="auto" w:sz="6" w:space="0"/>
              <w:bottom w:val="single" w:color="auto" w:sz="6" w:space="0"/>
            </w:tcBorders>
            <w:vAlign w:val="center"/>
          </w:tcPr>
          <w:p>
            <w:pPr>
              <w:snapToGrid w:val="0"/>
              <w:ind w:firstLine="422"/>
              <w:rPr>
                <w:b/>
                <w:color w:val="000000"/>
                <w:sz w:val="21"/>
                <w:szCs w:val="21"/>
              </w:rPr>
            </w:pPr>
            <w:r>
              <w:rPr>
                <w:b/>
                <w:color w:val="000000"/>
                <w:sz w:val="21"/>
                <w:szCs w:val="21"/>
              </w:rPr>
              <w:t>6.5～7.5</w:t>
            </w:r>
          </w:p>
        </w:tc>
        <w:tc>
          <w:tcPr>
            <w:tcW w:w="1968" w:type="dxa"/>
            <w:tcBorders>
              <w:top w:val="single" w:color="auto" w:sz="6" w:space="0"/>
              <w:bottom w:val="single" w:color="auto" w:sz="6" w:space="0"/>
              <w:right w:val="nil"/>
            </w:tcBorders>
            <w:vAlign w:val="center"/>
          </w:tcPr>
          <w:p>
            <w:pPr>
              <w:snapToGrid w:val="0"/>
              <w:ind w:firstLine="422"/>
              <w:rPr>
                <w:b/>
                <w:color w:val="000000"/>
                <w:sz w:val="21"/>
                <w:szCs w:val="21"/>
              </w:rPr>
            </w:pPr>
            <w:r>
              <w:rPr>
                <w:b/>
                <w:color w:val="000000"/>
                <w:sz w:val="21"/>
                <w:szCs w:val="21"/>
              </w:rPr>
              <w:t>＞7.5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305" w:hRule="atLeast"/>
          <w:jc w:val="center"/>
        </w:trPr>
        <w:tc>
          <w:tcPr>
            <w:tcW w:w="1102" w:type="dxa"/>
            <w:tcBorders>
              <w:top w:val="single" w:color="auto" w:sz="6" w:space="0"/>
              <w:left w:val="nil"/>
              <w:bottom w:val="single" w:color="auto" w:sz="6" w:space="0"/>
            </w:tcBorders>
            <w:vAlign w:val="center"/>
          </w:tcPr>
          <w:p>
            <w:pPr>
              <w:snapToGrid w:val="0"/>
              <w:ind w:firstLine="420"/>
              <w:rPr>
                <w:color w:val="000000"/>
                <w:sz w:val="21"/>
                <w:szCs w:val="21"/>
              </w:rPr>
            </w:pPr>
            <w:r>
              <w:rPr>
                <w:color w:val="000000"/>
                <w:sz w:val="21"/>
                <w:szCs w:val="21"/>
              </w:rPr>
              <w:t>1</w:t>
            </w:r>
          </w:p>
        </w:tc>
        <w:tc>
          <w:tcPr>
            <w:tcW w:w="2976" w:type="dxa"/>
            <w:gridSpan w:val="2"/>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Pb，≤</w:t>
            </w:r>
          </w:p>
        </w:tc>
        <w:tc>
          <w:tcPr>
            <w:tcW w:w="1593"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250</w:t>
            </w:r>
          </w:p>
        </w:tc>
        <w:tc>
          <w:tcPr>
            <w:tcW w:w="1431"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300</w:t>
            </w:r>
          </w:p>
        </w:tc>
        <w:tc>
          <w:tcPr>
            <w:tcW w:w="1968" w:type="dxa"/>
            <w:tcBorders>
              <w:top w:val="single" w:color="auto" w:sz="6" w:space="0"/>
              <w:bottom w:val="single" w:color="auto" w:sz="6" w:space="0"/>
              <w:right w:val="nil"/>
            </w:tcBorders>
            <w:vAlign w:val="center"/>
          </w:tcPr>
          <w:p>
            <w:pPr>
              <w:snapToGrid w:val="0"/>
              <w:ind w:firstLine="420"/>
              <w:rPr>
                <w:color w:val="000000"/>
                <w:sz w:val="21"/>
                <w:szCs w:val="21"/>
              </w:rPr>
            </w:pPr>
            <w:r>
              <w:rPr>
                <w:color w:val="000000"/>
                <w:sz w:val="21"/>
                <w:szCs w:val="21"/>
              </w:rPr>
              <w:t>350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256" w:hRule="atLeast"/>
          <w:jc w:val="center"/>
        </w:trPr>
        <w:tc>
          <w:tcPr>
            <w:tcW w:w="1102" w:type="dxa"/>
            <w:vMerge w:val="restart"/>
            <w:tcBorders>
              <w:top w:val="single" w:color="auto" w:sz="6" w:space="0"/>
              <w:left w:val="nil"/>
              <w:bottom w:val="single" w:color="auto" w:sz="6" w:space="0"/>
            </w:tcBorders>
            <w:vAlign w:val="center"/>
          </w:tcPr>
          <w:p>
            <w:pPr>
              <w:snapToGrid w:val="0"/>
              <w:ind w:firstLine="420"/>
              <w:rPr>
                <w:color w:val="000000"/>
                <w:sz w:val="21"/>
                <w:szCs w:val="21"/>
              </w:rPr>
            </w:pPr>
            <w:r>
              <w:rPr>
                <w:color w:val="000000"/>
                <w:sz w:val="21"/>
                <w:szCs w:val="21"/>
              </w:rPr>
              <w:t>2</w:t>
            </w:r>
          </w:p>
        </w:tc>
        <w:tc>
          <w:tcPr>
            <w:tcW w:w="1449" w:type="dxa"/>
            <w:vMerge w:val="restart"/>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Cu，≤</w:t>
            </w:r>
          </w:p>
        </w:tc>
        <w:tc>
          <w:tcPr>
            <w:tcW w:w="1527"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农田等</w:t>
            </w:r>
          </w:p>
        </w:tc>
        <w:tc>
          <w:tcPr>
            <w:tcW w:w="1593"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50</w:t>
            </w:r>
          </w:p>
        </w:tc>
        <w:tc>
          <w:tcPr>
            <w:tcW w:w="1431"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100</w:t>
            </w:r>
          </w:p>
        </w:tc>
        <w:tc>
          <w:tcPr>
            <w:tcW w:w="1968" w:type="dxa"/>
            <w:tcBorders>
              <w:top w:val="single" w:color="auto" w:sz="6" w:space="0"/>
              <w:bottom w:val="single" w:color="auto" w:sz="6" w:space="0"/>
              <w:right w:val="nil"/>
            </w:tcBorders>
            <w:vAlign w:val="center"/>
          </w:tcPr>
          <w:p>
            <w:pPr>
              <w:snapToGrid w:val="0"/>
              <w:ind w:firstLine="420"/>
              <w:rPr>
                <w:color w:val="000000"/>
                <w:sz w:val="21"/>
                <w:szCs w:val="21"/>
              </w:rPr>
            </w:pPr>
            <w:r>
              <w:rPr>
                <w:color w:val="000000"/>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256" w:hRule="atLeast"/>
          <w:jc w:val="center"/>
        </w:trPr>
        <w:tc>
          <w:tcPr>
            <w:tcW w:w="1102" w:type="dxa"/>
            <w:vMerge w:val="continue"/>
            <w:tcBorders>
              <w:top w:val="single" w:color="auto" w:sz="6" w:space="0"/>
              <w:left w:val="nil"/>
              <w:bottom w:val="single" w:color="auto" w:sz="6" w:space="0"/>
            </w:tcBorders>
            <w:vAlign w:val="center"/>
          </w:tcPr>
          <w:p>
            <w:pPr>
              <w:ind w:firstLine="420"/>
              <w:rPr>
                <w:color w:val="000000"/>
                <w:sz w:val="21"/>
                <w:szCs w:val="21"/>
              </w:rPr>
            </w:pPr>
          </w:p>
        </w:tc>
        <w:tc>
          <w:tcPr>
            <w:tcW w:w="1449" w:type="dxa"/>
            <w:vMerge w:val="continue"/>
            <w:tcBorders>
              <w:top w:val="single" w:color="auto" w:sz="6" w:space="0"/>
              <w:bottom w:val="single" w:color="auto" w:sz="6" w:space="0"/>
            </w:tcBorders>
            <w:vAlign w:val="center"/>
          </w:tcPr>
          <w:p>
            <w:pPr>
              <w:ind w:firstLine="420"/>
              <w:rPr>
                <w:color w:val="000000"/>
                <w:sz w:val="21"/>
                <w:szCs w:val="21"/>
              </w:rPr>
            </w:pPr>
          </w:p>
        </w:tc>
        <w:tc>
          <w:tcPr>
            <w:tcW w:w="1527"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果园</w:t>
            </w:r>
          </w:p>
        </w:tc>
        <w:tc>
          <w:tcPr>
            <w:tcW w:w="1593"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150</w:t>
            </w:r>
          </w:p>
        </w:tc>
        <w:tc>
          <w:tcPr>
            <w:tcW w:w="1431"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200</w:t>
            </w:r>
          </w:p>
        </w:tc>
        <w:tc>
          <w:tcPr>
            <w:tcW w:w="1968" w:type="dxa"/>
            <w:tcBorders>
              <w:top w:val="single" w:color="auto" w:sz="6" w:space="0"/>
              <w:bottom w:val="single" w:color="auto" w:sz="6" w:space="0"/>
              <w:right w:val="nil"/>
            </w:tcBorders>
            <w:vAlign w:val="center"/>
          </w:tcPr>
          <w:p>
            <w:pPr>
              <w:snapToGrid w:val="0"/>
              <w:ind w:firstLine="420"/>
              <w:rPr>
                <w:color w:val="000000"/>
                <w:sz w:val="21"/>
                <w:szCs w:val="21"/>
              </w:rPr>
            </w:pPr>
            <w:r>
              <w:rPr>
                <w:color w:val="000000"/>
                <w:sz w:val="21"/>
                <w:szCs w:val="21"/>
              </w:rPr>
              <w:t>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256" w:hRule="atLeast"/>
          <w:jc w:val="center"/>
        </w:trPr>
        <w:tc>
          <w:tcPr>
            <w:tcW w:w="1102" w:type="dxa"/>
            <w:vMerge w:val="restart"/>
            <w:tcBorders>
              <w:top w:val="single" w:color="auto" w:sz="6" w:space="0"/>
              <w:left w:val="nil"/>
              <w:bottom w:val="single" w:color="auto" w:sz="6" w:space="0"/>
            </w:tcBorders>
            <w:vAlign w:val="center"/>
          </w:tcPr>
          <w:p>
            <w:pPr>
              <w:snapToGrid w:val="0"/>
              <w:ind w:firstLine="420"/>
              <w:rPr>
                <w:color w:val="000000"/>
                <w:sz w:val="21"/>
                <w:szCs w:val="21"/>
              </w:rPr>
            </w:pPr>
            <w:r>
              <w:rPr>
                <w:color w:val="000000"/>
                <w:sz w:val="21"/>
                <w:szCs w:val="21"/>
              </w:rPr>
              <w:t>3</w:t>
            </w:r>
          </w:p>
        </w:tc>
        <w:tc>
          <w:tcPr>
            <w:tcW w:w="1449" w:type="dxa"/>
            <w:vMerge w:val="restart"/>
            <w:tcBorders>
              <w:top w:val="single" w:color="auto" w:sz="6" w:space="0"/>
              <w:bottom w:val="single" w:color="auto" w:sz="6" w:space="0"/>
            </w:tcBorders>
            <w:vAlign w:val="center"/>
          </w:tcPr>
          <w:p>
            <w:pPr>
              <w:snapToGrid w:val="0"/>
              <w:ind w:firstLine="420"/>
              <w:jc w:val="center"/>
              <w:rPr>
                <w:color w:val="000000"/>
                <w:sz w:val="21"/>
                <w:szCs w:val="21"/>
              </w:rPr>
            </w:pPr>
            <w:r>
              <w:rPr>
                <w:color w:val="000000"/>
                <w:sz w:val="21"/>
                <w:szCs w:val="21"/>
              </w:rPr>
              <w:t>As，≤</w:t>
            </w:r>
          </w:p>
        </w:tc>
        <w:tc>
          <w:tcPr>
            <w:tcW w:w="1527"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水田</w:t>
            </w:r>
          </w:p>
        </w:tc>
        <w:tc>
          <w:tcPr>
            <w:tcW w:w="1593"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30</w:t>
            </w:r>
          </w:p>
        </w:tc>
        <w:tc>
          <w:tcPr>
            <w:tcW w:w="1431"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25</w:t>
            </w:r>
          </w:p>
        </w:tc>
        <w:tc>
          <w:tcPr>
            <w:tcW w:w="1968" w:type="dxa"/>
            <w:tcBorders>
              <w:top w:val="single" w:color="auto" w:sz="6" w:space="0"/>
              <w:bottom w:val="single" w:color="auto" w:sz="6" w:space="0"/>
              <w:right w:val="nil"/>
            </w:tcBorders>
            <w:vAlign w:val="center"/>
          </w:tcPr>
          <w:p>
            <w:pPr>
              <w:snapToGrid w:val="0"/>
              <w:ind w:firstLine="420"/>
              <w:rPr>
                <w:color w:val="000000"/>
                <w:sz w:val="21"/>
                <w:szCs w:val="21"/>
              </w:rPr>
            </w:pPr>
            <w:r>
              <w:rPr>
                <w:color w:val="000000"/>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256" w:hRule="atLeast"/>
          <w:jc w:val="center"/>
        </w:trPr>
        <w:tc>
          <w:tcPr>
            <w:tcW w:w="1102" w:type="dxa"/>
            <w:vMerge w:val="continue"/>
            <w:tcBorders>
              <w:top w:val="single" w:color="auto" w:sz="6" w:space="0"/>
              <w:left w:val="nil"/>
              <w:bottom w:val="single" w:color="auto" w:sz="6" w:space="0"/>
            </w:tcBorders>
            <w:vAlign w:val="center"/>
          </w:tcPr>
          <w:p>
            <w:pPr>
              <w:ind w:firstLine="420"/>
              <w:rPr>
                <w:color w:val="000000"/>
                <w:sz w:val="21"/>
                <w:szCs w:val="21"/>
              </w:rPr>
            </w:pPr>
          </w:p>
        </w:tc>
        <w:tc>
          <w:tcPr>
            <w:tcW w:w="1449" w:type="dxa"/>
            <w:vMerge w:val="continue"/>
            <w:tcBorders>
              <w:top w:val="single" w:color="auto" w:sz="6" w:space="0"/>
              <w:bottom w:val="single" w:color="auto" w:sz="6" w:space="0"/>
            </w:tcBorders>
            <w:vAlign w:val="center"/>
          </w:tcPr>
          <w:p>
            <w:pPr>
              <w:ind w:firstLine="420"/>
              <w:rPr>
                <w:color w:val="000000"/>
                <w:sz w:val="21"/>
                <w:szCs w:val="21"/>
              </w:rPr>
            </w:pPr>
          </w:p>
        </w:tc>
        <w:tc>
          <w:tcPr>
            <w:tcW w:w="1527"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旱地</w:t>
            </w:r>
          </w:p>
        </w:tc>
        <w:tc>
          <w:tcPr>
            <w:tcW w:w="1593"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40</w:t>
            </w:r>
          </w:p>
        </w:tc>
        <w:tc>
          <w:tcPr>
            <w:tcW w:w="1431"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30</w:t>
            </w:r>
          </w:p>
        </w:tc>
        <w:tc>
          <w:tcPr>
            <w:tcW w:w="1968" w:type="dxa"/>
            <w:tcBorders>
              <w:top w:val="single" w:color="auto" w:sz="6" w:space="0"/>
              <w:bottom w:val="single" w:color="auto" w:sz="6" w:space="0"/>
              <w:right w:val="nil"/>
            </w:tcBorders>
            <w:vAlign w:val="center"/>
          </w:tcPr>
          <w:p>
            <w:pPr>
              <w:snapToGrid w:val="0"/>
              <w:ind w:firstLine="420"/>
              <w:rPr>
                <w:color w:val="000000"/>
                <w:sz w:val="21"/>
                <w:szCs w:val="21"/>
              </w:rPr>
            </w:pPr>
            <w:r>
              <w:rPr>
                <w:color w:val="000000"/>
                <w:sz w:val="21"/>
                <w:szCs w:val="21"/>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256" w:hRule="atLeast"/>
          <w:jc w:val="center"/>
        </w:trPr>
        <w:tc>
          <w:tcPr>
            <w:tcW w:w="1102" w:type="dxa"/>
            <w:vMerge w:val="restart"/>
            <w:tcBorders>
              <w:top w:val="single" w:color="auto" w:sz="6" w:space="0"/>
              <w:left w:val="nil"/>
              <w:bottom w:val="single" w:color="auto" w:sz="6" w:space="0"/>
            </w:tcBorders>
            <w:vAlign w:val="center"/>
          </w:tcPr>
          <w:p>
            <w:pPr>
              <w:snapToGrid w:val="0"/>
              <w:ind w:firstLine="420"/>
              <w:rPr>
                <w:color w:val="000000"/>
                <w:sz w:val="21"/>
                <w:szCs w:val="21"/>
              </w:rPr>
            </w:pPr>
            <w:r>
              <w:rPr>
                <w:color w:val="000000"/>
                <w:sz w:val="21"/>
                <w:szCs w:val="21"/>
              </w:rPr>
              <w:t>4</w:t>
            </w:r>
          </w:p>
        </w:tc>
        <w:tc>
          <w:tcPr>
            <w:tcW w:w="1449" w:type="dxa"/>
            <w:vMerge w:val="restart"/>
            <w:tcBorders>
              <w:top w:val="single" w:color="auto" w:sz="6" w:space="0"/>
              <w:bottom w:val="single" w:color="auto" w:sz="6" w:space="0"/>
            </w:tcBorders>
            <w:vAlign w:val="center"/>
          </w:tcPr>
          <w:p>
            <w:pPr>
              <w:snapToGrid w:val="0"/>
              <w:ind w:firstLine="420"/>
              <w:jc w:val="center"/>
              <w:rPr>
                <w:color w:val="000000"/>
                <w:sz w:val="21"/>
                <w:szCs w:val="21"/>
              </w:rPr>
            </w:pPr>
            <w:r>
              <w:rPr>
                <w:color w:val="000000"/>
                <w:sz w:val="21"/>
                <w:szCs w:val="21"/>
              </w:rPr>
              <w:t>Cr，≤</w:t>
            </w:r>
          </w:p>
        </w:tc>
        <w:tc>
          <w:tcPr>
            <w:tcW w:w="1527"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水田</w:t>
            </w:r>
          </w:p>
        </w:tc>
        <w:tc>
          <w:tcPr>
            <w:tcW w:w="1593"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250</w:t>
            </w:r>
          </w:p>
        </w:tc>
        <w:tc>
          <w:tcPr>
            <w:tcW w:w="1431"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300</w:t>
            </w:r>
          </w:p>
        </w:tc>
        <w:tc>
          <w:tcPr>
            <w:tcW w:w="1968" w:type="dxa"/>
            <w:tcBorders>
              <w:top w:val="single" w:color="auto" w:sz="6" w:space="0"/>
              <w:bottom w:val="single" w:color="auto" w:sz="6" w:space="0"/>
              <w:right w:val="nil"/>
            </w:tcBorders>
            <w:vAlign w:val="center"/>
          </w:tcPr>
          <w:p>
            <w:pPr>
              <w:snapToGrid w:val="0"/>
              <w:ind w:firstLine="420"/>
              <w:rPr>
                <w:color w:val="000000"/>
                <w:sz w:val="21"/>
                <w:szCs w:val="21"/>
              </w:rPr>
            </w:pPr>
            <w:r>
              <w:rPr>
                <w:color w:val="000000"/>
                <w:sz w:val="21"/>
                <w:szCs w:val="21"/>
              </w:rPr>
              <w:t>350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256" w:hRule="atLeast"/>
          <w:jc w:val="center"/>
        </w:trPr>
        <w:tc>
          <w:tcPr>
            <w:tcW w:w="1102" w:type="dxa"/>
            <w:vMerge w:val="continue"/>
            <w:tcBorders>
              <w:top w:val="single" w:color="auto" w:sz="6" w:space="0"/>
              <w:left w:val="nil"/>
              <w:bottom w:val="single" w:color="auto" w:sz="6" w:space="0"/>
            </w:tcBorders>
            <w:vAlign w:val="center"/>
          </w:tcPr>
          <w:p>
            <w:pPr>
              <w:snapToGrid w:val="0"/>
              <w:ind w:firstLine="420"/>
              <w:rPr>
                <w:color w:val="000000"/>
                <w:sz w:val="21"/>
                <w:szCs w:val="21"/>
              </w:rPr>
            </w:pPr>
          </w:p>
        </w:tc>
        <w:tc>
          <w:tcPr>
            <w:tcW w:w="1449" w:type="dxa"/>
            <w:vMerge w:val="continue"/>
            <w:tcBorders>
              <w:top w:val="single" w:color="auto" w:sz="6" w:space="0"/>
              <w:bottom w:val="single" w:color="auto" w:sz="6" w:space="0"/>
            </w:tcBorders>
            <w:vAlign w:val="center"/>
          </w:tcPr>
          <w:p>
            <w:pPr>
              <w:snapToGrid w:val="0"/>
              <w:ind w:firstLine="420"/>
              <w:jc w:val="center"/>
              <w:rPr>
                <w:color w:val="000000"/>
                <w:sz w:val="21"/>
                <w:szCs w:val="21"/>
              </w:rPr>
            </w:pPr>
          </w:p>
        </w:tc>
        <w:tc>
          <w:tcPr>
            <w:tcW w:w="1527"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旱地</w:t>
            </w:r>
          </w:p>
        </w:tc>
        <w:tc>
          <w:tcPr>
            <w:tcW w:w="1593"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150</w:t>
            </w:r>
          </w:p>
        </w:tc>
        <w:tc>
          <w:tcPr>
            <w:tcW w:w="1431"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200</w:t>
            </w:r>
          </w:p>
        </w:tc>
        <w:tc>
          <w:tcPr>
            <w:tcW w:w="1968" w:type="dxa"/>
            <w:tcBorders>
              <w:top w:val="single" w:color="auto" w:sz="6" w:space="0"/>
              <w:bottom w:val="single" w:color="auto" w:sz="6" w:space="0"/>
              <w:right w:val="nil"/>
            </w:tcBorders>
            <w:vAlign w:val="center"/>
          </w:tcPr>
          <w:p>
            <w:pPr>
              <w:snapToGrid w:val="0"/>
              <w:ind w:firstLine="420"/>
              <w:rPr>
                <w:color w:val="000000"/>
                <w:sz w:val="21"/>
                <w:szCs w:val="21"/>
              </w:rPr>
            </w:pPr>
            <w:r>
              <w:rPr>
                <w:color w:val="000000"/>
                <w:sz w:val="21"/>
                <w:szCs w:val="21"/>
              </w:rPr>
              <w:t>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256" w:hRule="atLeast"/>
          <w:jc w:val="center"/>
        </w:trPr>
        <w:tc>
          <w:tcPr>
            <w:tcW w:w="1102" w:type="dxa"/>
            <w:tcBorders>
              <w:top w:val="single" w:color="auto" w:sz="6" w:space="0"/>
              <w:left w:val="nil"/>
              <w:bottom w:val="single" w:color="auto" w:sz="6" w:space="0"/>
            </w:tcBorders>
            <w:vAlign w:val="center"/>
          </w:tcPr>
          <w:p>
            <w:pPr>
              <w:snapToGrid w:val="0"/>
              <w:ind w:firstLine="420"/>
              <w:rPr>
                <w:color w:val="000000"/>
                <w:sz w:val="21"/>
                <w:szCs w:val="21"/>
              </w:rPr>
            </w:pPr>
            <w:r>
              <w:rPr>
                <w:color w:val="000000"/>
                <w:sz w:val="21"/>
                <w:szCs w:val="21"/>
              </w:rPr>
              <w:t>5</w:t>
            </w:r>
          </w:p>
        </w:tc>
        <w:tc>
          <w:tcPr>
            <w:tcW w:w="2976" w:type="dxa"/>
            <w:gridSpan w:val="2"/>
            <w:tcBorders>
              <w:top w:val="single" w:color="auto" w:sz="6" w:space="0"/>
              <w:bottom w:val="single" w:color="auto" w:sz="6" w:space="0"/>
            </w:tcBorders>
            <w:vAlign w:val="center"/>
          </w:tcPr>
          <w:p>
            <w:pPr>
              <w:snapToGrid w:val="0"/>
              <w:ind w:firstLine="420"/>
              <w:jc w:val="center"/>
              <w:rPr>
                <w:color w:val="000000"/>
                <w:sz w:val="21"/>
                <w:szCs w:val="21"/>
              </w:rPr>
            </w:pPr>
            <w:r>
              <w:rPr>
                <w:color w:val="000000"/>
                <w:sz w:val="21"/>
                <w:szCs w:val="21"/>
              </w:rPr>
              <w:t>Cd，≤</w:t>
            </w:r>
          </w:p>
        </w:tc>
        <w:tc>
          <w:tcPr>
            <w:tcW w:w="1593"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0.30</w:t>
            </w:r>
          </w:p>
        </w:tc>
        <w:tc>
          <w:tcPr>
            <w:tcW w:w="1431"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0.30</w:t>
            </w:r>
          </w:p>
        </w:tc>
        <w:tc>
          <w:tcPr>
            <w:tcW w:w="1968" w:type="dxa"/>
            <w:tcBorders>
              <w:top w:val="single" w:color="auto" w:sz="6" w:space="0"/>
              <w:bottom w:val="single" w:color="auto" w:sz="6" w:space="0"/>
              <w:right w:val="nil"/>
            </w:tcBorders>
            <w:vAlign w:val="center"/>
          </w:tcPr>
          <w:p>
            <w:pPr>
              <w:snapToGrid w:val="0"/>
              <w:ind w:firstLine="420"/>
              <w:rPr>
                <w:color w:val="000000"/>
                <w:sz w:val="21"/>
                <w:szCs w:val="21"/>
              </w:rPr>
            </w:pPr>
            <w:r>
              <w:rPr>
                <w:color w:val="000000"/>
                <w:sz w:val="21"/>
                <w:szCs w:val="21"/>
              </w:rPr>
              <w:t>0.60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256" w:hRule="atLeast"/>
          <w:jc w:val="center"/>
        </w:trPr>
        <w:tc>
          <w:tcPr>
            <w:tcW w:w="1102" w:type="dxa"/>
            <w:tcBorders>
              <w:top w:val="single" w:color="auto" w:sz="6" w:space="0"/>
              <w:left w:val="nil"/>
              <w:bottom w:val="single" w:color="auto" w:sz="6" w:space="0"/>
            </w:tcBorders>
            <w:vAlign w:val="center"/>
          </w:tcPr>
          <w:p>
            <w:pPr>
              <w:snapToGrid w:val="0"/>
              <w:ind w:firstLine="420"/>
              <w:rPr>
                <w:color w:val="000000"/>
                <w:sz w:val="21"/>
                <w:szCs w:val="21"/>
              </w:rPr>
            </w:pPr>
            <w:r>
              <w:rPr>
                <w:color w:val="000000"/>
                <w:sz w:val="21"/>
                <w:szCs w:val="21"/>
              </w:rPr>
              <w:t>6</w:t>
            </w:r>
          </w:p>
        </w:tc>
        <w:tc>
          <w:tcPr>
            <w:tcW w:w="2976" w:type="dxa"/>
            <w:gridSpan w:val="2"/>
            <w:tcBorders>
              <w:top w:val="single" w:color="auto" w:sz="6" w:space="0"/>
              <w:bottom w:val="single" w:color="auto" w:sz="6" w:space="0"/>
            </w:tcBorders>
            <w:vAlign w:val="center"/>
          </w:tcPr>
          <w:p>
            <w:pPr>
              <w:snapToGrid w:val="0"/>
              <w:ind w:firstLine="420"/>
              <w:jc w:val="center"/>
              <w:rPr>
                <w:color w:val="000000"/>
                <w:sz w:val="21"/>
                <w:szCs w:val="21"/>
              </w:rPr>
            </w:pPr>
            <w:r>
              <w:rPr>
                <w:color w:val="000000"/>
                <w:sz w:val="21"/>
                <w:szCs w:val="21"/>
              </w:rPr>
              <w:t>Zn，≤</w:t>
            </w:r>
          </w:p>
        </w:tc>
        <w:tc>
          <w:tcPr>
            <w:tcW w:w="1593"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200</w:t>
            </w:r>
          </w:p>
        </w:tc>
        <w:tc>
          <w:tcPr>
            <w:tcW w:w="1431"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250</w:t>
            </w:r>
          </w:p>
        </w:tc>
        <w:tc>
          <w:tcPr>
            <w:tcW w:w="1968" w:type="dxa"/>
            <w:tcBorders>
              <w:top w:val="single" w:color="auto" w:sz="6" w:space="0"/>
              <w:bottom w:val="single" w:color="auto" w:sz="6" w:space="0"/>
              <w:right w:val="nil"/>
            </w:tcBorders>
            <w:vAlign w:val="center"/>
          </w:tcPr>
          <w:p>
            <w:pPr>
              <w:snapToGrid w:val="0"/>
              <w:ind w:firstLine="420"/>
              <w:rPr>
                <w:color w:val="000000"/>
                <w:sz w:val="21"/>
                <w:szCs w:val="21"/>
              </w:rPr>
            </w:pPr>
            <w:r>
              <w:rPr>
                <w:color w:val="000000"/>
                <w:sz w:val="21"/>
                <w:szCs w:val="21"/>
              </w:rPr>
              <w:t>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256" w:hRule="atLeast"/>
          <w:jc w:val="center"/>
        </w:trPr>
        <w:tc>
          <w:tcPr>
            <w:tcW w:w="1102" w:type="dxa"/>
            <w:tcBorders>
              <w:top w:val="single" w:color="auto" w:sz="6" w:space="0"/>
              <w:left w:val="nil"/>
              <w:bottom w:val="single" w:color="auto" w:sz="6" w:space="0"/>
            </w:tcBorders>
            <w:vAlign w:val="center"/>
          </w:tcPr>
          <w:p>
            <w:pPr>
              <w:snapToGrid w:val="0"/>
              <w:ind w:firstLine="420"/>
              <w:rPr>
                <w:color w:val="000000"/>
                <w:sz w:val="21"/>
                <w:szCs w:val="21"/>
              </w:rPr>
            </w:pPr>
            <w:r>
              <w:rPr>
                <w:color w:val="000000"/>
                <w:sz w:val="21"/>
                <w:szCs w:val="21"/>
              </w:rPr>
              <w:t>7</w:t>
            </w:r>
          </w:p>
        </w:tc>
        <w:tc>
          <w:tcPr>
            <w:tcW w:w="2976" w:type="dxa"/>
            <w:gridSpan w:val="2"/>
            <w:tcBorders>
              <w:top w:val="single" w:color="auto" w:sz="6" w:space="0"/>
              <w:bottom w:val="single" w:color="auto" w:sz="6" w:space="0"/>
            </w:tcBorders>
            <w:vAlign w:val="center"/>
          </w:tcPr>
          <w:p>
            <w:pPr>
              <w:snapToGrid w:val="0"/>
              <w:ind w:firstLine="420"/>
              <w:jc w:val="center"/>
              <w:rPr>
                <w:color w:val="000000"/>
                <w:sz w:val="21"/>
                <w:szCs w:val="21"/>
              </w:rPr>
            </w:pPr>
            <w:r>
              <w:rPr>
                <w:color w:val="000000"/>
                <w:sz w:val="21"/>
                <w:szCs w:val="21"/>
              </w:rPr>
              <w:t>Ni，≤</w:t>
            </w:r>
          </w:p>
        </w:tc>
        <w:tc>
          <w:tcPr>
            <w:tcW w:w="1593"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40</w:t>
            </w:r>
          </w:p>
        </w:tc>
        <w:tc>
          <w:tcPr>
            <w:tcW w:w="1431" w:type="dxa"/>
            <w:tcBorders>
              <w:top w:val="single" w:color="auto" w:sz="6" w:space="0"/>
              <w:bottom w:val="single" w:color="auto" w:sz="6" w:space="0"/>
            </w:tcBorders>
            <w:vAlign w:val="center"/>
          </w:tcPr>
          <w:p>
            <w:pPr>
              <w:snapToGrid w:val="0"/>
              <w:ind w:firstLine="420"/>
              <w:rPr>
                <w:color w:val="000000"/>
                <w:sz w:val="21"/>
                <w:szCs w:val="21"/>
              </w:rPr>
            </w:pPr>
            <w:r>
              <w:rPr>
                <w:color w:val="000000"/>
                <w:sz w:val="21"/>
                <w:szCs w:val="21"/>
              </w:rPr>
              <w:t>50</w:t>
            </w:r>
          </w:p>
        </w:tc>
        <w:tc>
          <w:tcPr>
            <w:tcW w:w="1968" w:type="dxa"/>
            <w:tcBorders>
              <w:top w:val="single" w:color="auto" w:sz="6" w:space="0"/>
              <w:bottom w:val="single" w:color="auto" w:sz="6" w:space="0"/>
              <w:right w:val="nil"/>
            </w:tcBorders>
            <w:vAlign w:val="center"/>
          </w:tcPr>
          <w:p>
            <w:pPr>
              <w:snapToGrid w:val="0"/>
              <w:ind w:firstLine="420"/>
              <w:rPr>
                <w:color w:val="000000"/>
                <w:sz w:val="21"/>
                <w:szCs w:val="21"/>
              </w:rPr>
            </w:pPr>
            <w:r>
              <w:rPr>
                <w:color w:val="000000"/>
                <w:sz w:val="21"/>
                <w:szCs w:val="21"/>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256" w:hRule="atLeast"/>
          <w:jc w:val="center"/>
        </w:trPr>
        <w:tc>
          <w:tcPr>
            <w:tcW w:w="1102" w:type="dxa"/>
            <w:tcBorders>
              <w:top w:val="single" w:color="auto" w:sz="6" w:space="0"/>
              <w:left w:val="nil"/>
              <w:bottom w:val="single" w:color="auto" w:sz="12" w:space="0"/>
            </w:tcBorders>
            <w:vAlign w:val="center"/>
          </w:tcPr>
          <w:p>
            <w:pPr>
              <w:snapToGrid w:val="0"/>
              <w:ind w:firstLine="420"/>
              <w:rPr>
                <w:color w:val="000000"/>
                <w:sz w:val="21"/>
                <w:szCs w:val="21"/>
              </w:rPr>
            </w:pPr>
            <w:r>
              <w:rPr>
                <w:color w:val="000000"/>
                <w:sz w:val="21"/>
                <w:szCs w:val="21"/>
              </w:rPr>
              <w:t>8</w:t>
            </w:r>
          </w:p>
        </w:tc>
        <w:tc>
          <w:tcPr>
            <w:tcW w:w="2976" w:type="dxa"/>
            <w:gridSpan w:val="2"/>
            <w:tcBorders>
              <w:top w:val="single" w:color="auto" w:sz="6" w:space="0"/>
              <w:bottom w:val="single" w:color="auto" w:sz="12" w:space="0"/>
            </w:tcBorders>
            <w:vAlign w:val="center"/>
          </w:tcPr>
          <w:p>
            <w:pPr>
              <w:snapToGrid w:val="0"/>
              <w:ind w:firstLine="420"/>
              <w:jc w:val="center"/>
              <w:rPr>
                <w:color w:val="000000"/>
                <w:sz w:val="21"/>
                <w:szCs w:val="21"/>
              </w:rPr>
            </w:pPr>
            <w:r>
              <w:rPr>
                <w:color w:val="000000"/>
                <w:sz w:val="21"/>
                <w:szCs w:val="21"/>
              </w:rPr>
              <w:t>Hg，≤</w:t>
            </w:r>
          </w:p>
        </w:tc>
        <w:tc>
          <w:tcPr>
            <w:tcW w:w="1593" w:type="dxa"/>
            <w:tcBorders>
              <w:top w:val="single" w:color="auto" w:sz="6" w:space="0"/>
              <w:bottom w:val="single" w:color="auto" w:sz="12" w:space="0"/>
            </w:tcBorders>
            <w:vAlign w:val="center"/>
          </w:tcPr>
          <w:p>
            <w:pPr>
              <w:snapToGrid w:val="0"/>
              <w:ind w:firstLine="420"/>
              <w:rPr>
                <w:color w:val="000000"/>
                <w:sz w:val="21"/>
                <w:szCs w:val="21"/>
              </w:rPr>
            </w:pPr>
            <w:r>
              <w:rPr>
                <w:color w:val="000000"/>
                <w:sz w:val="21"/>
                <w:szCs w:val="21"/>
              </w:rPr>
              <w:t>0.3</w:t>
            </w:r>
          </w:p>
        </w:tc>
        <w:tc>
          <w:tcPr>
            <w:tcW w:w="1431" w:type="dxa"/>
            <w:tcBorders>
              <w:top w:val="single" w:color="auto" w:sz="6" w:space="0"/>
              <w:bottom w:val="single" w:color="auto" w:sz="12" w:space="0"/>
            </w:tcBorders>
            <w:vAlign w:val="center"/>
          </w:tcPr>
          <w:p>
            <w:pPr>
              <w:snapToGrid w:val="0"/>
              <w:ind w:firstLine="420"/>
              <w:rPr>
                <w:color w:val="000000"/>
                <w:sz w:val="21"/>
                <w:szCs w:val="21"/>
              </w:rPr>
            </w:pPr>
            <w:r>
              <w:rPr>
                <w:color w:val="000000"/>
                <w:sz w:val="21"/>
                <w:szCs w:val="21"/>
              </w:rPr>
              <w:t>0.5</w:t>
            </w:r>
          </w:p>
        </w:tc>
        <w:tc>
          <w:tcPr>
            <w:tcW w:w="1968" w:type="dxa"/>
            <w:tcBorders>
              <w:top w:val="single" w:color="auto" w:sz="6" w:space="0"/>
              <w:bottom w:val="single" w:color="auto" w:sz="12" w:space="0"/>
              <w:right w:val="nil"/>
            </w:tcBorders>
            <w:vAlign w:val="center"/>
          </w:tcPr>
          <w:p>
            <w:pPr>
              <w:snapToGrid w:val="0"/>
              <w:ind w:firstLine="420"/>
              <w:rPr>
                <w:color w:val="000000"/>
                <w:sz w:val="21"/>
                <w:szCs w:val="21"/>
              </w:rPr>
            </w:pPr>
            <w:r>
              <w:rPr>
                <w:color w:val="000000"/>
                <w:sz w:val="21"/>
                <w:szCs w:val="21"/>
              </w:rPr>
              <w:t>1.0</w:t>
            </w:r>
          </w:p>
        </w:tc>
      </w:tr>
    </w:tbl>
    <w:p>
      <w:pPr>
        <w:pStyle w:val="2"/>
        <w:rPr>
          <w:rFonts w:hint="eastAsia"/>
        </w:rPr>
      </w:pPr>
    </w:p>
    <w:p>
      <w:pPr>
        <w:pStyle w:val="5"/>
      </w:pPr>
      <w:r>
        <w:t>污染排放和控制标准</w:t>
      </w:r>
      <w:bookmarkEnd w:id="102"/>
      <w:bookmarkEnd w:id="103"/>
    </w:p>
    <w:p>
      <w:pPr>
        <w:pStyle w:val="6"/>
      </w:pPr>
      <w:r>
        <w:t>废水排放标准</w:t>
      </w:r>
    </w:p>
    <w:p>
      <w:pPr>
        <w:ind w:firstLine="480"/>
        <w:rPr>
          <w:rFonts w:cs="Times New Roman" w:eastAsiaTheme="minorEastAsia"/>
          <w:bCs/>
        </w:rPr>
      </w:pPr>
      <w:r>
        <w:rPr>
          <w:rFonts w:hint="eastAsia" w:cs="Times New Roman" w:eastAsiaTheme="minorEastAsia"/>
          <w:bCs/>
        </w:rPr>
        <w:t>项目不排放生产性废水，对外排放的废水主要为生活污水。</w:t>
      </w:r>
    </w:p>
    <w:p>
      <w:pPr>
        <w:ind w:firstLine="480"/>
        <w:rPr>
          <w:rFonts w:cs="Times New Roman" w:eastAsiaTheme="minorEastAsia"/>
          <w:bCs/>
        </w:rPr>
      </w:pPr>
      <w:r>
        <w:rPr>
          <w:rFonts w:hint="eastAsia" w:cs="Times New Roman" w:eastAsiaTheme="minorEastAsia"/>
          <w:bCs/>
        </w:rPr>
        <w:t>项目所在地是苍城污水处理厂的纳污范围，项目营运期生活污水能够纳入生活污水处理厂进行处理，外排废水执行《</w:t>
      </w:r>
      <w:r>
        <w:rPr>
          <w:rFonts w:hint="eastAsia"/>
        </w:rPr>
        <w:t>橡胶制品工业水污染物排放标准》（</w:t>
      </w:r>
      <w:r>
        <w:rPr>
          <w:rFonts w:hint="eastAsia" w:cs="Times New Roman" w:eastAsiaTheme="minorEastAsia"/>
          <w:bCs/>
        </w:rPr>
        <w:t>GB</w:t>
      </w:r>
      <w:r>
        <w:rPr>
          <w:rFonts w:cs="Times New Roman" w:eastAsiaTheme="minorEastAsia"/>
          <w:bCs/>
        </w:rPr>
        <w:t xml:space="preserve"> </w:t>
      </w:r>
      <w:r>
        <w:rPr>
          <w:rFonts w:hint="eastAsia" w:cs="Times New Roman" w:eastAsiaTheme="minorEastAsia"/>
          <w:bCs/>
        </w:rPr>
        <w:t>27632-2011）中表2“间接排放限值”、广东省《水污染物排放限值》（DB</w:t>
      </w:r>
      <w:r>
        <w:rPr>
          <w:rFonts w:cs="Times New Roman" w:eastAsiaTheme="minorEastAsia"/>
          <w:bCs/>
        </w:rPr>
        <w:t xml:space="preserve"> </w:t>
      </w:r>
      <w:r>
        <w:rPr>
          <w:rFonts w:hint="eastAsia" w:cs="Times New Roman" w:eastAsiaTheme="minorEastAsia"/>
          <w:bCs/>
        </w:rPr>
        <w:t>44/26-2001）第二时段三级标准两者间较严者。具体数值见下</w:t>
      </w:r>
      <w:r>
        <w:rPr>
          <w:rFonts w:cs="Times New Roman" w:eastAsiaTheme="minorEastAsia"/>
          <w:bCs/>
        </w:rPr>
        <w:fldChar w:fldCharType="begin"/>
      </w:r>
      <w:r>
        <w:rPr>
          <w:rFonts w:cs="Times New Roman" w:eastAsiaTheme="minorEastAsia"/>
          <w:bCs/>
        </w:rPr>
        <w:instrText xml:space="preserve"> </w:instrText>
      </w:r>
      <w:r>
        <w:rPr>
          <w:rFonts w:hint="eastAsia" w:cs="Times New Roman" w:eastAsiaTheme="minorEastAsia"/>
          <w:bCs/>
        </w:rPr>
        <w:instrText xml:space="preserve">REF _Ref524460943 \h</w:instrText>
      </w:r>
      <w:r>
        <w:rPr>
          <w:rFonts w:cs="Times New Roman" w:eastAsiaTheme="minorEastAsia"/>
          <w:bCs/>
        </w:rPr>
        <w:instrText xml:space="preserve">  \* MERGEFORMAT </w:instrText>
      </w:r>
      <w:r>
        <w:rPr>
          <w:rFonts w:cs="Times New Roman" w:eastAsiaTheme="minorEastAsia"/>
          <w:bCs/>
        </w:rPr>
        <w:fldChar w:fldCharType="separate"/>
      </w:r>
      <w:r>
        <w:rPr>
          <w:rFonts w:hint="eastAsia" w:eastAsiaTheme="minorEastAsia"/>
        </w:rPr>
        <w:t xml:space="preserve">表 </w:t>
      </w:r>
      <w:r>
        <w:rPr>
          <w:rFonts w:eastAsiaTheme="minorEastAsia"/>
        </w:rPr>
        <w:t>1.4</w:t>
      </w:r>
      <w:r>
        <w:rPr>
          <w:rFonts w:eastAsiaTheme="minorEastAsia"/>
        </w:rPr>
        <w:noBreakHyphen/>
      </w:r>
      <w:r>
        <w:rPr>
          <w:rFonts w:eastAsiaTheme="minorEastAsia"/>
        </w:rPr>
        <w:t>6</w:t>
      </w:r>
      <w:r>
        <w:rPr>
          <w:rFonts w:cs="Times New Roman" w:eastAsiaTheme="minorEastAsia"/>
          <w:bCs/>
        </w:rPr>
        <w:fldChar w:fldCharType="end"/>
      </w:r>
      <w:r>
        <w:rPr>
          <w:rFonts w:hint="eastAsia" w:cs="Times New Roman" w:eastAsiaTheme="minorEastAsia"/>
          <w:bCs/>
        </w:rPr>
        <w:t>。</w:t>
      </w:r>
    </w:p>
    <w:p>
      <w:pPr>
        <w:pStyle w:val="18"/>
      </w:pPr>
      <w:bookmarkStart w:id="105" w:name="_Ref524460943"/>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6</w:t>
      </w:r>
      <w:r>
        <w:fldChar w:fldCharType="end"/>
      </w:r>
      <w:bookmarkEnd w:id="105"/>
      <w:r>
        <w:t xml:space="preserve"> </w:t>
      </w:r>
      <w:r>
        <w:rPr>
          <w:rFonts w:hint="eastAsia"/>
        </w:rPr>
        <w:t>橡胶制品工业水污染物排放限值摘录</w:t>
      </w:r>
      <w:r>
        <w:tab/>
      </w:r>
      <w:r>
        <w:rPr>
          <w:rFonts w:hint="eastAsia"/>
        </w:rPr>
        <w:t>单位：</w:t>
      </w:r>
      <w:r>
        <w:t>mg/L (pH</w:t>
      </w:r>
      <w:r>
        <w:rPr>
          <w:rFonts w:hint="eastAsia"/>
        </w:rPr>
        <w:t>值除外</w:t>
      </w:r>
      <w:r>
        <w:t>)</w:t>
      </w:r>
    </w:p>
    <w:tbl>
      <w:tblPr>
        <w:tblStyle w:val="56"/>
        <w:tblW w:w="9000" w:type="dxa"/>
        <w:tblInd w:w="0" w:type="dxa"/>
        <w:tblLayout w:type="fixed"/>
        <w:tblCellMar>
          <w:top w:w="0" w:type="dxa"/>
          <w:left w:w="108" w:type="dxa"/>
          <w:bottom w:w="0" w:type="dxa"/>
          <w:right w:w="108" w:type="dxa"/>
        </w:tblCellMar>
      </w:tblPr>
      <w:tblGrid>
        <w:gridCol w:w="846"/>
        <w:gridCol w:w="1276"/>
        <w:gridCol w:w="2551"/>
        <w:gridCol w:w="2552"/>
        <w:gridCol w:w="1775"/>
      </w:tblGrid>
      <w:tr>
        <w:tblPrEx>
          <w:tblLayout w:type="fixed"/>
          <w:tblCellMar>
            <w:top w:w="0" w:type="dxa"/>
            <w:left w:w="108" w:type="dxa"/>
            <w:bottom w:w="0" w:type="dxa"/>
            <w:right w:w="108" w:type="dxa"/>
          </w:tblCellMar>
        </w:tblPrEx>
        <w:trPr>
          <w:trHeight w:val="285" w:hRule="atLeast"/>
          <w:tblHeader/>
        </w:trPr>
        <w:tc>
          <w:tcPr>
            <w:tcW w:w="846" w:type="dxa"/>
            <w:vMerge w:val="restar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序号</w:t>
            </w:r>
          </w:p>
        </w:tc>
        <w:tc>
          <w:tcPr>
            <w:tcW w:w="1276" w:type="dxa"/>
            <w:vMerge w:val="restar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污染物项目</w:t>
            </w:r>
          </w:p>
        </w:tc>
        <w:tc>
          <w:tcPr>
            <w:tcW w:w="6878" w:type="dxa"/>
            <w:gridSpan w:val="3"/>
            <w:tcBorders>
              <w:top w:val="single" w:color="auto" w:sz="4" w:space="0"/>
              <w:left w:val="nil"/>
              <w:bottom w:val="single" w:color="auto" w:sz="4" w:space="0"/>
              <w:right w:val="single" w:color="000000" w:sz="4" w:space="0"/>
            </w:tcBorders>
            <w:shd w:val="clear" w:color="auto" w:fill="D8D8D8" w:themeFill="background1" w:themeFillShade="D9"/>
            <w:noWrap/>
            <w:vAlign w:val="bottom"/>
          </w:tcPr>
          <w:p>
            <w:pPr>
              <w:pStyle w:val="107"/>
              <w:rPr>
                <w:rFonts w:eastAsia="宋体"/>
                <w:b/>
              </w:rPr>
            </w:pPr>
            <w:r>
              <w:rPr>
                <w:rFonts w:hint="eastAsia" w:eastAsia="宋体"/>
                <w:b/>
              </w:rPr>
              <w:t>标准限值</w:t>
            </w:r>
          </w:p>
        </w:tc>
      </w:tr>
      <w:tr>
        <w:tblPrEx>
          <w:tblLayout w:type="fixed"/>
          <w:tblCellMar>
            <w:top w:w="0" w:type="dxa"/>
            <w:left w:w="108" w:type="dxa"/>
            <w:bottom w:w="0" w:type="dxa"/>
            <w:right w:w="108" w:type="dxa"/>
          </w:tblCellMar>
        </w:tblPrEx>
        <w:trPr>
          <w:trHeight w:val="782" w:hRule="atLeast"/>
          <w:tblHeader/>
        </w:trPr>
        <w:tc>
          <w:tcPr>
            <w:tcW w:w="846" w:type="dxa"/>
            <w:vMerge w:val="continue"/>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107"/>
              <w:rPr>
                <w:b/>
              </w:rPr>
            </w:pPr>
          </w:p>
        </w:tc>
        <w:tc>
          <w:tcPr>
            <w:tcW w:w="1276" w:type="dxa"/>
            <w:vMerge w:val="continue"/>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107"/>
              <w:rPr>
                <w:b/>
              </w:rPr>
            </w:pPr>
          </w:p>
        </w:tc>
        <w:tc>
          <w:tcPr>
            <w:tcW w:w="2551" w:type="dxa"/>
            <w:tcBorders>
              <w:top w:val="nil"/>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GB 27632-2011间接排放限值</w:t>
            </w:r>
          </w:p>
        </w:tc>
        <w:tc>
          <w:tcPr>
            <w:tcW w:w="2552" w:type="dxa"/>
            <w:tcBorders>
              <w:top w:val="nil"/>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远期DB  44/26-2001第二时段三级标准</w:t>
            </w:r>
          </w:p>
        </w:tc>
        <w:tc>
          <w:tcPr>
            <w:tcW w:w="1775" w:type="dxa"/>
            <w:tcBorders>
              <w:top w:val="nil"/>
              <w:left w:val="nil"/>
              <w:bottom w:val="single" w:color="auto" w:sz="4" w:space="0"/>
              <w:right w:val="single" w:color="auto" w:sz="4" w:space="0"/>
            </w:tcBorders>
            <w:shd w:val="clear" w:color="auto" w:fill="D8D8D8" w:themeFill="background1" w:themeFillShade="D9"/>
            <w:noWrap/>
            <w:vAlign w:val="center"/>
          </w:tcPr>
          <w:p>
            <w:pPr>
              <w:pStyle w:val="107"/>
              <w:rPr>
                <w:rFonts w:eastAsia="宋体"/>
                <w:b/>
              </w:rPr>
            </w:pPr>
            <w:r>
              <w:rPr>
                <w:rFonts w:hint="eastAsia" w:eastAsia="宋体"/>
                <w:b/>
              </w:rPr>
              <w:t>两者严值</w:t>
            </w:r>
          </w:p>
        </w:tc>
      </w:tr>
      <w:tr>
        <w:tblPrEx>
          <w:tblLayout w:type="fixed"/>
          <w:tblCellMar>
            <w:top w:w="0" w:type="dxa"/>
            <w:left w:w="108" w:type="dxa"/>
            <w:bottom w:w="0" w:type="dxa"/>
            <w:right w:w="108" w:type="dxa"/>
          </w:tblCellMar>
        </w:tblPrEx>
        <w:trPr>
          <w:trHeight w:val="360" w:hRule="atLeast"/>
        </w:trPr>
        <w:tc>
          <w:tcPr>
            <w:tcW w:w="846" w:type="dxa"/>
            <w:tcBorders>
              <w:top w:val="nil"/>
              <w:left w:val="single" w:color="000000" w:sz="8" w:space="0"/>
              <w:bottom w:val="single" w:color="000000" w:sz="8" w:space="0"/>
              <w:right w:val="single" w:color="000000" w:sz="8" w:space="0"/>
            </w:tcBorders>
            <w:shd w:val="clear" w:color="auto" w:fill="auto"/>
            <w:vAlign w:val="center"/>
          </w:tcPr>
          <w:p>
            <w:pPr>
              <w:pStyle w:val="107"/>
              <w:rPr>
                <w:rFonts w:ascii="Times New Roman" w:hAnsi="Times New Roman" w:eastAsia="等线" w:cs="Times New Roman"/>
              </w:rPr>
            </w:pPr>
            <w:r>
              <w:rPr>
                <w:rFonts w:ascii="Times New Roman" w:hAnsi="Times New Roman" w:eastAsia="等线" w:cs="Times New Roman"/>
              </w:rPr>
              <w:t>1</w:t>
            </w:r>
          </w:p>
        </w:tc>
        <w:tc>
          <w:tcPr>
            <w:tcW w:w="1276" w:type="dxa"/>
            <w:tcBorders>
              <w:top w:val="nil"/>
              <w:left w:val="nil"/>
              <w:bottom w:val="single" w:color="000000" w:sz="8" w:space="0"/>
              <w:right w:val="nil"/>
            </w:tcBorders>
            <w:shd w:val="clear" w:color="auto" w:fill="auto"/>
            <w:vAlign w:val="center"/>
          </w:tcPr>
          <w:p>
            <w:pPr>
              <w:pStyle w:val="107"/>
              <w:rPr>
                <w:rFonts w:ascii="Times New Roman" w:hAnsi="Times New Roman" w:eastAsia="等线" w:cs="Times New Roman"/>
              </w:rPr>
            </w:pPr>
            <w:r>
              <w:rPr>
                <w:rFonts w:ascii="Times New Roman" w:hAnsi="Times New Roman" w:eastAsia="等线" w:cs="Times New Roman"/>
              </w:rPr>
              <w:t>pH</w:t>
            </w:r>
            <w:r>
              <w:rPr>
                <w:rFonts w:hint="eastAsia" w:cs="Times New Roman"/>
              </w:rPr>
              <w:t>值</w:t>
            </w:r>
          </w:p>
        </w:tc>
        <w:tc>
          <w:tcPr>
            <w:tcW w:w="2551" w:type="dxa"/>
            <w:tcBorders>
              <w:top w:val="nil"/>
              <w:left w:val="single" w:color="auto" w:sz="4" w:space="0"/>
              <w:bottom w:val="single" w:color="auto" w:sz="4" w:space="0"/>
              <w:right w:val="single" w:color="auto" w:sz="4" w:space="0"/>
            </w:tcBorders>
            <w:shd w:val="clear" w:color="auto" w:fill="auto"/>
            <w:vAlign w:val="center"/>
          </w:tcPr>
          <w:p>
            <w:pPr>
              <w:pStyle w:val="107"/>
            </w:pPr>
            <w:r>
              <w:t>6</w:t>
            </w:r>
            <w:r>
              <w:rPr>
                <w:rFonts w:hint="eastAsia"/>
              </w:rPr>
              <w:t>～</w:t>
            </w:r>
            <w:r>
              <w:t>9</w:t>
            </w:r>
          </w:p>
        </w:tc>
        <w:tc>
          <w:tcPr>
            <w:tcW w:w="2552" w:type="dxa"/>
            <w:tcBorders>
              <w:top w:val="nil"/>
              <w:left w:val="nil"/>
              <w:bottom w:val="single" w:color="auto" w:sz="4" w:space="0"/>
              <w:right w:val="single" w:color="auto" w:sz="4" w:space="0"/>
            </w:tcBorders>
            <w:shd w:val="clear" w:color="auto" w:fill="auto"/>
            <w:vAlign w:val="center"/>
          </w:tcPr>
          <w:p>
            <w:pPr>
              <w:pStyle w:val="107"/>
            </w:pPr>
            <w:r>
              <w:t>6</w:t>
            </w:r>
            <w:r>
              <w:rPr>
                <w:rFonts w:hint="eastAsia"/>
              </w:rPr>
              <w:t>～</w:t>
            </w:r>
            <w:r>
              <w:t>9</w:t>
            </w:r>
          </w:p>
        </w:tc>
        <w:tc>
          <w:tcPr>
            <w:tcW w:w="1775" w:type="dxa"/>
            <w:tcBorders>
              <w:top w:val="nil"/>
              <w:left w:val="nil"/>
              <w:bottom w:val="single" w:color="auto" w:sz="4" w:space="0"/>
              <w:right w:val="single" w:color="auto" w:sz="4" w:space="0"/>
            </w:tcBorders>
            <w:shd w:val="clear" w:color="auto" w:fill="auto"/>
            <w:vAlign w:val="center"/>
          </w:tcPr>
          <w:p>
            <w:pPr>
              <w:pStyle w:val="107"/>
            </w:pPr>
            <w:r>
              <w:t>6</w:t>
            </w:r>
            <w:r>
              <w:rPr>
                <w:rFonts w:hint="eastAsia"/>
              </w:rPr>
              <w:t>～</w:t>
            </w:r>
            <w:r>
              <w:t>9</w:t>
            </w:r>
          </w:p>
        </w:tc>
      </w:tr>
      <w:tr>
        <w:tblPrEx>
          <w:tblLayout w:type="fixed"/>
          <w:tblCellMar>
            <w:top w:w="0" w:type="dxa"/>
            <w:left w:w="108" w:type="dxa"/>
            <w:bottom w:w="0" w:type="dxa"/>
            <w:right w:w="108" w:type="dxa"/>
          </w:tblCellMar>
        </w:tblPrEx>
        <w:trPr>
          <w:trHeight w:val="300" w:hRule="atLeast"/>
        </w:trPr>
        <w:tc>
          <w:tcPr>
            <w:tcW w:w="846" w:type="dxa"/>
            <w:tcBorders>
              <w:top w:val="nil"/>
              <w:left w:val="single" w:color="000000" w:sz="8" w:space="0"/>
              <w:bottom w:val="single" w:color="000000" w:sz="8" w:space="0"/>
              <w:right w:val="single" w:color="000000" w:sz="8" w:space="0"/>
            </w:tcBorders>
            <w:shd w:val="clear" w:color="auto" w:fill="auto"/>
            <w:vAlign w:val="center"/>
          </w:tcPr>
          <w:p>
            <w:pPr>
              <w:pStyle w:val="107"/>
              <w:rPr>
                <w:rFonts w:ascii="Times New Roman" w:hAnsi="Times New Roman" w:eastAsia="等线" w:cs="Times New Roman"/>
              </w:rPr>
            </w:pPr>
            <w:r>
              <w:rPr>
                <w:rFonts w:ascii="Times New Roman" w:hAnsi="Times New Roman" w:eastAsia="等线" w:cs="Times New Roman"/>
              </w:rPr>
              <w:t>2</w:t>
            </w:r>
          </w:p>
        </w:tc>
        <w:tc>
          <w:tcPr>
            <w:tcW w:w="1276" w:type="dxa"/>
            <w:tcBorders>
              <w:top w:val="nil"/>
              <w:left w:val="nil"/>
              <w:bottom w:val="single" w:color="000000" w:sz="8" w:space="0"/>
              <w:right w:val="nil"/>
            </w:tcBorders>
            <w:shd w:val="clear" w:color="auto" w:fill="auto"/>
            <w:vAlign w:val="center"/>
          </w:tcPr>
          <w:p>
            <w:pPr>
              <w:pStyle w:val="107"/>
            </w:pPr>
            <w:r>
              <w:rPr>
                <w:rFonts w:hint="eastAsia"/>
              </w:rPr>
              <w:t>悬浮物</w:t>
            </w:r>
          </w:p>
        </w:tc>
        <w:tc>
          <w:tcPr>
            <w:tcW w:w="2551" w:type="dxa"/>
            <w:tcBorders>
              <w:top w:val="nil"/>
              <w:left w:val="single" w:color="auto" w:sz="4" w:space="0"/>
              <w:bottom w:val="single" w:color="auto" w:sz="4" w:space="0"/>
              <w:right w:val="single" w:color="auto" w:sz="4" w:space="0"/>
            </w:tcBorders>
            <w:shd w:val="clear" w:color="auto" w:fill="auto"/>
            <w:vAlign w:val="center"/>
          </w:tcPr>
          <w:p>
            <w:pPr>
              <w:pStyle w:val="107"/>
            </w:pPr>
            <w:r>
              <w:t>150</w:t>
            </w:r>
          </w:p>
        </w:tc>
        <w:tc>
          <w:tcPr>
            <w:tcW w:w="2552" w:type="dxa"/>
            <w:tcBorders>
              <w:top w:val="nil"/>
              <w:left w:val="nil"/>
              <w:bottom w:val="single" w:color="auto" w:sz="4" w:space="0"/>
              <w:right w:val="single" w:color="auto" w:sz="4" w:space="0"/>
            </w:tcBorders>
            <w:shd w:val="clear" w:color="auto" w:fill="auto"/>
            <w:vAlign w:val="center"/>
          </w:tcPr>
          <w:p>
            <w:pPr>
              <w:pStyle w:val="107"/>
            </w:pPr>
            <w:r>
              <w:t>400</w:t>
            </w:r>
          </w:p>
        </w:tc>
        <w:tc>
          <w:tcPr>
            <w:tcW w:w="1775" w:type="dxa"/>
            <w:tcBorders>
              <w:top w:val="nil"/>
              <w:left w:val="nil"/>
              <w:bottom w:val="single" w:color="auto" w:sz="4" w:space="0"/>
              <w:right w:val="single" w:color="auto" w:sz="4" w:space="0"/>
            </w:tcBorders>
            <w:shd w:val="clear" w:color="auto" w:fill="auto"/>
            <w:vAlign w:val="center"/>
          </w:tcPr>
          <w:p>
            <w:pPr>
              <w:pStyle w:val="107"/>
            </w:pPr>
            <w:r>
              <w:t>150</w:t>
            </w:r>
          </w:p>
        </w:tc>
      </w:tr>
      <w:tr>
        <w:tblPrEx>
          <w:tblLayout w:type="fixed"/>
          <w:tblCellMar>
            <w:top w:w="0" w:type="dxa"/>
            <w:left w:w="108" w:type="dxa"/>
            <w:bottom w:w="0" w:type="dxa"/>
            <w:right w:w="108" w:type="dxa"/>
          </w:tblCellMar>
        </w:tblPrEx>
        <w:trPr>
          <w:trHeight w:val="825" w:hRule="atLeast"/>
        </w:trPr>
        <w:tc>
          <w:tcPr>
            <w:tcW w:w="846" w:type="dxa"/>
            <w:tcBorders>
              <w:top w:val="nil"/>
              <w:left w:val="single" w:color="000000" w:sz="8" w:space="0"/>
              <w:bottom w:val="single" w:color="000000" w:sz="8" w:space="0"/>
              <w:right w:val="single" w:color="000000" w:sz="8" w:space="0"/>
            </w:tcBorders>
            <w:shd w:val="clear" w:color="auto" w:fill="auto"/>
            <w:vAlign w:val="center"/>
          </w:tcPr>
          <w:p>
            <w:pPr>
              <w:pStyle w:val="107"/>
              <w:rPr>
                <w:rFonts w:ascii="Times New Roman" w:hAnsi="Times New Roman" w:eastAsia="等线" w:cs="Times New Roman"/>
              </w:rPr>
            </w:pPr>
            <w:r>
              <w:rPr>
                <w:rFonts w:ascii="Times New Roman" w:hAnsi="Times New Roman" w:eastAsia="等线" w:cs="Times New Roman"/>
              </w:rPr>
              <w:t>3</w:t>
            </w:r>
          </w:p>
        </w:tc>
        <w:tc>
          <w:tcPr>
            <w:tcW w:w="1276" w:type="dxa"/>
            <w:tcBorders>
              <w:top w:val="nil"/>
              <w:left w:val="nil"/>
              <w:bottom w:val="single" w:color="000000" w:sz="8" w:space="0"/>
              <w:right w:val="nil"/>
            </w:tcBorders>
            <w:shd w:val="clear" w:color="auto" w:fill="auto"/>
            <w:vAlign w:val="center"/>
          </w:tcPr>
          <w:p>
            <w:pPr>
              <w:pStyle w:val="107"/>
            </w:pPr>
            <w:r>
              <w:rPr>
                <w:rFonts w:hint="eastAsia"/>
              </w:rPr>
              <w:t>五日生化需氧量</w:t>
            </w:r>
            <w:r>
              <w:rPr>
                <w:rFonts w:ascii="Times New Roman" w:hAnsi="Times New Roman" w:cs="Times New Roman"/>
              </w:rPr>
              <w:t>(BOD</w:t>
            </w:r>
            <w:r>
              <w:rPr>
                <w:rFonts w:ascii="Times New Roman" w:hAnsi="Times New Roman" w:cs="Times New Roman"/>
                <w:vertAlign w:val="subscript"/>
              </w:rPr>
              <w:t>5</w:t>
            </w:r>
            <w:r>
              <w:rPr>
                <w:rFonts w:ascii="Times New Roman" w:hAnsi="Times New Roman" w:cs="Times New Roman"/>
              </w:rPr>
              <w:t>)</w:t>
            </w:r>
          </w:p>
        </w:tc>
        <w:tc>
          <w:tcPr>
            <w:tcW w:w="2551" w:type="dxa"/>
            <w:tcBorders>
              <w:top w:val="nil"/>
              <w:left w:val="single" w:color="auto" w:sz="4" w:space="0"/>
              <w:bottom w:val="single" w:color="auto" w:sz="4" w:space="0"/>
              <w:right w:val="single" w:color="auto" w:sz="4" w:space="0"/>
            </w:tcBorders>
            <w:shd w:val="clear" w:color="auto" w:fill="auto"/>
            <w:vAlign w:val="center"/>
          </w:tcPr>
          <w:p>
            <w:pPr>
              <w:pStyle w:val="107"/>
            </w:pPr>
            <w:r>
              <w:t>80</w:t>
            </w:r>
          </w:p>
        </w:tc>
        <w:tc>
          <w:tcPr>
            <w:tcW w:w="2552" w:type="dxa"/>
            <w:tcBorders>
              <w:top w:val="nil"/>
              <w:left w:val="nil"/>
              <w:bottom w:val="single" w:color="auto" w:sz="4" w:space="0"/>
              <w:right w:val="single" w:color="auto" w:sz="4" w:space="0"/>
            </w:tcBorders>
            <w:shd w:val="clear" w:color="auto" w:fill="auto"/>
            <w:vAlign w:val="center"/>
          </w:tcPr>
          <w:p>
            <w:pPr>
              <w:pStyle w:val="107"/>
            </w:pPr>
            <w:r>
              <w:t>300</w:t>
            </w:r>
          </w:p>
        </w:tc>
        <w:tc>
          <w:tcPr>
            <w:tcW w:w="1775" w:type="dxa"/>
            <w:tcBorders>
              <w:top w:val="nil"/>
              <w:left w:val="nil"/>
              <w:bottom w:val="single" w:color="auto" w:sz="4" w:space="0"/>
              <w:right w:val="single" w:color="auto" w:sz="4" w:space="0"/>
            </w:tcBorders>
            <w:shd w:val="clear" w:color="auto" w:fill="auto"/>
            <w:vAlign w:val="center"/>
          </w:tcPr>
          <w:p>
            <w:pPr>
              <w:pStyle w:val="107"/>
            </w:pPr>
            <w:r>
              <w:t>80</w:t>
            </w:r>
          </w:p>
        </w:tc>
      </w:tr>
      <w:tr>
        <w:tblPrEx>
          <w:tblLayout w:type="fixed"/>
          <w:tblCellMar>
            <w:top w:w="0" w:type="dxa"/>
            <w:left w:w="108" w:type="dxa"/>
            <w:bottom w:w="0" w:type="dxa"/>
            <w:right w:w="108" w:type="dxa"/>
          </w:tblCellMar>
        </w:tblPrEx>
        <w:trPr>
          <w:trHeight w:val="570" w:hRule="atLeast"/>
        </w:trPr>
        <w:tc>
          <w:tcPr>
            <w:tcW w:w="846" w:type="dxa"/>
            <w:tcBorders>
              <w:top w:val="nil"/>
              <w:left w:val="single" w:color="000000" w:sz="8" w:space="0"/>
              <w:bottom w:val="single" w:color="000000" w:sz="8" w:space="0"/>
              <w:right w:val="single" w:color="000000" w:sz="8" w:space="0"/>
            </w:tcBorders>
            <w:shd w:val="clear" w:color="auto" w:fill="auto"/>
            <w:vAlign w:val="center"/>
          </w:tcPr>
          <w:p>
            <w:pPr>
              <w:pStyle w:val="107"/>
              <w:rPr>
                <w:rFonts w:ascii="Times New Roman" w:hAnsi="Times New Roman" w:eastAsia="等线" w:cs="Times New Roman"/>
              </w:rPr>
            </w:pPr>
            <w:r>
              <w:rPr>
                <w:rFonts w:ascii="Times New Roman" w:hAnsi="Times New Roman" w:eastAsia="等线" w:cs="Times New Roman"/>
              </w:rPr>
              <w:t>4</w:t>
            </w:r>
          </w:p>
        </w:tc>
        <w:tc>
          <w:tcPr>
            <w:tcW w:w="1276" w:type="dxa"/>
            <w:tcBorders>
              <w:top w:val="nil"/>
              <w:left w:val="nil"/>
              <w:bottom w:val="single" w:color="000000" w:sz="8" w:space="0"/>
              <w:right w:val="nil"/>
            </w:tcBorders>
            <w:shd w:val="clear" w:color="auto" w:fill="auto"/>
            <w:vAlign w:val="center"/>
          </w:tcPr>
          <w:p>
            <w:pPr>
              <w:pStyle w:val="107"/>
            </w:pPr>
            <w:r>
              <w:rPr>
                <w:rFonts w:hint="eastAsia"/>
              </w:rPr>
              <w:t>化学需氧量</w:t>
            </w:r>
            <w:r>
              <w:rPr>
                <w:rFonts w:ascii="Times New Roman" w:hAnsi="Times New Roman" w:cs="Times New Roman"/>
              </w:rPr>
              <w:t>(COD</w:t>
            </w:r>
            <w:r>
              <w:rPr>
                <w:rFonts w:ascii="Times New Roman" w:hAnsi="Times New Roman" w:cs="Times New Roman"/>
                <w:vertAlign w:val="subscript"/>
              </w:rPr>
              <w:t>Cr</w:t>
            </w:r>
            <w:r>
              <w:rPr>
                <w:rFonts w:ascii="Times New Roman" w:hAnsi="Times New Roman" w:cs="Times New Roman"/>
              </w:rPr>
              <w:t>)</w:t>
            </w:r>
          </w:p>
        </w:tc>
        <w:tc>
          <w:tcPr>
            <w:tcW w:w="2551" w:type="dxa"/>
            <w:tcBorders>
              <w:top w:val="nil"/>
              <w:left w:val="single" w:color="auto" w:sz="4" w:space="0"/>
              <w:bottom w:val="single" w:color="auto" w:sz="4" w:space="0"/>
              <w:right w:val="single" w:color="auto" w:sz="4" w:space="0"/>
            </w:tcBorders>
            <w:shd w:val="clear" w:color="auto" w:fill="auto"/>
            <w:noWrap/>
            <w:vAlign w:val="center"/>
          </w:tcPr>
          <w:p>
            <w:pPr>
              <w:pStyle w:val="107"/>
            </w:pPr>
            <w:r>
              <w:t>300</w:t>
            </w:r>
          </w:p>
        </w:tc>
        <w:tc>
          <w:tcPr>
            <w:tcW w:w="2552" w:type="dxa"/>
            <w:tcBorders>
              <w:top w:val="nil"/>
              <w:left w:val="nil"/>
              <w:bottom w:val="single" w:color="auto" w:sz="4" w:space="0"/>
              <w:right w:val="single" w:color="auto" w:sz="4" w:space="0"/>
            </w:tcBorders>
            <w:shd w:val="clear" w:color="auto" w:fill="auto"/>
            <w:vAlign w:val="center"/>
          </w:tcPr>
          <w:p>
            <w:pPr>
              <w:pStyle w:val="107"/>
            </w:pPr>
            <w:r>
              <w:t>500</w:t>
            </w:r>
          </w:p>
        </w:tc>
        <w:tc>
          <w:tcPr>
            <w:tcW w:w="1775" w:type="dxa"/>
            <w:tcBorders>
              <w:top w:val="nil"/>
              <w:left w:val="nil"/>
              <w:bottom w:val="single" w:color="auto" w:sz="4" w:space="0"/>
              <w:right w:val="single" w:color="auto" w:sz="4" w:space="0"/>
            </w:tcBorders>
            <w:shd w:val="clear" w:color="auto" w:fill="auto"/>
            <w:vAlign w:val="center"/>
          </w:tcPr>
          <w:p>
            <w:pPr>
              <w:pStyle w:val="107"/>
            </w:pPr>
            <w:r>
              <w:t>300</w:t>
            </w:r>
          </w:p>
        </w:tc>
      </w:tr>
      <w:tr>
        <w:tblPrEx>
          <w:tblLayout w:type="fixed"/>
          <w:tblCellMar>
            <w:top w:w="0" w:type="dxa"/>
            <w:left w:w="108" w:type="dxa"/>
            <w:bottom w:w="0" w:type="dxa"/>
            <w:right w:w="108" w:type="dxa"/>
          </w:tblCellMar>
        </w:tblPrEx>
        <w:trPr>
          <w:trHeight w:val="300" w:hRule="atLeast"/>
        </w:trPr>
        <w:tc>
          <w:tcPr>
            <w:tcW w:w="846" w:type="dxa"/>
            <w:tcBorders>
              <w:top w:val="nil"/>
              <w:left w:val="single" w:color="000000" w:sz="8" w:space="0"/>
              <w:bottom w:val="single" w:color="000000" w:sz="8" w:space="0"/>
              <w:right w:val="single" w:color="000000" w:sz="8" w:space="0"/>
            </w:tcBorders>
            <w:shd w:val="clear" w:color="auto" w:fill="auto"/>
            <w:vAlign w:val="center"/>
          </w:tcPr>
          <w:p>
            <w:pPr>
              <w:pStyle w:val="107"/>
              <w:rPr>
                <w:rFonts w:ascii="Times New Roman" w:hAnsi="Times New Roman" w:eastAsia="等线" w:cs="Times New Roman"/>
              </w:rPr>
            </w:pPr>
            <w:r>
              <w:rPr>
                <w:rFonts w:ascii="Times New Roman" w:hAnsi="Times New Roman" w:eastAsia="等线" w:cs="Times New Roman"/>
              </w:rPr>
              <w:t>5</w:t>
            </w:r>
          </w:p>
        </w:tc>
        <w:tc>
          <w:tcPr>
            <w:tcW w:w="1276" w:type="dxa"/>
            <w:tcBorders>
              <w:top w:val="nil"/>
              <w:left w:val="nil"/>
              <w:bottom w:val="single" w:color="000000" w:sz="8" w:space="0"/>
              <w:right w:val="nil"/>
            </w:tcBorders>
            <w:shd w:val="clear" w:color="auto" w:fill="auto"/>
            <w:vAlign w:val="center"/>
          </w:tcPr>
          <w:p>
            <w:pPr>
              <w:pStyle w:val="107"/>
            </w:pPr>
            <w:r>
              <w:rPr>
                <w:rFonts w:hint="eastAsia"/>
              </w:rPr>
              <w:t>氨氮</w:t>
            </w:r>
          </w:p>
        </w:tc>
        <w:tc>
          <w:tcPr>
            <w:tcW w:w="2551" w:type="dxa"/>
            <w:tcBorders>
              <w:top w:val="nil"/>
              <w:left w:val="single" w:color="auto" w:sz="4" w:space="0"/>
              <w:bottom w:val="single" w:color="auto" w:sz="4" w:space="0"/>
              <w:right w:val="single" w:color="auto" w:sz="4" w:space="0"/>
            </w:tcBorders>
            <w:shd w:val="clear" w:color="auto" w:fill="auto"/>
            <w:vAlign w:val="center"/>
          </w:tcPr>
          <w:p>
            <w:pPr>
              <w:pStyle w:val="107"/>
            </w:pPr>
            <w:r>
              <w:t>30</w:t>
            </w:r>
          </w:p>
        </w:tc>
        <w:tc>
          <w:tcPr>
            <w:tcW w:w="2552" w:type="dxa"/>
            <w:tcBorders>
              <w:top w:val="nil"/>
              <w:left w:val="nil"/>
              <w:bottom w:val="single" w:color="auto" w:sz="4" w:space="0"/>
              <w:right w:val="single" w:color="auto" w:sz="4" w:space="0"/>
            </w:tcBorders>
            <w:shd w:val="clear" w:color="auto" w:fill="auto"/>
            <w:vAlign w:val="center"/>
          </w:tcPr>
          <w:p>
            <w:pPr>
              <w:pStyle w:val="107"/>
            </w:pPr>
            <w:r>
              <w:t>/</w:t>
            </w:r>
          </w:p>
        </w:tc>
        <w:tc>
          <w:tcPr>
            <w:tcW w:w="1775" w:type="dxa"/>
            <w:tcBorders>
              <w:top w:val="nil"/>
              <w:left w:val="nil"/>
              <w:bottom w:val="single" w:color="auto" w:sz="4" w:space="0"/>
              <w:right w:val="single" w:color="auto" w:sz="4" w:space="0"/>
            </w:tcBorders>
            <w:shd w:val="clear" w:color="auto" w:fill="auto"/>
            <w:vAlign w:val="center"/>
          </w:tcPr>
          <w:p>
            <w:pPr>
              <w:pStyle w:val="107"/>
            </w:pPr>
            <w:r>
              <w:t>30</w:t>
            </w:r>
          </w:p>
        </w:tc>
      </w:tr>
      <w:tr>
        <w:tblPrEx>
          <w:tblLayout w:type="fixed"/>
          <w:tblCellMar>
            <w:top w:w="0" w:type="dxa"/>
            <w:left w:w="108" w:type="dxa"/>
            <w:bottom w:w="0" w:type="dxa"/>
            <w:right w:w="108" w:type="dxa"/>
          </w:tblCellMar>
        </w:tblPrEx>
        <w:trPr>
          <w:trHeight w:val="300" w:hRule="atLeast"/>
        </w:trPr>
        <w:tc>
          <w:tcPr>
            <w:tcW w:w="846" w:type="dxa"/>
            <w:tcBorders>
              <w:top w:val="nil"/>
              <w:left w:val="single" w:color="000000" w:sz="8" w:space="0"/>
              <w:bottom w:val="single" w:color="000000" w:sz="8" w:space="0"/>
              <w:right w:val="single" w:color="000000" w:sz="8" w:space="0"/>
            </w:tcBorders>
            <w:shd w:val="clear" w:color="auto" w:fill="auto"/>
            <w:vAlign w:val="center"/>
          </w:tcPr>
          <w:p>
            <w:pPr>
              <w:pStyle w:val="107"/>
              <w:rPr>
                <w:rFonts w:ascii="Times New Roman" w:hAnsi="Times New Roman" w:eastAsia="等线" w:cs="Times New Roman"/>
              </w:rPr>
            </w:pPr>
            <w:r>
              <w:rPr>
                <w:rFonts w:ascii="Times New Roman" w:hAnsi="Times New Roman" w:eastAsia="等线" w:cs="Times New Roman"/>
              </w:rPr>
              <w:t>6</w:t>
            </w:r>
          </w:p>
        </w:tc>
        <w:tc>
          <w:tcPr>
            <w:tcW w:w="1276" w:type="dxa"/>
            <w:tcBorders>
              <w:top w:val="nil"/>
              <w:left w:val="nil"/>
              <w:bottom w:val="single" w:color="000000" w:sz="8" w:space="0"/>
              <w:right w:val="nil"/>
            </w:tcBorders>
            <w:shd w:val="clear" w:color="auto" w:fill="auto"/>
            <w:vAlign w:val="center"/>
          </w:tcPr>
          <w:p>
            <w:pPr>
              <w:pStyle w:val="107"/>
            </w:pPr>
            <w:r>
              <w:rPr>
                <w:rFonts w:hint="eastAsia"/>
              </w:rPr>
              <w:t>总氮</w:t>
            </w:r>
          </w:p>
        </w:tc>
        <w:tc>
          <w:tcPr>
            <w:tcW w:w="2551" w:type="dxa"/>
            <w:tcBorders>
              <w:top w:val="nil"/>
              <w:left w:val="single" w:color="auto" w:sz="4" w:space="0"/>
              <w:bottom w:val="single" w:color="auto" w:sz="4" w:space="0"/>
              <w:right w:val="single" w:color="auto" w:sz="4" w:space="0"/>
            </w:tcBorders>
            <w:shd w:val="clear" w:color="auto" w:fill="auto"/>
            <w:vAlign w:val="center"/>
          </w:tcPr>
          <w:p>
            <w:pPr>
              <w:pStyle w:val="107"/>
            </w:pPr>
            <w:r>
              <w:t>40</w:t>
            </w:r>
          </w:p>
        </w:tc>
        <w:tc>
          <w:tcPr>
            <w:tcW w:w="2552" w:type="dxa"/>
            <w:tcBorders>
              <w:top w:val="nil"/>
              <w:left w:val="nil"/>
              <w:bottom w:val="single" w:color="auto" w:sz="4" w:space="0"/>
              <w:right w:val="single" w:color="auto" w:sz="4" w:space="0"/>
            </w:tcBorders>
            <w:shd w:val="clear" w:color="auto" w:fill="auto"/>
            <w:vAlign w:val="center"/>
          </w:tcPr>
          <w:p>
            <w:pPr>
              <w:pStyle w:val="107"/>
            </w:pPr>
            <w:r>
              <w:t>/</w:t>
            </w:r>
          </w:p>
        </w:tc>
        <w:tc>
          <w:tcPr>
            <w:tcW w:w="1775" w:type="dxa"/>
            <w:tcBorders>
              <w:top w:val="nil"/>
              <w:left w:val="nil"/>
              <w:bottom w:val="single" w:color="auto" w:sz="4" w:space="0"/>
              <w:right w:val="single" w:color="auto" w:sz="4" w:space="0"/>
            </w:tcBorders>
            <w:shd w:val="clear" w:color="auto" w:fill="auto"/>
            <w:vAlign w:val="center"/>
          </w:tcPr>
          <w:p>
            <w:pPr>
              <w:pStyle w:val="107"/>
            </w:pPr>
            <w:r>
              <w:t>40</w:t>
            </w:r>
          </w:p>
        </w:tc>
      </w:tr>
      <w:tr>
        <w:tblPrEx>
          <w:tblLayout w:type="fixed"/>
          <w:tblCellMar>
            <w:top w:w="0" w:type="dxa"/>
            <w:left w:w="108" w:type="dxa"/>
            <w:bottom w:w="0" w:type="dxa"/>
            <w:right w:w="108" w:type="dxa"/>
          </w:tblCellMar>
        </w:tblPrEx>
        <w:trPr>
          <w:trHeight w:val="300" w:hRule="atLeast"/>
        </w:trPr>
        <w:tc>
          <w:tcPr>
            <w:tcW w:w="846" w:type="dxa"/>
            <w:tcBorders>
              <w:top w:val="nil"/>
              <w:left w:val="single" w:color="000000" w:sz="8" w:space="0"/>
              <w:bottom w:val="single" w:color="000000" w:sz="8" w:space="0"/>
              <w:right w:val="single" w:color="000000" w:sz="8" w:space="0"/>
            </w:tcBorders>
            <w:shd w:val="clear" w:color="auto" w:fill="auto"/>
            <w:vAlign w:val="center"/>
          </w:tcPr>
          <w:p>
            <w:pPr>
              <w:pStyle w:val="107"/>
              <w:rPr>
                <w:rFonts w:ascii="Times New Roman" w:hAnsi="Times New Roman" w:eastAsia="等线" w:cs="Times New Roman"/>
              </w:rPr>
            </w:pPr>
            <w:r>
              <w:rPr>
                <w:rFonts w:ascii="Times New Roman" w:hAnsi="Times New Roman" w:eastAsia="等线" w:cs="Times New Roman"/>
              </w:rPr>
              <w:t>7</w:t>
            </w:r>
          </w:p>
        </w:tc>
        <w:tc>
          <w:tcPr>
            <w:tcW w:w="1276" w:type="dxa"/>
            <w:tcBorders>
              <w:top w:val="nil"/>
              <w:left w:val="nil"/>
              <w:bottom w:val="single" w:color="000000" w:sz="8" w:space="0"/>
              <w:right w:val="nil"/>
            </w:tcBorders>
            <w:shd w:val="clear" w:color="auto" w:fill="auto"/>
            <w:vAlign w:val="center"/>
          </w:tcPr>
          <w:p>
            <w:pPr>
              <w:pStyle w:val="107"/>
            </w:pPr>
            <w:r>
              <w:rPr>
                <w:rFonts w:hint="eastAsia"/>
              </w:rPr>
              <w:t>总磷</w:t>
            </w:r>
          </w:p>
        </w:tc>
        <w:tc>
          <w:tcPr>
            <w:tcW w:w="2551" w:type="dxa"/>
            <w:tcBorders>
              <w:top w:val="nil"/>
              <w:left w:val="single" w:color="auto" w:sz="4" w:space="0"/>
              <w:bottom w:val="single" w:color="auto" w:sz="4" w:space="0"/>
              <w:right w:val="single" w:color="auto" w:sz="4" w:space="0"/>
            </w:tcBorders>
            <w:shd w:val="clear" w:color="auto" w:fill="auto"/>
            <w:vAlign w:val="center"/>
          </w:tcPr>
          <w:p>
            <w:pPr>
              <w:pStyle w:val="107"/>
            </w:pPr>
            <w:r>
              <w:t>1</w:t>
            </w:r>
          </w:p>
        </w:tc>
        <w:tc>
          <w:tcPr>
            <w:tcW w:w="2552" w:type="dxa"/>
            <w:tcBorders>
              <w:top w:val="nil"/>
              <w:left w:val="nil"/>
              <w:bottom w:val="single" w:color="auto" w:sz="4" w:space="0"/>
              <w:right w:val="single" w:color="auto" w:sz="4" w:space="0"/>
            </w:tcBorders>
            <w:shd w:val="clear" w:color="auto" w:fill="auto"/>
            <w:vAlign w:val="center"/>
          </w:tcPr>
          <w:p>
            <w:pPr>
              <w:pStyle w:val="107"/>
            </w:pPr>
            <w:r>
              <w:t>/</w:t>
            </w:r>
          </w:p>
        </w:tc>
        <w:tc>
          <w:tcPr>
            <w:tcW w:w="1775" w:type="dxa"/>
            <w:tcBorders>
              <w:top w:val="nil"/>
              <w:left w:val="nil"/>
              <w:bottom w:val="single" w:color="auto" w:sz="4" w:space="0"/>
              <w:right w:val="single" w:color="auto" w:sz="4" w:space="0"/>
            </w:tcBorders>
            <w:shd w:val="clear" w:color="auto" w:fill="auto"/>
            <w:vAlign w:val="center"/>
          </w:tcPr>
          <w:p>
            <w:pPr>
              <w:pStyle w:val="107"/>
            </w:pPr>
            <w:r>
              <w:t>1</w:t>
            </w:r>
          </w:p>
        </w:tc>
      </w:tr>
      <w:tr>
        <w:tblPrEx>
          <w:tblLayout w:type="fixed"/>
          <w:tblCellMar>
            <w:top w:w="0" w:type="dxa"/>
            <w:left w:w="108" w:type="dxa"/>
            <w:bottom w:w="0" w:type="dxa"/>
            <w:right w:w="108" w:type="dxa"/>
          </w:tblCellMar>
        </w:tblPrEx>
        <w:trPr>
          <w:trHeight w:val="300" w:hRule="atLeast"/>
        </w:trPr>
        <w:tc>
          <w:tcPr>
            <w:tcW w:w="846" w:type="dxa"/>
            <w:tcBorders>
              <w:top w:val="nil"/>
              <w:left w:val="single" w:color="000000" w:sz="8" w:space="0"/>
              <w:bottom w:val="single" w:color="000000" w:sz="8" w:space="0"/>
              <w:right w:val="single" w:color="000000" w:sz="8" w:space="0"/>
            </w:tcBorders>
            <w:shd w:val="clear" w:color="auto" w:fill="auto"/>
            <w:vAlign w:val="center"/>
          </w:tcPr>
          <w:p>
            <w:pPr>
              <w:pStyle w:val="107"/>
              <w:rPr>
                <w:rFonts w:ascii="Times New Roman" w:hAnsi="Times New Roman" w:eastAsia="等线" w:cs="Times New Roman"/>
              </w:rPr>
            </w:pPr>
            <w:r>
              <w:rPr>
                <w:rFonts w:ascii="Times New Roman" w:hAnsi="Times New Roman" w:eastAsia="等线" w:cs="Times New Roman"/>
              </w:rPr>
              <w:t>8</w:t>
            </w:r>
          </w:p>
        </w:tc>
        <w:tc>
          <w:tcPr>
            <w:tcW w:w="1276" w:type="dxa"/>
            <w:tcBorders>
              <w:top w:val="nil"/>
              <w:left w:val="nil"/>
              <w:bottom w:val="single" w:color="000000" w:sz="8" w:space="0"/>
              <w:right w:val="nil"/>
            </w:tcBorders>
            <w:shd w:val="clear" w:color="auto" w:fill="auto"/>
            <w:vAlign w:val="center"/>
          </w:tcPr>
          <w:p>
            <w:pPr>
              <w:pStyle w:val="107"/>
            </w:pPr>
            <w:r>
              <w:rPr>
                <w:rFonts w:hint="eastAsia"/>
              </w:rPr>
              <w:t>石油类</w:t>
            </w:r>
          </w:p>
        </w:tc>
        <w:tc>
          <w:tcPr>
            <w:tcW w:w="2551" w:type="dxa"/>
            <w:tcBorders>
              <w:top w:val="nil"/>
              <w:left w:val="single" w:color="auto" w:sz="4" w:space="0"/>
              <w:bottom w:val="single" w:color="auto" w:sz="4" w:space="0"/>
              <w:right w:val="single" w:color="auto" w:sz="4" w:space="0"/>
            </w:tcBorders>
            <w:shd w:val="clear" w:color="auto" w:fill="auto"/>
            <w:vAlign w:val="center"/>
          </w:tcPr>
          <w:p>
            <w:pPr>
              <w:pStyle w:val="107"/>
            </w:pPr>
            <w:r>
              <w:t>10</w:t>
            </w:r>
          </w:p>
        </w:tc>
        <w:tc>
          <w:tcPr>
            <w:tcW w:w="2552" w:type="dxa"/>
            <w:tcBorders>
              <w:top w:val="nil"/>
              <w:left w:val="nil"/>
              <w:bottom w:val="single" w:color="auto" w:sz="4" w:space="0"/>
              <w:right w:val="single" w:color="auto" w:sz="4" w:space="0"/>
            </w:tcBorders>
            <w:shd w:val="clear" w:color="auto" w:fill="auto"/>
            <w:vAlign w:val="center"/>
          </w:tcPr>
          <w:p>
            <w:pPr>
              <w:pStyle w:val="107"/>
            </w:pPr>
            <w:r>
              <w:t>20</w:t>
            </w:r>
          </w:p>
        </w:tc>
        <w:tc>
          <w:tcPr>
            <w:tcW w:w="1775" w:type="dxa"/>
            <w:tcBorders>
              <w:top w:val="nil"/>
              <w:left w:val="nil"/>
              <w:bottom w:val="single" w:color="auto" w:sz="4" w:space="0"/>
              <w:right w:val="single" w:color="auto" w:sz="4" w:space="0"/>
            </w:tcBorders>
            <w:shd w:val="clear" w:color="auto" w:fill="auto"/>
            <w:vAlign w:val="center"/>
          </w:tcPr>
          <w:p>
            <w:pPr>
              <w:pStyle w:val="107"/>
            </w:pPr>
            <w:r>
              <w:t>10</w:t>
            </w:r>
          </w:p>
        </w:tc>
      </w:tr>
      <w:tr>
        <w:tblPrEx>
          <w:tblLayout w:type="fixed"/>
          <w:tblCellMar>
            <w:top w:w="0" w:type="dxa"/>
            <w:left w:w="108" w:type="dxa"/>
            <w:bottom w:w="0" w:type="dxa"/>
            <w:right w:w="108" w:type="dxa"/>
          </w:tblCellMar>
        </w:tblPrEx>
        <w:trPr>
          <w:trHeight w:val="300" w:hRule="atLeast"/>
        </w:trPr>
        <w:tc>
          <w:tcPr>
            <w:tcW w:w="846" w:type="dxa"/>
            <w:tcBorders>
              <w:top w:val="nil"/>
              <w:left w:val="single" w:color="000000" w:sz="8" w:space="0"/>
              <w:bottom w:val="single" w:color="000000" w:sz="8" w:space="0"/>
              <w:right w:val="single" w:color="000000" w:sz="8" w:space="0"/>
            </w:tcBorders>
            <w:shd w:val="clear" w:color="auto" w:fill="auto"/>
            <w:vAlign w:val="center"/>
          </w:tcPr>
          <w:p>
            <w:pPr>
              <w:pStyle w:val="107"/>
              <w:rPr>
                <w:rFonts w:ascii="Times New Roman" w:hAnsi="Times New Roman" w:eastAsia="等线" w:cs="Times New Roman"/>
              </w:rPr>
            </w:pPr>
            <w:r>
              <w:rPr>
                <w:rFonts w:ascii="Times New Roman" w:hAnsi="Times New Roman" w:eastAsia="等线" w:cs="Times New Roman"/>
              </w:rPr>
              <w:t>9</w:t>
            </w:r>
          </w:p>
        </w:tc>
        <w:tc>
          <w:tcPr>
            <w:tcW w:w="1276" w:type="dxa"/>
            <w:tcBorders>
              <w:top w:val="nil"/>
              <w:left w:val="nil"/>
              <w:bottom w:val="single" w:color="000000" w:sz="8" w:space="0"/>
              <w:right w:val="nil"/>
            </w:tcBorders>
            <w:shd w:val="clear" w:color="auto" w:fill="auto"/>
            <w:vAlign w:val="center"/>
          </w:tcPr>
          <w:p>
            <w:pPr>
              <w:pStyle w:val="107"/>
            </w:pPr>
            <w:r>
              <w:rPr>
                <w:rFonts w:hint="eastAsia"/>
              </w:rPr>
              <w:t>动植物油</w:t>
            </w:r>
          </w:p>
        </w:tc>
        <w:tc>
          <w:tcPr>
            <w:tcW w:w="2551" w:type="dxa"/>
            <w:tcBorders>
              <w:top w:val="nil"/>
              <w:left w:val="single" w:color="auto" w:sz="4" w:space="0"/>
              <w:bottom w:val="single" w:color="auto" w:sz="4" w:space="0"/>
              <w:right w:val="single" w:color="auto" w:sz="4" w:space="0"/>
            </w:tcBorders>
            <w:shd w:val="clear" w:color="auto" w:fill="auto"/>
            <w:noWrap/>
            <w:vAlign w:val="center"/>
          </w:tcPr>
          <w:p>
            <w:pPr>
              <w:pStyle w:val="107"/>
            </w:pPr>
            <w:r>
              <w:rPr>
                <w:rFonts w:hint="eastAsia"/>
              </w:rPr>
              <w:t>/</w:t>
            </w:r>
          </w:p>
        </w:tc>
        <w:tc>
          <w:tcPr>
            <w:tcW w:w="2552" w:type="dxa"/>
            <w:tcBorders>
              <w:top w:val="nil"/>
              <w:left w:val="nil"/>
              <w:bottom w:val="single" w:color="auto" w:sz="4" w:space="0"/>
              <w:right w:val="single" w:color="auto" w:sz="4" w:space="0"/>
            </w:tcBorders>
            <w:shd w:val="clear" w:color="auto" w:fill="auto"/>
            <w:vAlign w:val="center"/>
          </w:tcPr>
          <w:p>
            <w:pPr>
              <w:pStyle w:val="107"/>
            </w:pPr>
            <w:r>
              <w:t>100</w:t>
            </w:r>
          </w:p>
        </w:tc>
        <w:tc>
          <w:tcPr>
            <w:tcW w:w="1775" w:type="dxa"/>
            <w:tcBorders>
              <w:top w:val="nil"/>
              <w:left w:val="nil"/>
              <w:bottom w:val="single" w:color="auto" w:sz="4" w:space="0"/>
              <w:right w:val="single" w:color="auto" w:sz="4" w:space="0"/>
            </w:tcBorders>
            <w:shd w:val="clear" w:color="auto" w:fill="auto"/>
            <w:vAlign w:val="center"/>
          </w:tcPr>
          <w:p>
            <w:pPr>
              <w:pStyle w:val="107"/>
            </w:pPr>
            <w:r>
              <w:t>100</w:t>
            </w:r>
          </w:p>
        </w:tc>
      </w:tr>
      <w:tr>
        <w:tblPrEx>
          <w:tblLayout w:type="fixed"/>
          <w:tblCellMar>
            <w:top w:w="0" w:type="dxa"/>
            <w:left w:w="108" w:type="dxa"/>
            <w:bottom w:w="0" w:type="dxa"/>
            <w:right w:w="108" w:type="dxa"/>
          </w:tblCellMar>
        </w:tblPrEx>
        <w:trPr>
          <w:trHeight w:val="315" w:hRule="atLeast"/>
        </w:trPr>
        <w:tc>
          <w:tcPr>
            <w:tcW w:w="2122" w:type="dxa"/>
            <w:gridSpan w:val="2"/>
            <w:tcBorders>
              <w:top w:val="single" w:color="000000" w:sz="8" w:space="0"/>
              <w:left w:val="single" w:color="000000" w:sz="8" w:space="0"/>
              <w:bottom w:val="single" w:color="000000" w:sz="8" w:space="0"/>
              <w:right w:val="nil"/>
            </w:tcBorders>
            <w:shd w:val="clear" w:color="auto" w:fill="auto"/>
            <w:vAlign w:val="center"/>
          </w:tcPr>
          <w:p>
            <w:pPr>
              <w:pStyle w:val="107"/>
            </w:pPr>
            <w:r>
              <w:rPr>
                <w:rFonts w:hint="eastAsia"/>
              </w:rPr>
              <w:t>基准排水量（</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 xml:space="preserve">/t </w:t>
            </w:r>
            <w:r>
              <w:rPr>
                <w:rFonts w:hint="eastAsia"/>
              </w:rPr>
              <w:t>胶）</w:t>
            </w:r>
          </w:p>
        </w:tc>
        <w:tc>
          <w:tcPr>
            <w:tcW w:w="2551" w:type="dxa"/>
            <w:tcBorders>
              <w:top w:val="nil"/>
              <w:left w:val="single" w:color="auto" w:sz="4" w:space="0"/>
              <w:bottom w:val="single" w:color="auto" w:sz="4" w:space="0"/>
              <w:right w:val="single" w:color="auto" w:sz="4" w:space="0"/>
            </w:tcBorders>
            <w:shd w:val="clear" w:color="auto" w:fill="auto"/>
            <w:vAlign w:val="center"/>
          </w:tcPr>
          <w:p>
            <w:pPr>
              <w:pStyle w:val="107"/>
            </w:pPr>
            <w:r>
              <w:t>7</w:t>
            </w:r>
          </w:p>
        </w:tc>
        <w:tc>
          <w:tcPr>
            <w:tcW w:w="2552" w:type="dxa"/>
            <w:tcBorders>
              <w:top w:val="nil"/>
              <w:left w:val="nil"/>
              <w:bottom w:val="single" w:color="auto" w:sz="4" w:space="0"/>
              <w:right w:val="single" w:color="auto" w:sz="4" w:space="0"/>
            </w:tcBorders>
            <w:shd w:val="clear" w:color="auto" w:fill="auto"/>
            <w:vAlign w:val="center"/>
          </w:tcPr>
          <w:p>
            <w:pPr>
              <w:pStyle w:val="107"/>
            </w:pPr>
            <w:r>
              <w:t>/</w:t>
            </w:r>
          </w:p>
        </w:tc>
        <w:tc>
          <w:tcPr>
            <w:tcW w:w="1775" w:type="dxa"/>
            <w:tcBorders>
              <w:top w:val="nil"/>
              <w:left w:val="nil"/>
              <w:bottom w:val="single" w:color="auto" w:sz="4" w:space="0"/>
              <w:right w:val="single" w:color="auto" w:sz="4" w:space="0"/>
            </w:tcBorders>
            <w:shd w:val="clear" w:color="auto" w:fill="auto"/>
            <w:vAlign w:val="center"/>
          </w:tcPr>
          <w:p>
            <w:pPr>
              <w:pStyle w:val="107"/>
            </w:pPr>
            <w:r>
              <w:t>7</w:t>
            </w:r>
          </w:p>
        </w:tc>
      </w:tr>
    </w:tbl>
    <w:p>
      <w:pPr>
        <w:ind w:firstLine="480"/>
        <w:rPr>
          <w:rFonts w:cs="Times New Roman" w:eastAsiaTheme="minorEastAsia"/>
        </w:rPr>
      </w:pPr>
      <w:r>
        <w:rPr>
          <w:rFonts w:hint="eastAsia" w:cs="Times New Roman" w:eastAsiaTheme="minorEastAsia"/>
        </w:rPr>
        <w:t>该污水处理厂处理出水水质设计为《城镇污水处理厂污染物排放标准》（</w:t>
      </w:r>
      <w:r>
        <w:rPr>
          <w:rFonts w:cs="Times New Roman" w:eastAsiaTheme="minorEastAsia"/>
        </w:rPr>
        <w:t>GB 18918-2002</w:t>
      </w:r>
      <w:r>
        <w:rPr>
          <w:rFonts w:hint="eastAsia" w:cs="Times New Roman" w:eastAsiaTheme="minorEastAsia"/>
        </w:rPr>
        <w:t>）一级</w:t>
      </w:r>
      <w:r>
        <w:rPr>
          <w:rFonts w:cs="Times New Roman" w:eastAsiaTheme="minorEastAsia"/>
        </w:rPr>
        <w:t>A</w:t>
      </w:r>
      <w:r>
        <w:rPr>
          <w:rFonts w:hint="eastAsia" w:cs="Times New Roman" w:eastAsiaTheme="minorEastAsia"/>
        </w:rPr>
        <w:t>标准和广东省《水污染物排放限值》（</w:t>
      </w:r>
      <w:r>
        <w:rPr>
          <w:rFonts w:cs="Times New Roman" w:eastAsiaTheme="minorEastAsia"/>
        </w:rPr>
        <w:t>DB 44/26-2001）</w:t>
      </w:r>
      <w:r>
        <w:rPr>
          <w:rFonts w:hint="eastAsia" w:cs="Times New Roman" w:eastAsiaTheme="minorEastAsia"/>
        </w:rPr>
        <w:t>中的第二时段一级标准中的严值。根据处理进水类别等情况，确定处理出水主要指标为</w:t>
      </w:r>
      <w:r>
        <w:rPr>
          <w:rFonts w:cs="Times New Roman" w:eastAsiaTheme="minorEastAsia"/>
        </w:rPr>
        <w:t>BOD5</w:t>
      </w:r>
      <w:r>
        <w:rPr>
          <w:rFonts w:hint="eastAsia" w:cs="Times New Roman" w:eastAsiaTheme="minorEastAsia"/>
        </w:rPr>
        <w:t>、</w:t>
      </w:r>
      <w:r>
        <w:rPr>
          <w:rFonts w:cs="Times New Roman" w:eastAsiaTheme="minorEastAsia"/>
        </w:rPr>
        <w:t>CODCr</w:t>
      </w:r>
      <w:r>
        <w:rPr>
          <w:rFonts w:hint="eastAsia" w:cs="Times New Roman" w:eastAsiaTheme="minorEastAsia"/>
        </w:rPr>
        <w:t>、</w:t>
      </w:r>
      <w:r>
        <w:rPr>
          <w:rFonts w:cs="Times New Roman" w:eastAsiaTheme="minorEastAsia"/>
        </w:rPr>
        <w:t>SS</w:t>
      </w:r>
      <w:r>
        <w:rPr>
          <w:rFonts w:hint="eastAsia" w:cs="Times New Roman" w:eastAsiaTheme="minorEastAsia"/>
        </w:rPr>
        <w:t>、</w:t>
      </w:r>
      <w:r>
        <w:rPr>
          <w:rFonts w:cs="Times New Roman" w:eastAsiaTheme="minorEastAsia"/>
        </w:rPr>
        <w:t>NH3-N</w:t>
      </w:r>
      <w:r>
        <w:rPr>
          <w:rFonts w:hint="eastAsia" w:cs="Times New Roman" w:eastAsiaTheme="minorEastAsia"/>
        </w:rPr>
        <w:t>、</w:t>
      </w:r>
      <w:r>
        <w:rPr>
          <w:rFonts w:cs="Times New Roman" w:eastAsiaTheme="minorEastAsia"/>
        </w:rPr>
        <w:t>TP</w:t>
      </w:r>
      <w:r>
        <w:rPr>
          <w:rFonts w:hint="eastAsia" w:cs="Times New Roman" w:eastAsiaTheme="minorEastAsia"/>
        </w:rPr>
        <w:t>、粪大肠菌群数。各指标限值如</w:t>
      </w:r>
      <w:r>
        <w:rPr>
          <w:rFonts w:cs="Times New Roman" w:eastAsiaTheme="minorEastAsia"/>
        </w:rPr>
        <w:fldChar w:fldCharType="begin"/>
      </w:r>
      <w:r>
        <w:rPr>
          <w:rFonts w:cs="Times New Roman" w:eastAsiaTheme="minorEastAsia"/>
        </w:rPr>
        <w:instrText xml:space="preserve"> </w:instrText>
      </w:r>
      <w:r>
        <w:rPr>
          <w:rFonts w:hint="eastAsia" w:cs="Times New Roman" w:eastAsiaTheme="minorEastAsia"/>
        </w:rPr>
        <w:instrText xml:space="preserve">REF _Ref5636692 \h</w:instrText>
      </w:r>
      <w:r>
        <w:rPr>
          <w:rFonts w:cs="Times New Roman" w:eastAsiaTheme="minorEastAsia"/>
        </w:rPr>
        <w:instrText xml:space="preserve">  \* MERGEFORMAT </w:instrText>
      </w:r>
      <w:r>
        <w:rPr>
          <w:rFonts w:cs="Times New Roman" w:eastAsiaTheme="minorEastAsia"/>
        </w:rPr>
        <w:fldChar w:fldCharType="separate"/>
      </w:r>
      <w:r>
        <w:rPr>
          <w:rFonts w:hint="eastAsia" w:cs="Times New Roman" w:eastAsiaTheme="minorEastAsia"/>
        </w:rPr>
        <w:t xml:space="preserve">表 </w:t>
      </w:r>
      <w:r>
        <w:rPr>
          <w:rFonts w:cs="Times New Roman" w:eastAsiaTheme="minorEastAsia"/>
        </w:rPr>
        <w:t>1.4</w:t>
      </w:r>
      <w:r>
        <w:rPr>
          <w:rFonts w:cs="Times New Roman" w:eastAsiaTheme="minorEastAsia"/>
        </w:rPr>
        <w:noBreakHyphen/>
      </w:r>
      <w:r>
        <w:rPr>
          <w:rFonts w:cs="Times New Roman" w:eastAsiaTheme="minorEastAsia"/>
        </w:rPr>
        <w:t>8</w:t>
      </w:r>
      <w:r>
        <w:rPr>
          <w:rFonts w:cs="Times New Roman" w:eastAsiaTheme="minorEastAsia"/>
        </w:rPr>
        <w:fldChar w:fldCharType="end"/>
      </w:r>
      <w:r>
        <w:rPr>
          <w:rFonts w:hint="eastAsia" w:cs="Times New Roman" w:eastAsiaTheme="minorEastAsia"/>
        </w:rPr>
        <w:t>所示。</w:t>
      </w:r>
    </w:p>
    <w:p>
      <w:pPr>
        <w:pStyle w:val="18"/>
      </w:pPr>
      <w:bookmarkStart w:id="106" w:name="_Ref5636692"/>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8</w:t>
      </w:r>
      <w:r>
        <w:fldChar w:fldCharType="end"/>
      </w:r>
      <w:bookmarkEnd w:id="106"/>
      <w:r>
        <w:t xml:space="preserve"> </w:t>
      </w:r>
      <w:r>
        <w:rPr>
          <w:rFonts w:hint="eastAsia"/>
        </w:rPr>
        <w:t>污水处理厂设计出水水质指标（单位 mg/L，粪大肠菌群数除外）</w:t>
      </w:r>
    </w:p>
    <w:tbl>
      <w:tblPr>
        <w:tblStyle w:val="56"/>
        <w:tblW w:w="9060" w:type="dxa"/>
        <w:tblInd w:w="0" w:type="dxa"/>
        <w:tblLayout w:type="fixed"/>
        <w:tblCellMar>
          <w:top w:w="0" w:type="dxa"/>
          <w:left w:w="108" w:type="dxa"/>
          <w:bottom w:w="0" w:type="dxa"/>
          <w:right w:w="108" w:type="dxa"/>
        </w:tblCellMar>
      </w:tblPr>
      <w:tblGrid>
        <w:gridCol w:w="2634"/>
        <w:gridCol w:w="846"/>
        <w:gridCol w:w="748"/>
        <w:gridCol w:w="748"/>
        <w:gridCol w:w="823"/>
        <w:gridCol w:w="748"/>
        <w:gridCol w:w="748"/>
        <w:gridCol w:w="748"/>
        <w:gridCol w:w="1017"/>
      </w:tblGrid>
      <w:tr>
        <w:tblPrEx>
          <w:tblLayout w:type="fixed"/>
          <w:tblCellMar>
            <w:top w:w="0" w:type="dxa"/>
            <w:left w:w="108" w:type="dxa"/>
            <w:bottom w:w="0" w:type="dxa"/>
            <w:right w:w="108" w:type="dxa"/>
          </w:tblCellMar>
        </w:tblPrEx>
        <w:trPr>
          <w:trHeight w:val="345" w:hRule="atLeast"/>
        </w:trPr>
        <w:tc>
          <w:tcPr>
            <w:tcW w:w="263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b/>
              </w:rPr>
            </w:pPr>
            <w:r>
              <w:rPr>
                <w:rFonts w:hint="eastAsia"/>
                <w:b/>
              </w:rPr>
              <w:t>项目</w:t>
            </w:r>
          </w:p>
        </w:tc>
        <w:tc>
          <w:tcPr>
            <w:tcW w:w="846" w:type="dxa"/>
            <w:tcBorders>
              <w:top w:val="single" w:color="auto" w:sz="4" w:space="0"/>
              <w:left w:val="nil"/>
              <w:bottom w:val="single" w:color="auto" w:sz="4" w:space="0"/>
              <w:right w:val="single" w:color="auto" w:sz="4" w:space="0"/>
            </w:tcBorders>
            <w:shd w:val="clear" w:color="auto" w:fill="auto"/>
            <w:noWrap/>
            <w:vAlign w:val="center"/>
          </w:tcPr>
          <w:p>
            <w:pPr>
              <w:pStyle w:val="107"/>
              <w:rPr>
                <w:b/>
              </w:rPr>
            </w:pPr>
            <w:r>
              <w:rPr>
                <w:rFonts w:hint="eastAsia"/>
                <w:b/>
              </w:rPr>
              <w:t>COD</w:t>
            </w:r>
            <w:r>
              <w:rPr>
                <w:rFonts w:hint="eastAsia"/>
                <w:b/>
                <w:vertAlign w:val="subscript"/>
              </w:rPr>
              <w:t>Cr</w:t>
            </w:r>
          </w:p>
        </w:tc>
        <w:tc>
          <w:tcPr>
            <w:tcW w:w="748" w:type="dxa"/>
            <w:tcBorders>
              <w:top w:val="single" w:color="auto" w:sz="4" w:space="0"/>
              <w:left w:val="nil"/>
              <w:bottom w:val="single" w:color="auto" w:sz="4" w:space="0"/>
              <w:right w:val="single" w:color="auto" w:sz="4" w:space="0"/>
            </w:tcBorders>
            <w:shd w:val="clear" w:color="auto" w:fill="auto"/>
            <w:noWrap/>
            <w:vAlign w:val="center"/>
          </w:tcPr>
          <w:p>
            <w:pPr>
              <w:pStyle w:val="107"/>
              <w:rPr>
                <w:b/>
              </w:rPr>
            </w:pPr>
            <w:r>
              <w:rPr>
                <w:rFonts w:hint="eastAsia"/>
                <w:b/>
              </w:rPr>
              <w:t>BOD</w:t>
            </w:r>
            <w:r>
              <w:rPr>
                <w:rFonts w:hint="eastAsia"/>
                <w:b/>
                <w:vertAlign w:val="subscript"/>
              </w:rPr>
              <w:t>5</w:t>
            </w:r>
          </w:p>
        </w:tc>
        <w:tc>
          <w:tcPr>
            <w:tcW w:w="748" w:type="dxa"/>
            <w:tcBorders>
              <w:top w:val="single" w:color="auto" w:sz="4" w:space="0"/>
              <w:left w:val="nil"/>
              <w:bottom w:val="single" w:color="auto" w:sz="4" w:space="0"/>
              <w:right w:val="single" w:color="auto" w:sz="4" w:space="0"/>
            </w:tcBorders>
            <w:shd w:val="clear" w:color="auto" w:fill="auto"/>
            <w:noWrap/>
            <w:vAlign w:val="center"/>
          </w:tcPr>
          <w:p>
            <w:pPr>
              <w:pStyle w:val="107"/>
              <w:rPr>
                <w:b/>
              </w:rPr>
            </w:pPr>
            <w:r>
              <w:rPr>
                <w:rFonts w:hint="eastAsia"/>
                <w:b/>
              </w:rPr>
              <w:t>SS</w:t>
            </w:r>
          </w:p>
        </w:tc>
        <w:tc>
          <w:tcPr>
            <w:tcW w:w="823" w:type="dxa"/>
            <w:tcBorders>
              <w:top w:val="single" w:color="auto" w:sz="4" w:space="0"/>
              <w:left w:val="nil"/>
              <w:bottom w:val="single" w:color="auto" w:sz="4" w:space="0"/>
              <w:right w:val="single" w:color="auto" w:sz="4" w:space="0"/>
            </w:tcBorders>
            <w:shd w:val="clear" w:color="auto" w:fill="auto"/>
            <w:noWrap/>
            <w:vAlign w:val="center"/>
          </w:tcPr>
          <w:p>
            <w:pPr>
              <w:pStyle w:val="107"/>
              <w:rPr>
                <w:b/>
              </w:rPr>
            </w:pPr>
            <w:r>
              <w:rPr>
                <w:rFonts w:hint="eastAsia"/>
                <w:b/>
              </w:rPr>
              <w:t>NH</w:t>
            </w:r>
            <w:r>
              <w:rPr>
                <w:rFonts w:hint="eastAsia"/>
                <w:b/>
                <w:vertAlign w:val="subscript"/>
              </w:rPr>
              <w:t>3</w:t>
            </w:r>
            <w:r>
              <w:rPr>
                <w:rFonts w:hint="eastAsia"/>
                <w:b/>
              </w:rPr>
              <w:t>-N</w:t>
            </w:r>
          </w:p>
        </w:tc>
        <w:tc>
          <w:tcPr>
            <w:tcW w:w="748" w:type="dxa"/>
            <w:tcBorders>
              <w:top w:val="single" w:color="auto" w:sz="4" w:space="0"/>
              <w:left w:val="nil"/>
              <w:bottom w:val="single" w:color="auto" w:sz="4" w:space="0"/>
              <w:right w:val="single" w:color="auto" w:sz="4" w:space="0"/>
            </w:tcBorders>
            <w:shd w:val="clear" w:color="auto" w:fill="auto"/>
            <w:vAlign w:val="center"/>
          </w:tcPr>
          <w:p>
            <w:pPr>
              <w:pStyle w:val="107"/>
              <w:rPr>
                <w:b/>
              </w:rPr>
            </w:pPr>
            <w:r>
              <w:rPr>
                <w:rFonts w:hint="eastAsia"/>
                <w:b/>
              </w:rPr>
              <w:t>TN</w:t>
            </w:r>
          </w:p>
        </w:tc>
        <w:tc>
          <w:tcPr>
            <w:tcW w:w="748" w:type="dxa"/>
            <w:tcBorders>
              <w:top w:val="single" w:color="auto" w:sz="4" w:space="0"/>
              <w:left w:val="nil"/>
              <w:bottom w:val="single" w:color="auto" w:sz="4" w:space="0"/>
              <w:right w:val="single" w:color="auto" w:sz="4" w:space="0"/>
            </w:tcBorders>
            <w:shd w:val="clear" w:color="auto" w:fill="auto"/>
            <w:vAlign w:val="center"/>
          </w:tcPr>
          <w:p>
            <w:pPr>
              <w:pStyle w:val="107"/>
              <w:rPr>
                <w:b/>
              </w:rPr>
            </w:pPr>
            <w:r>
              <w:rPr>
                <w:rFonts w:hint="eastAsia"/>
                <w:b/>
              </w:rPr>
              <w:t>TP</w:t>
            </w:r>
          </w:p>
        </w:tc>
        <w:tc>
          <w:tcPr>
            <w:tcW w:w="748" w:type="dxa"/>
            <w:tcBorders>
              <w:top w:val="single" w:color="auto" w:sz="4" w:space="0"/>
              <w:left w:val="nil"/>
              <w:bottom w:val="single" w:color="auto" w:sz="4" w:space="0"/>
              <w:right w:val="single" w:color="auto" w:sz="4" w:space="0"/>
            </w:tcBorders>
            <w:shd w:val="clear" w:color="auto" w:fill="auto"/>
            <w:vAlign w:val="center"/>
          </w:tcPr>
          <w:p>
            <w:pPr>
              <w:pStyle w:val="107"/>
              <w:rPr>
                <w:b/>
              </w:rPr>
            </w:pPr>
            <w:r>
              <w:rPr>
                <w:rFonts w:hint="eastAsia"/>
                <w:b/>
              </w:rPr>
              <w:t>磷酸盐</w:t>
            </w:r>
          </w:p>
        </w:tc>
        <w:tc>
          <w:tcPr>
            <w:tcW w:w="1017" w:type="dxa"/>
            <w:tcBorders>
              <w:top w:val="single" w:color="auto" w:sz="4" w:space="0"/>
              <w:left w:val="nil"/>
              <w:bottom w:val="single" w:color="auto" w:sz="4" w:space="0"/>
              <w:right w:val="single" w:color="auto" w:sz="4" w:space="0"/>
            </w:tcBorders>
            <w:shd w:val="clear" w:color="auto" w:fill="auto"/>
            <w:vAlign w:val="center"/>
          </w:tcPr>
          <w:p>
            <w:pPr>
              <w:pStyle w:val="107"/>
              <w:rPr>
                <w:b/>
              </w:rPr>
            </w:pPr>
            <w:r>
              <w:rPr>
                <w:rFonts w:hint="eastAsia"/>
                <w:b/>
              </w:rPr>
              <w:t>粪大肠菌群数</w:t>
            </w:r>
          </w:p>
        </w:tc>
      </w:tr>
      <w:tr>
        <w:tblPrEx>
          <w:tblLayout w:type="fixed"/>
          <w:tblCellMar>
            <w:top w:w="0" w:type="dxa"/>
            <w:left w:w="108" w:type="dxa"/>
            <w:bottom w:w="0" w:type="dxa"/>
            <w:right w:w="108" w:type="dxa"/>
          </w:tblCellMar>
        </w:tblPrEx>
        <w:trPr>
          <w:trHeight w:val="855" w:hRule="atLeast"/>
        </w:trPr>
        <w:tc>
          <w:tcPr>
            <w:tcW w:w="2634" w:type="dxa"/>
            <w:tcBorders>
              <w:top w:val="nil"/>
              <w:left w:val="single" w:color="auto" w:sz="4" w:space="0"/>
              <w:bottom w:val="single" w:color="auto" w:sz="4" w:space="0"/>
              <w:right w:val="single" w:color="auto" w:sz="4" w:space="0"/>
            </w:tcBorders>
            <w:shd w:val="clear" w:color="auto" w:fill="auto"/>
            <w:vAlign w:val="center"/>
          </w:tcPr>
          <w:p>
            <w:pPr>
              <w:pStyle w:val="107"/>
            </w:pPr>
            <w:r>
              <w:rPr>
                <w:rFonts w:hint="eastAsia"/>
              </w:rPr>
              <w:t>《城镇污水处理厂污染物排放标准》(GB18918-2002)一级A标准</w:t>
            </w:r>
          </w:p>
        </w:tc>
        <w:tc>
          <w:tcPr>
            <w:tcW w:w="846" w:type="dxa"/>
            <w:tcBorders>
              <w:top w:val="nil"/>
              <w:left w:val="nil"/>
              <w:bottom w:val="single" w:color="auto" w:sz="4" w:space="0"/>
              <w:right w:val="single" w:color="auto" w:sz="4" w:space="0"/>
            </w:tcBorders>
            <w:shd w:val="clear" w:color="auto" w:fill="auto"/>
            <w:vAlign w:val="center"/>
          </w:tcPr>
          <w:p>
            <w:pPr>
              <w:pStyle w:val="107"/>
            </w:pPr>
            <w:r>
              <w:rPr>
                <w:rFonts w:hint="eastAsia"/>
              </w:rPr>
              <w:t>≤50</w:t>
            </w:r>
          </w:p>
        </w:tc>
        <w:tc>
          <w:tcPr>
            <w:tcW w:w="748" w:type="dxa"/>
            <w:tcBorders>
              <w:top w:val="nil"/>
              <w:left w:val="nil"/>
              <w:bottom w:val="single" w:color="auto" w:sz="4" w:space="0"/>
              <w:right w:val="single" w:color="auto" w:sz="4" w:space="0"/>
            </w:tcBorders>
            <w:shd w:val="clear" w:color="auto" w:fill="auto"/>
            <w:vAlign w:val="center"/>
          </w:tcPr>
          <w:p>
            <w:pPr>
              <w:pStyle w:val="107"/>
            </w:pPr>
            <w:r>
              <w:rPr>
                <w:rFonts w:hint="eastAsia"/>
              </w:rPr>
              <w:t>≤10</w:t>
            </w:r>
          </w:p>
        </w:tc>
        <w:tc>
          <w:tcPr>
            <w:tcW w:w="748" w:type="dxa"/>
            <w:tcBorders>
              <w:top w:val="nil"/>
              <w:left w:val="nil"/>
              <w:bottom w:val="single" w:color="auto" w:sz="4" w:space="0"/>
              <w:right w:val="single" w:color="auto" w:sz="4" w:space="0"/>
            </w:tcBorders>
            <w:shd w:val="clear" w:color="auto" w:fill="auto"/>
            <w:vAlign w:val="center"/>
          </w:tcPr>
          <w:p>
            <w:pPr>
              <w:pStyle w:val="107"/>
            </w:pPr>
            <w:r>
              <w:rPr>
                <w:rFonts w:hint="eastAsia"/>
              </w:rPr>
              <w:t>≤10</w:t>
            </w:r>
          </w:p>
        </w:tc>
        <w:tc>
          <w:tcPr>
            <w:tcW w:w="823" w:type="dxa"/>
            <w:tcBorders>
              <w:top w:val="nil"/>
              <w:left w:val="nil"/>
              <w:bottom w:val="single" w:color="auto" w:sz="4" w:space="0"/>
              <w:right w:val="single" w:color="auto" w:sz="4" w:space="0"/>
            </w:tcBorders>
            <w:shd w:val="clear" w:color="auto" w:fill="auto"/>
            <w:vAlign w:val="center"/>
          </w:tcPr>
          <w:p>
            <w:pPr>
              <w:pStyle w:val="107"/>
            </w:pPr>
            <w:r>
              <w:rPr>
                <w:rFonts w:hint="eastAsia"/>
              </w:rPr>
              <w:t>≤5（8）</w:t>
            </w:r>
          </w:p>
        </w:tc>
        <w:tc>
          <w:tcPr>
            <w:tcW w:w="748" w:type="dxa"/>
            <w:tcBorders>
              <w:top w:val="nil"/>
              <w:left w:val="nil"/>
              <w:bottom w:val="single" w:color="auto" w:sz="4" w:space="0"/>
              <w:right w:val="single" w:color="auto" w:sz="4" w:space="0"/>
            </w:tcBorders>
            <w:shd w:val="clear" w:color="auto" w:fill="auto"/>
            <w:vAlign w:val="center"/>
          </w:tcPr>
          <w:p>
            <w:pPr>
              <w:pStyle w:val="107"/>
            </w:pPr>
            <w:r>
              <w:rPr>
                <w:rFonts w:hint="eastAsia"/>
              </w:rPr>
              <w:t>≤15</w:t>
            </w:r>
          </w:p>
        </w:tc>
        <w:tc>
          <w:tcPr>
            <w:tcW w:w="748" w:type="dxa"/>
            <w:tcBorders>
              <w:top w:val="nil"/>
              <w:left w:val="nil"/>
              <w:bottom w:val="single" w:color="auto" w:sz="4" w:space="0"/>
              <w:right w:val="single" w:color="auto" w:sz="4" w:space="0"/>
            </w:tcBorders>
            <w:shd w:val="clear" w:color="auto" w:fill="auto"/>
            <w:vAlign w:val="center"/>
          </w:tcPr>
          <w:p>
            <w:pPr>
              <w:pStyle w:val="107"/>
            </w:pPr>
            <w:r>
              <w:rPr>
                <w:rFonts w:hint="eastAsia"/>
              </w:rPr>
              <w:t>≤0.5</w:t>
            </w:r>
          </w:p>
        </w:tc>
        <w:tc>
          <w:tcPr>
            <w:tcW w:w="748" w:type="dxa"/>
            <w:tcBorders>
              <w:top w:val="nil"/>
              <w:left w:val="nil"/>
              <w:bottom w:val="single" w:color="auto" w:sz="4" w:space="0"/>
              <w:right w:val="single" w:color="auto" w:sz="4" w:space="0"/>
            </w:tcBorders>
            <w:shd w:val="clear" w:color="auto" w:fill="auto"/>
            <w:vAlign w:val="center"/>
          </w:tcPr>
          <w:p>
            <w:pPr>
              <w:pStyle w:val="107"/>
            </w:pPr>
            <w:r>
              <w:rPr>
                <w:rFonts w:hint="eastAsia"/>
              </w:rPr>
              <w:t>--</w:t>
            </w:r>
          </w:p>
        </w:tc>
        <w:tc>
          <w:tcPr>
            <w:tcW w:w="1017" w:type="dxa"/>
            <w:tcBorders>
              <w:top w:val="nil"/>
              <w:left w:val="nil"/>
              <w:bottom w:val="single" w:color="auto" w:sz="4" w:space="0"/>
              <w:right w:val="single" w:color="auto" w:sz="4" w:space="0"/>
            </w:tcBorders>
            <w:shd w:val="clear" w:color="auto" w:fill="auto"/>
            <w:vAlign w:val="center"/>
          </w:tcPr>
          <w:p>
            <w:pPr>
              <w:pStyle w:val="107"/>
            </w:pPr>
            <w:r>
              <w:rPr>
                <w:rFonts w:hint="eastAsia"/>
              </w:rPr>
              <w:t>≤1000个/升</w:t>
            </w:r>
          </w:p>
        </w:tc>
      </w:tr>
      <w:tr>
        <w:tblPrEx>
          <w:tblLayout w:type="fixed"/>
          <w:tblCellMar>
            <w:top w:w="0" w:type="dxa"/>
            <w:left w:w="108" w:type="dxa"/>
            <w:bottom w:w="0" w:type="dxa"/>
            <w:right w:w="108" w:type="dxa"/>
          </w:tblCellMar>
        </w:tblPrEx>
        <w:trPr>
          <w:trHeight w:val="570" w:hRule="atLeast"/>
        </w:trPr>
        <w:tc>
          <w:tcPr>
            <w:tcW w:w="2634" w:type="dxa"/>
            <w:tcBorders>
              <w:top w:val="nil"/>
              <w:left w:val="single" w:color="auto" w:sz="4" w:space="0"/>
              <w:bottom w:val="single" w:color="auto" w:sz="4" w:space="0"/>
              <w:right w:val="single" w:color="auto" w:sz="4" w:space="0"/>
            </w:tcBorders>
            <w:shd w:val="clear" w:color="auto" w:fill="auto"/>
            <w:vAlign w:val="center"/>
          </w:tcPr>
          <w:p>
            <w:pPr>
              <w:pStyle w:val="107"/>
            </w:pPr>
            <w:r>
              <w:rPr>
                <w:rFonts w:hint="eastAsia"/>
              </w:rPr>
              <w:t>广东省《水污染物排放限值》第二时段一级标准</w:t>
            </w:r>
          </w:p>
        </w:tc>
        <w:tc>
          <w:tcPr>
            <w:tcW w:w="846" w:type="dxa"/>
            <w:tcBorders>
              <w:top w:val="nil"/>
              <w:left w:val="nil"/>
              <w:bottom w:val="single" w:color="auto" w:sz="4" w:space="0"/>
              <w:right w:val="single" w:color="auto" w:sz="4" w:space="0"/>
            </w:tcBorders>
            <w:shd w:val="clear" w:color="auto" w:fill="auto"/>
            <w:vAlign w:val="center"/>
          </w:tcPr>
          <w:p>
            <w:pPr>
              <w:pStyle w:val="107"/>
            </w:pPr>
            <w:r>
              <w:rPr>
                <w:rFonts w:hint="eastAsia"/>
              </w:rPr>
              <w:t>≤40</w:t>
            </w:r>
          </w:p>
        </w:tc>
        <w:tc>
          <w:tcPr>
            <w:tcW w:w="748" w:type="dxa"/>
            <w:tcBorders>
              <w:top w:val="nil"/>
              <w:left w:val="nil"/>
              <w:bottom w:val="single" w:color="auto" w:sz="4" w:space="0"/>
              <w:right w:val="single" w:color="auto" w:sz="4" w:space="0"/>
            </w:tcBorders>
            <w:shd w:val="clear" w:color="auto" w:fill="auto"/>
            <w:vAlign w:val="center"/>
          </w:tcPr>
          <w:p>
            <w:pPr>
              <w:pStyle w:val="107"/>
            </w:pPr>
            <w:r>
              <w:rPr>
                <w:rFonts w:hint="eastAsia"/>
              </w:rPr>
              <w:t>≤20</w:t>
            </w:r>
          </w:p>
        </w:tc>
        <w:tc>
          <w:tcPr>
            <w:tcW w:w="748" w:type="dxa"/>
            <w:tcBorders>
              <w:top w:val="nil"/>
              <w:left w:val="nil"/>
              <w:bottom w:val="single" w:color="auto" w:sz="4" w:space="0"/>
              <w:right w:val="single" w:color="auto" w:sz="4" w:space="0"/>
            </w:tcBorders>
            <w:shd w:val="clear" w:color="auto" w:fill="auto"/>
            <w:vAlign w:val="center"/>
          </w:tcPr>
          <w:p>
            <w:pPr>
              <w:pStyle w:val="107"/>
            </w:pPr>
            <w:r>
              <w:rPr>
                <w:rFonts w:hint="eastAsia"/>
              </w:rPr>
              <w:t>≤20</w:t>
            </w:r>
          </w:p>
        </w:tc>
        <w:tc>
          <w:tcPr>
            <w:tcW w:w="823" w:type="dxa"/>
            <w:tcBorders>
              <w:top w:val="nil"/>
              <w:left w:val="nil"/>
              <w:bottom w:val="single" w:color="auto" w:sz="4" w:space="0"/>
              <w:right w:val="single" w:color="auto" w:sz="4" w:space="0"/>
            </w:tcBorders>
            <w:shd w:val="clear" w:color="auto" w:fill="auto"/>
            <w:vAlign w:val="center"/>
          </w:tcPr>
          <w:p>
            <w:pPr>
              <w:pStyle w:val="107"/>
            </w:pPr>
            <w:r>
              <w:rPr>
                <w:rFonts w:hint="eastAsia"/>
              </w:rPr>
              <w:t>≤10</w:t>
            </w:r>
          </w:p>
        </w:tc>
        <w:tc>
          <w:tcPr>
            <w:tcW w:w="748" w:type="dxa"/>
            <w:tcBorders>
              <w:top w:val="nil"/>
              <w:left w:val="nil"/>
              <w:bottom w:val="single" w:color="auto" w:sz="4" w:space="0"/>
              <w:right w:val="single" w:color="auto" w:sz="4" w:space="0"/>
            </w:tcBorders>
            <w:shd w:val="clear" w:color="auto" w:fill="auto"/>
            <w:vAlign w:val="center"/>
          </w:tcPr>
          <w:p>
            <w:pPr>
              <w:pStyle w:val="107"/>
            </w:pPr>
            <w:r>
              <w:rPr>
                <w:rFonts w:hint="eastAsia"/>
              </w:rPr>
              <w:t>--</w:t>
            </w:r>
          </w:p>
        </w:tc>
        <w:tc>
          <w:tcPr>
            <w:tcW w:w="748" w:type="dxa"/>
            <w:tcBorders>
              <w:top w:val="nil"/>
              <w:left w:val="nil"/>
              <w:bottom w:val="single" w:color="auto" w:sz="4" w:space="0"/>
              <w:right w:val="single" w:color="auto" w:sz="4" w:space="0"/>
            </w:tcBorders>
            <w:shd w:val="clear" w:color="auto" w:fill="auto"/>
            <w:vAlign w:val="center"/>
          </w:tcPr>
          <w:p>
            <w:pPr>
              <w:pStyle w:val="107"/>
            </w:pPr>
            <w:r>
              <w:rPr>
                <w:rFonts w:hint="eastAsia"/>
              </w:rPr>
              <w:t>--</w:t>
            </w:r>
          </w:p>
        </w:tc>
        <w:tc>
          <w:tcPr>
            <w:tcW w:w="748" w:type="dxa"/>
            <w:tcBorders>
              <w:top w:val="nil"/>
              <w:left w:val="nil"/>
              <w:bottom w:val="single" w:color="auto" w:sz="4" w:space="0"/>
              <w:right w:val="single" w:color="auto" w:sz="4" w:space="0"/>
            </w:tcBorders>
            <w:shd w:val="clear" w:color="auto" w:fill="auto"/>
            <w:vAlign w:val="center"/>
          </w:tcPr>
          <w:p>
            <w:pPr>
              <w:pStyle w:val="107"/>
            </w:pPr>
            <w:r>
              <w:rPr>
                <w:rFonts w:hint="eastAsia"/>
              </w:rPr>
              <w:t>≤0.5</w:t>
            </w:r>
          </w:p>
        </w:tc>
        <w:tc>
          <w:tcPr>
            <w:tcW w:w="1017" w:type="dxa"/>
            <w:tcBorders>
              <w:top w:val="nil"/>
              <w:left w:val="nil"/>
              <w:bottom w:val="single" w:color="auto" w:sz="4" w:space="0"/>
              <w:right w:val="single" w:color="auto" w:sz="4" w:space="0"/>
            </w:tcBorders>
            <w:shd w:val="clear" w:color="auto" w:fill="auto"/>
            <w:vAlign w:val="center"/>
          </w:tcPr>
          <w:p>
            <w:pPr>
              <w:pStyle w:val="107"/>
            </w:pPr>
            <w:r>
              <w:rPr>
                <w:rFonts w:hint="eastAsia"/>
              </w:rPr>
              <w:t>--</w:t>
            </w:r>
          </w:p>
        </w:tc>
      </w:tr>
      <w:tr>
        <w:tblPrEx>
          <w:tblLayout w:type="fixed"/>
          <w:tblCellMar>
            <w:top w:w="0" w:type="dxa"/>
            <w:left w:w="108" w:type="dxa"/>
            <w:bottom w:w="0" w:type="dxa"/>
            <w:right w:w="108" w:type="dxa"/>
          </w:tblCellMar>
        </w:tblPrEx>
        <w:trPr>
          <w:trHeight w:val="285" w:hRule="atLeast"/>
        </w:trPr>
        <w:tc>
          <w:tcPr>
            <w:tcW w:w="2634" w:type="dxa"/>
            <w:tcBorders>
              <w:top w:val="nil"/>
              <w:left w:val="single" w:color="auto" w:sz="4" w:space="0"/>
              <w:bottom w:val="single" w:color="auto" w:sz="4" w:space="0"/>
              <w:right w:val="single" w:color="auto" w:sz="4" w:space="0"/>
            </w:tcBorders>
            <w:shd w:val="clear" w:color="auto" w:fill="auto"/>
            <w:vAlign w:val="center"/>
          </w:tcPr>
          <w:p>
            <w:pPr>
              <w:pStyle w:val="107"/>
            </w:pPr>
            <w:r>
              <w:rPr>
                <w:rFonts w:hint="eastAsia"/>
              </w:rPr>
              <w:t>设计出水水质</w:t>
            </w:r>
          </w:p>
        </w:tc>
        <w:tc>
          <w:tcPr>
            <w:tcW w:w="846" w:type="dxa"/>
            <w:tcBorders>
              <w:top w:val="nil"/>
              <w:left w:val="nil"/>
              <w:bottom w:val="single" w:color="auto" w:sz="4" w:space="0"/>
              <w:right w:val="single" w:color="auto" w:sz="4" w:space="0"/>
            </w:tcBorders>
            <w:shd w:val="clear" w:color="auto" w:fill="auto"/>
            <w:vAlign w:val="center"/>
          </w:tcPr>
          <w:p>
            <w:pPr>
              <w:pStyle w:val="107"/>
            </w:pPr>
            <w:r>
              <w:rPr>
                <w:rFonts w:hint="eastAsia"/>
              </w:rPr>
              <w:t>≤40</w:t>
            </w:r>
          </w:p>
        </w:tc>
        <w:tc>
          <w:tcPr>
            <w:tcW w:w="748" w:type="dxa"/>
            <w:tcBorders>
              <w:top w:val="nil"/>
              <w:left w:val="nil"/>
              <w:bottom w:val="single" w:color="auto" w:sz="4" w:space="0"/>
              <w:right w:val="single" w:color="auto" w:sz="4" w:space="0"/>
            </w:tcBorders>
            <w:shd w:val="clear" w:color="auto" w:fill="auto"/>
            <w:vAlign w:val="center"/>
          </w:tcPr>
          <w:p>
            <w:pPr>
              <w:pStyle w:val="107"/>
            </w:pPr>
            <w:r>
              <w:rPr>
                <w:rFonts w:hint="eastAsia"/>
              </w:rPr>
              <w:t>≤10</w:t>
            </w:r>
          </w:p>
        </w:tc>
        <w:tc>
          <w:tcPr>
            <w:tcW w:w="748" w:type="dxa"/>
            <w:tcBorders>
              <w:top w:val="nil"/>
              <w:left w:val="nil"/>
              <w:bottom w:val="single" w:color="auto" w:sz="4" w:space="0"/>
              <w:right w:val="single" w:color="auto" w:sz="4" w:space="0"/>
            </w:tcBorders>
            <w:shd w:val="clear" w:color="auto" w:fill="auto"/>
            <w:vAlign w:val="center"/>
          </w:tcPr>
          <w:p>
            <w:pPr>
              <w:pStyle w:val="107"/>
            </w:pPr>
            <w:r>
              <w:rPr>
                <w:rFonts w:hint="eastAsia"/>
              </w:rPr>
              <w:t>≤10</w:t>
            </w:r>
          </w:p>
        </w:tc>
        <w:tc>
          <w:tcPr>
            <w:tcW w:w="823" w:type="dxa"/>
            <w:tcBorders>
              <w:top w:val="nil"/>
              <w:left w:val="nil"/>
              <w:bottom w:val="single" w:color="auto" w:sz="4" w:space="0"/>
              <w:right w:val="single" w:color="auto" w:sz="4" w:space="0"/>
            </w:tcBorders>
            <w:shd w:val="clear" w:color="auto" w:fill="auto"/>
            <w:vAlign w:val="center"/>
          </w:tcPr>
          <w:p>
            <w:pPr>
              <w:pStyle w:val="107"/>
            </w:pPr>
            <w:r>
              <w:rPr>
                <w:rFonts w:hint="eastAsia"/>
              </w:rPr>
              <w:t>≤5（8）</w:t>
            </w:r>
          </w:p>
        </w:tc>
        <w:tc>
          <w:tcPr>
            <w:tcW w:w="748" w:type="dxa"/>
            <w:tcBorders>
              <w:top w:val="nil"/>
              <w:left w:val="nil"/>
              <w:bottom w:val="single" w:color="auto" w:sz="4" w:space="0"/>
              <w:right w:val="single" w:color="auto" w:sz="4" w:space="0"/>
            </w:tcBorders>
            <w:shd w:val="clear" w:color="auto" w:fill="auto"/>
            <w:vAlign w:val="center"/>
          </w:tcPr>
          <w:p>
            <w:pPr>
              <w:pStyle w:val="107"/>
            </w:pPr>
            <w:r>
              <w:rPr>
                <w:rFonts w:hint="eastAsia"/>
              </w:rPr>
              <w:t>≤15</w:t>
            </w:r>
          </w:p>
        </w:tc>
        <w:tc>
          <w:tcPr>
            <w:tcW w:w="748" w:type="dxa"/>
            <w:tcBorders>
              <w:top w:val="nil"/>
              <w:left w:val="nil"/>
              <w:bottom w:val="single" w:color="auto" w:sz="4" w:space="0"/>
              <w:right w:val="single" w:color="auto" w:sz="4" w:space="0"/>
            </w:tcBorders>
            <w:shd w:val="clear" w:color="auto" w:fill="auto"/>
            <w:vAlign w:val="center"/>
          </w:tcPr>
          <w:p>
            <w:pPr>
              <w:pStyle w:val="107"/>
            </w:pPr>
            <w:r>
              <w:rPr>
                <w:rFonts w:hint="eastAsia"/>
              </w:rPr>
              <w:t>≤0.5</w:t>
            </w:r>
          </w:p>
        </w:tc>
        <w:tc>
          <w:tcPr>
            <w:tcW w:w="748" w:type="dxa"/>
            <w:tcBorders>
              <w:top w:val="nil"/>
              <w:left w:val="nil"/>
              <w:bottom w:val="single" w:color="auto" w:sz="4" w:space="0"/>
              <w:right w:val="single" w:color="auto" w:sz="4" w:space="0"/>
            </w:tcBorders>
            <w:shd w:val="clear" w:color="auto" w:fill="auto"/>
            <w:vAlign w:val="center"/>
          </w:tcPr>
          <w:p>
            <w:pPr>
              <w:pStyle w:val="107"/>
            </w:pPr>
            <w:r>
              <w:rPr>
                <w:rFonts w:hint="eastAsia"/>
              </w:rPr>
              <w:t>≤0.5</w:t>
            </w:r>
          </w:p>
        </w:tc>
        <w:tc>
          <w:tcPr>
            <w:tcW w:w="1017" w:type="dxa"/>
            <w:tcBorders>
              <w:top w:val="nil"/>
              <w:left w:val="nil"/>
              <w:bottom w:val="single" w:color="auto" w:sz="4" w:space="0"/>
              <w:right w:val="single" w:color="auto" w:sz="4" w:space="0"/>
            </w:tcBorders>
            <w:shd w:val="clear" w:color="auto" w:fill="auto"/>
            <w:vAlign w:val="center"/>
          </w:tcPr>
          <w:p>
            <w:pPr>
              <w:pStyle w:val="107"/>
            </w:pPr>
            <w:r>
              <w:rPr>
                <w:rFonts w:hint="eastAsia"/>
              </w:rPr>
              <w:t>≤1000个/升</w:t>
            </w:r>
          </w:p>
        </w:tc>
      </w:tr>
    </w:tbl>
    <w:p>
      <w:pPr>
        <w:pStyle w:val="107"/>
        <w:jc w:val="left"/>
      </w:pPr>
      <w:r>
        <w:rPr>
          <w:rFonts w:hint="eastAsia"/>
        </w:rPr>
        <w:t>注：当水温≤12℃时，NH</w:t>
      </w:r>
      <w:r>
        <w:rPr>
          <w:rFonts w:hint="eastAsia"/>
          <w:vertAlign w:val="subscript"/>
        </w:rPr>
        <w:t>3</w:t>
      </w:r>
      <w:r>
        <w:rPr>
          <w:rFonts w:hint="eastAsia"/>
        </w:rPr>
        <w:t>-N可以达到8mg/L。</w:t>
      </w:r>
    </w:p>
    <w:p>
      <w:pPr>
        <w:pStyle w:val="6"/>
      </w:pPr>
      <w:r>
        <w:t>废气排放标准</w:t>
      </w:r>
    </w:p>
    <w:p>
      <w:pPr>
        <w:ind w:firstLine="480"/>
        <w:rPr>
          <w:rFonts w:cs="Times New Roman" w:eastAsiaTheme="minorEastAsia"/>
        </w:rPr>
      </w:pPr>
      <w:r>
        <w:rPr>
          <w:rFonts w:hint="eastAsia" w:cs="Times New Roman" w:eastAsiaTheme="minorEastAsia"/>
        </w:rPr>
        <w:t>项目运营期产生的工艺废气中污染物主要为颗粒物、V</w:t>
      </w:r>
      <w:r>
        <w:rPr>
          <w:rFonts w:cs="Times New Roman" w:eastAsiaTheme="minorEastAsia"/>
        </w:rPr>
        <w:t>OC</w:t>
      </w:r>
      <w:r>
        <w:rPr>
          <w:rFonts w:hint="eastAsia" w:cs="Times New Roman" w:eastAsiaTheme="minorEastAsia"/>
        </w:rPr>
        <w:t>s（非甲烷总烃）和硫化氢，伴随恶臭。</w:t>
      </w:r>
    </w:p>
    <w:p>
      <w:pPr>
        <w:ind w:firstLine="480"/>
        <w:rPr>
          <w:rFonts w:eastAsiaTheme="minorEastAsia"/>
        </w:rPr>
      </w:pPr>
      <w:r>
        <w:rPr>
          <w:rFonts w:hint="eastAsia" w:cs="Times New Roman" w:eastAsiaTheme="minorEastAsia"/>
        </w:rPr>
        <w:t>项目密炼、开炼、硫化工艺废气</w:t>
      </w:r>
      <w:r>
        <w:rPr>
          <w:rFonts w:hint="eastAsia" w:eastAsiaTheme="minorEastAsia"/>
        </w:rPr>
        <w:t>排放执行</w:t>
      </w:r>
      <w:r>
        <w:rPr>
          <w:rFonts w:hint="eastAsia" w:cs="Times New Roman" w:eastAsiaTheme="minorEastAsia"/>
        </w:rPr>
        <w:t>《橡胶制品工业污染物排放标准》（GB</w:t>
      </w:r>
      <w:r>
        <w:rPr>
          <w:rFonts w:cs="Times New Roman" w:eastAsiaTheme="minorEastAsia"/>
        </w:rPr>
        <w:t xml:space="preserve"> </w:t>
      </w:r>
      <w:r>
        <w:rPr>
          <w:rFonts w:hint="eastAsia" w:cs="Times New Roman" w:eastAsiaTheme="minorEastAsia"/>
        </w:rPr>
        <w:t>27632-2011）表5新建企业大气污染物排放限值和表6现有和新建企业厂界无组织排放限值；</w:t>
      </w:r>
    </w:p>
    <w:p>
      <w:pPr>
        <w:ind w:firstLine="480"/>
        <w:rPr>
          <w:rFonts w:eastAsiaTheme="minorEastAsia"/>
        </w:rPr>
      </w:pPr>
      <w:r>
        <w:rPr>
          <w:rFonts w:hint="eastAsia" w:cs="Times New Roman" w:eastAsiaTheme="minorEastAsia"/>
        </w:rPr>
        <w:t>根据</w:t>
      </w:r>
      <w:r>
        <w:rPr>
          <w:rFonts w:hint="eastAsia" w:eastAsiaTheme="minorEastAsia"/>
        </w:rPr>
        <w:t>行业标准</w:t>
      </w:r>
      <w:r>
        <w:rPr>
          <w:rFonts w:hint="eastAsia" w:cs="Times New Roman" w:eastAsiaTheme="minorEastAsia"/>
        </w:rPr>
        <w:t>GB</w:t>
      </w:r>
      <w:r>
        <w:rPr>
          <w:rFonts w:cs="Times New Roman" w:eastAsiaTheme="minorEastAsia"/>
        </w:rPr>
        <w:t xml:space="preserve"> </w:t>
      </w:r>
      <w:r>
        <w:rPr>
          <w:rFonts w:hint="eastAsia" w:cs="Times New Roman" w:eastAsiaTheme="minorEastAsia"/>
        </w:rPr>
        <w:t>27632-2011</w:t>
      </w:r>
      <w:r>
        <w:rPr>
          <w:rFonts w:hint="eastAsia" w:eastAsiaTheme="minorEastAsia"/>
        </w:rPr>
        <w:t>中“4.2.5 橡胶制品工业企业恶臭污染物的排放控制按GB</w:t>
      </w:r>
      <w:r>
        <w:rPr>
          <w:rFonts w:eastAsiaTheme="minorEastAsia"/>
        </w:rPr>
        <w:t xml:space="preserve"> </w:t>
      </w:r>
      <w:r>
        <w:rPr>
          <w:rFonts w:hint="eastAsia" w:eastAsiaTheme="minorEastAsia"/>
        </w:rPr>
        <w:t>14554的规定执行”，项目生产过程中</w:t>
      </w:r>
      <w:r>
        <w:rPr>
          <w:rFonts w:eastAsiaTheme="minorEastAsia"/>
        </w:rPr>
        <w:t>H</w:t>
      </w:r>
      <w:r>
        <w:rPr>
          <w:rFonts w:eastAsiaTheme="minorEastAsia"/>
          <w:vertAlign w:val="subscript"/>
        </w:rPr>
        <w:t>2</w:t>
      </w:r>
      <w:r>
        <w:rPr>
          <w:rFonts w:eastAsiaTheme="minorEastAsia"/>
        </w:rPr>
        <w:t>S</w:t>
      </w:r>
      <w:r>
        <w:rPr>
          <w:rFonts w:hint="eastAsia" w:eastAsiaTheme="minorEastAsia"/>
        </w:rPr>
        <w:t>等恶臭气体排放参照执行《恶臭污染物排放标准》（</w:t>
      </w:r>
      <w:r>
        <w:rPr>
          <w:rFonts w:eastAsiaTheme="minorEastAsia"/>
        </w:rPr>
        <w:t>GB 14554-93</w:t>
      </w:r>
      <w:r>
        <w:rPr>
          <w:rFonts w:hint="eastAsia" w:eastAsiaTheme="minorEastAsia"/>
        </w:rPr>
        <w:t>）中的表</w:t>
      </w:r>
      <w:r>
        <w:rPr>
          <w:rFonts w:eastAsiaTheme="minorEastAsia"/>
        </w:rPr>
        <w:t>1</w:t>
      </w:r>
      <w:r>
        <w:rPr>
          <w:rFonts w:hint="eastAsia" w:eastAsiaTheme="minorEastAsia"/>
        </w:rPr>
        <w:t>中厂界标准值-新改扩建二级和表</w:t>
      </w:r>
      <w:r>
        <w:rPr>
          <w:rFonts w:eastAsiaTheme="minorEastAsia"/>
        </w:rPr>
        <w:t>2</w:t>
      </w:r>
      <w:r>
        <w:rPr>
          <w:rFonts w:hint="eastAsia" w:eastAsiaTheme="minorEastAsia"/>
        </w:rPr>
        <w:t>中排放标准值。</w:t>
      </w:r>
    </w:p>
    <w:p>
      <w:pPr>
        <w:ind w:firstLine="480"/>
        <w:rPr>
          <w:rFonts w:eastAsiaTheme="minorEastAsia"/>
        </w:rPr>
      </w:pPr>
      <w:r>
        <w:rPr>
          <w:rFonts w:hint="eastAsia" w:eastAsiaTheme="minorEastAsia"/>
        </w:rPr>
        <w:t>上述工艺废气排放标准具体数值见</w:t>
      </w:r>
      <w:r>
        <w:rPr>
          <w:rFonts w:eastAsiaTheme="minorEastAsia"/>
        </w:rPr>
        <w:fldChar w:fldCharType="begin"/>
      </w:r>
      <w:r>
        <w:rPr>
          <w:rFonts w:eastAsiaTheme="minorEastAsia"/>
        </w:rPr>
        <w:instrText xml:space="preserve"> </w:instrText>
      </w:r>
      <w:r>
        <w:rPr>
          <w:rFonts w:hint="eastAsia" w:eastAsiaTheme="minorEastAsia"/>
        </w:rPr>
        <w:instrText xml:space="preserve">REF _Ref522048938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1.4</w:t>
      </w:r>
      <w:r>
        <w:rPr>
          <w:rFonts w:eastAsiaTheme="minorEastAsia"/>
        </w:rPr>
        <w:noBreakHyphen/>
      </w:r>
      <w:r>
        <w:rPr>
          <w:rFonts w:eastAsiaTheme="minorEastAsia"/>
        </w:rPr>
        <w:t>9</w:t>
      </w:r>
      <w:r>
        <w:rPr>
          <w:rFonts w:eastAsiaTheme="minorEastAsia"/>
        </w:rPr>
        <w:fldChar w:fldCharType="end"/>
      </w:r>
      <w:r>
        <w:rPr>
          <w:rFonts w:hint="eastAsia" w:eastAsiaTheme="minorEastAsia"/>
        </w:rPr>
        <w:t>。</w:t>
      </w:r>
    </w:p>
    <w:p>
      <w:pPr>
        <w:pStyle w:val="18"/>
      </w:pPr>
      <w:bookmarkStart w:id="107" w:name="_Ref522048938"/>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9</w:t>
      </w:r>
      <w:r>
        <w:fldChar w:fldCharType="end"/>
      </w:r>
      <w:bookmarkEnd w:id="107"/>
      <w:r>
        <w:t>工艺</w:t>
      </w:r>
      <w:r>
        <w:rPr>
          <w:rFonts w:hint="eastAsia"/>
        </w:rPr>
        <w:t>废气污染物排放限值</w:t>
      </w:r>
    </w:p>
    <w:tbl>
      <w:tblPr>
        <w:tblStyle w:val="56"/>
        <w:tblW w:w="90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863"/>
        <w:gridCol w:w="718"/>
        <w:gridCol w:w="1004"/>
        <w:gridCol w:w="1292"/>
        <w:gridCol w:w="1006"/>
        <w:gridCol w:w="718"/>
        <w:gridCol w:w="1370"/>
        <w:gridCol w:w="1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blHeader/>
          <w:jc w:val="center"/>
        </w:trPr>
        <w:tc>
          <w:tcPr>
            <w:tcW w:w="679" w:type="dxa"/>
            <w:vMerge w:val="restar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widowControl w:val="0"/>
              <w:adjustRightInd w:val="0"/>
              <w:snapToGrid w:val="0"/>
              <w:spacing w:line="240" w:lineRule="auto"/>
              <w:ind w:firstLine="0" w:firstLineChars="0"/>
              <w:jc w:val="center"/>
              <w:rPr>
                <w:rFonts w:cs="Times New Roman" w:eastAsiaTheme="minorEastAsia"/>
                <w:b/>
                <w:kern w:val="2"/>
                <w:sz w:val="21"/>
                <w:szCs w:val="21"/>
              </w:rPr>
            </w:pPr>
            <w:r>
              <w:rPr>
                <w:rFonts w:hint="eastAsia" w:cs="Times New Roman" w:eastAsiaTheme="minorEastAsia"/>
                <w:b/>
                <w:kern w:val="2"/>
                <w:sz w:val="21"/>
                <w:szCs w:val="21"/>
              </w:rPr>
              <w:t>类别</w:t>
            </w:r>
          </w:p>
        </w:tc>
        <w:tc>
          <w:tcPr>
            <w:tcW w:w="863" w:type="dxa"/>
            <w:vMerge w:val="restar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widowControl w:val="0"/>
              <w:adjustRightInd w:val="0"/>
              <w:snapToGrid w:val="0"/>
              <w:spacing w:line="240" w:lineRule="auto"/>
              <w:ind w:firstLine="0" w:firstLineChars="0"/>
              <w:jc w:val="center"/>
              <w:rPr>
                <w:rFonts w:cs="Times New Roman" w:eastAsiaTheme="minorEastAsia"/>
                <w:b/>
                <w:kern w:val="2"/>
                <w:sz w:val="21"/>
                <w:szCs w:val="21"/>
              </w:rPr>
            </w:pPr>
            <w:r>
              <w:rPr>
                <w:rFonts w:hint="eastAsia" w:cs="Times New Roman" w:eastAsiaTheme="minorEastAsia"/>
                <w:b/>
                <w:kern w:val="2"/>
                <w:sz w:val="21"/>
                <w:szCs w:val="21"/>
              </w:rPr>
              <w:t>污染物</w:t>
            </w:r>
          </w:p>
        </w:tc>
        <w:tc>
          <w:tcPr>
            <w:tcW w:w="718" w:type="dxa"/>
            <w:vMerge w:val="restar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widowControl w:val="0"/>
              <w:adjustRightInd w:val="0"/>
              <w:snapToGrid w:val="0"/>
              <w:spacing w:line="240" w:lineRule="auto"/>
              <w:ind w:firstLine="0" w:firstLineChars="0"/>
              <w:jc w:val="center"/>
              <w:rPr>
                <w:rFonts w:cs="Times New Roman" w:eastAsiaTheme="minorEastAsia"/>
                <w:b/>
                <w:kern w:val="2"/>
                <w:sz w:val="21"/>
                <w:szCs w:val="21"/>
              </w:rPr>
            </w:pPr>
            <w:r>
              <w:rPr>
                <w:rFonts w:hint="eastAsia" w:cs="Times New Roman" w:eastAsiaTheme="minorEastAsia"/>
                <w:b/>
                <w:kern w:val="2"/>
                <w:sz w:val="21"/>
                <w:szCs w:val="21"/>
              </w:rPr>
              <w:t>排放高度</w:t>
            </w:r>
            <w:r>
              <w:rPr>
                <w:rFonts w:cs="Times New Roman" w:eastAsiaTheme="minorEastAsia"/>
                <w:b/>
                <w:kern w:val="2"/>
                <w:sz w:val="21"/>
                <w:szCs w:val="21"/>
              </w:rPr>
              <w:t>(m)</w:t>
            </w:r>
          </w:p>
        </w:tc>
        <w:tc>
          <w:tcPr>
            <w:tcW w:w="1004" w:type="dxa"/>
            <w:vMerge w:val="restar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widowControl w:val="0"/>
              <w:adjustRightInd w:val="0"/>
              <w:snapToGrid w:val="0"/>
              <w:spacing w:line="240" w:lineRule="auto"/>
              <w:ind w:firstLine="0" w:firstLineChars="0"/>
              <w:jc w:val="center"/>
              <w:rPr>
                <w:rFonts w:cs="Times New Roman" w:eastAsiaTheme="minorEastAsia"/>
                <w:b/>
                <w:kern w:val="2"/>
                <w:sz w:val="21"/>
                <w:szCs w:val="21"/>
              </w:rPr>
            </w:pPr>
            <w:r>
              <w:rPr>
                <w:rFonts w:hint="eastAsia" w:cs="Times New Roman" w:eastAsiaTheme="minorEastAsia"/>
                <w:b/>
                <w:kern w:val="2"/>
                <w:sz w:val="21"/>
                <w:szCs w:val="21"/>
              </w:rPr>
              <w:t>排放浓度限值</w:t>
            </w:r>
            <w:r>
              <w:rPr>
                <w:rFonts w:cs="Times New Roman" w:eastAsiaTheme="minorEastAsia"/>
                <w:b/>
                <w:kern w:val="2"/>
                <w:sz w:val="21"/>
                <w:szCs w:val="21"/>
              </w:rPr>
              <w:t>(mg/m</w:t>
            </w:r>
            <w:r>
              <w:rPr>
                <w:rFonts w:cs="Times New Roman" w:eastAsiaTheme="minorEastAsia"/>
                <w:b/>
                <w:kern w:val="2"/>
                <w:sz w:val="21"/>
                <w:szCs w:val="21"/>
                <w:vertAlign w:val="superscript"/>
              </w:rPr>
              <w:t>3</w:t>
            </w:r>
            <w:r>
              <w:rPr>
                <w:rFonts w:cs="Times New Roman" w:eastAsiaTheme="minorEastAsia"/>
                <w:b/>
                <w:kern w:val="2"/>
                <w:sz w:val="21"/>
                <w:szCs w:val="21"/>
              </w:rPr>
              <w:t>)</w:t>
            </w:r>
          </w:p>
        </w:tc>
        <w:tc>
          <w:tcPr>
            <w:tcW w:w="1292" w:type="dxa"/>
            <w:vMerge w:val="restart"/>
            <w:tcBorders>
              <w:top w:val="single" w:color="auto" w:sz="4" w:space="0"/>
              <w:left w:val="single" w:color="auto" w:sz="4" w:space="0"/>
              <w:right w:val="single" w:color="auto" w:sz="4" w:space="0"/>
            </w:tcBorders>
            <w:shd w:val="clear" w:color="auto" w:fill="D8D8D8" w:themeFill="background1" w:themeFillShade="D9"/>
            <w:vAlign w:val="center"/>
          </w:tcPr>
          <w:p>
            <w:pPr>
              <w:widowControl w:val="0"/>
              <w:adjustRightInd w:val="0"/>
              <w:snapToGrid w:val="0"/>
              <w:spacing w:line="240" w:lineRule="auto"/>
              <w:ind w:firstLine="0" w:firstLineChars="0"/>
              <w:jc w:val="center"/>
              <w:rPr>
                <w:rFonts w:cs="Times New Roman" w:eastAsiaTheme="minorEastAsia"/>
                <w:b/>
                <w:kern w:val="2"/>
                <w:sz w:val="21"/>
                <w:szCs w:val="21"/>
              </w:rPr>
            </w:pPr>
            <w:r>
              <w:rPr>
                <w:rFonts w:eastAsiaTheme="minorEastAsia"/>
                <w:b/>
                <w:sz w:val="21"/>
                <w:szCs w:val="21"/>
              </w:rPr>
              <w:t>基准排气量（m</w:t>
            </w:r>
            <w:r>
              <w:rPr>
                <w:rFonts w:eastAsiaTheme="minorEastAsia"/>
                <w:b/>
                <w:sz w:val="21"/>
                <w:szCs w:val="21"/>
                <w:vertAlign w:val="superscript"/>
              </w:rPr>
              <w:t>3</w:t>
            </w:r>
            <w:r>
              <w:rPr>
                <w:rFonts w:eastAsiaTheme="minorEastAsia"/>
                <w:b/>
                <w:sz w:val="21"/>
                <w:szCs w:val="21"/>
              </w:rPr>
              <w:t>/t胶）</w:t>
            </w:r>
          </w:p>
        </w:tc>
        <w:tc>
          <w:tcPr>
            <w:tcW w:w="1006" w:type="dxa"/>
            <w:vMerge w:val="restar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widowControl w:val="0"/>
              <w:adjustRightInd w:val="0"/>
              <w:snapToGrid w:val="0"/>
              <w:spacing w:line="240" w:lineRule="auto"/>
              <w:ind w:firstLine="0" w:firstLineChars="0"/>
              <w:jc w:val="center"/>
              <w:rPr>
                <w:rFonts w:cs="Times New Roman" w:eastAsiaTheme="minorEastAsia"/>
                <w:b/>
                <w:kern w:val="2"/>
                <w:sz w:val="21"/>
                <w:szCs w:val="21"/>
              </w:rPr>
            </w:pPr>
            <w:r>
              <w:rPr>
                <w:rFonts w:hint="eastAsia" w:cs="Times New Roman" w:eastAsiaTheme="minorEastAsia"/>
                <w:b/>
                <w:kern w:val="2"/>
                <w:sz w:val="21"/>
                <w:szCs w:val="21"/>
              </w:rPr>
              <w:t>排放速率限值</w:t>
            </w:r>
            <w:r>
              <w:rPr>
                <w:rFonts w:cs="Times New Roman" w:eastAsiaTheme="minorEastAsia"/>
                <w:b/>
                <w:kern w:val="2"/>
                <w:sz w:val="21"/>
                <w:szCs w:val="21"/>
              </w:rPr>
              <w:t>(kg/h)</w:t>
            </w:r>
          </w:p>
        </w:tc>
        <w:tc>
          <w:tcPr>
            <w:tcW w:w="2088" w:type="dxa"/>
            <w:gridSpan w:val="2"/>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widowControl w:val="0"/>
              <w:adjustRightInd w:val="0"/>
              <w:snapToGrid w:val="0"/>
              <w:spacing w:line="240" w:lineRule="auto"/>
              <w:ind w:firstLine="0" w:firstLineChars="0"/>
              <w:jc w:val="center"/>
              <w:rPr>
                <w:rFonts w:cs="Times New Roman" w:eastAsiaTheme="minorEastAsia"/>
                <w:b/>
                <w:kern w:val="2"/>
                <w:sz w:val="21"/>
                <w:szCs w:val="21"/>
              </w:rPr>
            </w:pPr>
            <w:r>
              <w:rPr>
                <w:rFonts w:hint="eastAsia" w:cs="Times New Roman" w:eastAsiaTheme="minorEastAsia"/>
                <w:b/>
                <w:kern w:val="2"/>
                <w:sz w:val="21"/>
                <w:szCs w:val="21"/>
              </w:rPr>
              <w:t>无组织排放监控浓度</w:t>
            </w:r>
          </w:p>
        </w:tc>
        <w:tc>
          <w:tcPr>
            <w:tcW w:w="1410" w:type="dxa"/>
            <w:vMerge w:val="restart"/>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widowControl w:val="0"/>
              <w:adjustRightInd w:val="0"/>
              <w:snapToGrid w:val="0"/>
              <w:spacing w:line="240" w:lineRule="auto"/>
              <w:ind w:firstLine="0" w:firstLineChars="0"/>
              <w:jc w:val="center"/>
              <w:rPr>
                <w:rFonts w:cs="Times New Roman" w:eastAsiaTheme="minorEastAsia"/>
                <w:b/>
                <w:kern w:val="2"/>
                <w:sz w:val="21"/>
                <w:szCs w:val="21"/>
              </w:rPr>
            </w:pPr>
            <w:r>
              <w:rPr>
                <w:rFonts w:hint="eastAsia" w:cs="Times New Roman" w:eastAsiaTheme="minorEastAsia"/>
                <w:b/>
                <w:kern w:val="2"/>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blHeader/>
          <w:jc w:val="center"/>
        </w:trPr>
        <w:tc>
          <w:tcPr>
            <w:tcW w:w="679"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eastAsiaTheme="minorEastAsia"/>
                <w:b/>
                <w:kern w:val="2"/>
                <w:sz w:val="21"/>
                <w:szCs w:val="21"/>
              </w:rPr>
            </w:pPr>
          </w:p>
        </w:tc>
        <w:tc>
          <w:tcPr>
            <w:tcW w:w="863"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eastAsiaTheme="minorEastAsia"/>
                <w:b/>
                <w:kern w:val="2"/>
                <w:sz w:val="21"/>
                <w:szCs w:val="21"/>
              </w:rPr>
            </w:pPr>
          </w:p>
        </w:tc>
        <w:tc>
          <w:tcPr>
            <w:tcW w:w="718"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eastAsiaTheme="minorEastAsia"/>
                <w:b/>
                <w:kern w:val="2"/>
                <w:sz w:val="21"/>
                <w:szCs w:val="21"/>
              </w:rPr>
            </w:pPr>
          </w:p>
        </w:tc>
        <w:tc>
          <w:tcPr>
            <w:tcW w:w="1004"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eastAsiaTheme="minorEastAsia"/>
                <w:b/>
                <w:kern w:val="2"/>
                <w:sz w:val="21"/>
                <w:szCs w:val="21"/>
              </w:rPr>
            </w:pPr>
          </w:p>
        </w:tc>
        <w:tc>
          <w:tcPr>
            <w:tcW w:w="1292" w:type="dxa"/>
            <w:vMerge w:val="continue"/>
            <w:tcBorders>
              <w:left w:val="single" w:color="auto" w:sz="4" w:space="0"/>
              <w:bottom w:val="single" w:color="auto" w:sz="4" w:space="0"/>
              <w:right w:val="single" w:color="auto" w:sz="4" w:space="0"/>
            </w:tcBorders>
          </w:tcPr>
          <w:p>
            <w:pPr>
              <w:spacing w:line="240" w:lineRule="auto"/>
              <w:ind w:firstLine="0" w:firstLineChars="0"/>
              <w:jc w:val="center"/>
              <w:rPr>
                <w:rFonts w:cs="Times New Roman" w:eastAsiaTheme="minorEastAsia"/>
                <w:b/>
                <w:kern w:val="2"/>
                <w:sz w:val="21"/>
                <w:szCs w:val="21"/>
              </w:rPr>
            </w:pPr>
          </w:p>
        </w:tc>
        <w:tc>
          <w:tcPr>
            <w:tcW w:w="1006"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eastAsiaTheme="minorEastAsia"/>
                <w:b/>
                <w:kern w:val="2"/>
                <w:sz w:val="21"/>
                <w:szCs w:val="21"/>
              </w:rPr>
            </w:pPr>
          </w:p>
        </w:tc>
        <w:tc>
          <w:tcPr>
            <w:tcW w:w="718"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widowControl w:val="0"/>
              <w:adjustRightInd w:val="0"/>
              <w:snapToGrid w:val="0"/>
              <w:spacing w:line="240" w:lineRule="auto"/>
              <w:ind w:firstLine="0" w:firstLineChars="0"/>
              <w:jc w:val="center"/>
              <w:rPr>
                <w:rFonts w:cs="Times New Roman" w:eastAsiaTheme="minorEastAsia"/>
                <w:b/>
                <w:kern w:val="2"/>
                <w:sz w:val="21"/>
                <w:szCs w:val="21"/>
              </w:rPr>
            </w:pPr>
            <w:r>
              <w:rPr>
                <w:rFonts w:hint="eastAsia" w:cs="Times New Roman" w:eastAsiaTheme="minorEastAsia"/>
                <w:b/>
                <w:kern w:val="2"/>
                <w:sz w:val="21"/>
                <w:szCs w:val="21"/>
              </w:rPr>
              <w:t>监控点</w:t>
            </w:r>
          </w:p>
        </w:tc>
        <w:tc>
          <w:tcPr>
            <w:tcW w:w="1370"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widowControl w:val="0"/>
              <w:adjustRightInd w:val="0"/>
              <w:snapToGrid w:val="0"/>
              <w:spacing w:line="240" w:lineRule="auto"/>
              <w:ind w:firstLine="0" w:firstLineChars="0"/>
              <w:jc w:val="center"/>
              <w:rPr>
                <w:rFonts w:cs="Times New Roman" w:eastAsiaTheme="minorEastAsia"/>
                <w:b/>
                <w:kern w:val="2"/>
                <w:sz w:val="21"/>
                <w:szCs w:val="21"/>
              </w:rPr>
            </w:pPr>
            <w:r>
              <w:rPr>
                <w:rFonts w:hint="eastAsia" w:cs="Times New Roman" w:eastAsiaTheme="minorEastAsia"/>
                <w:b/>
                <w:kern w:val="2"/>
                <w:sz w:val="21"/>
                <w:szCs w:val="21"/>
              </w:rPr>
              <w:t>浓度（</w:t>
            </w:r>
            <w:r>
              <w:rPr>
                <w:rFonts w:cs="Times New Roman" w:eastAsiaTheme="minorEastAsia"/>
                <w:b/>
                <w:kern w:val="2"/>
                <w:sz w:val="21"/>
                <w:szCs w:val="21"/>
              </w:rPr>
              <w:t>mg/m</w:t>
            </w:r>
            <w:r>
              <w:rPr>
                <w:rFonts w:cs="Times New Roman" w:eastAsiaTheme="minorEastAsia"/>
                <w:b/>
                <w:kern w:val="2"/>
                <w:sz w:val="21"/>
                <w:szCs w:val="21"/>
                <w:vertAlign w:val="superscript"/>
              </w:rPr>
              <w:t>3</w:t>
            </w:r>
            <w:r>
              <w:rPr>
                <w:rFonts w:hint="eastAsia" w:cs="Times New Roman" w:eastAsiaTheme="minorEastAsia"/>
                <w:b/>
                <w:kern w:val="2"/>
                <w:sz w:val="21"/>
                <w:szCs w:val="21"/>
              </w:rPr>
              <w:t>）</w:t>
            </w:r>
          </w:p>
        </w:tc>
        <w:tc>
          <w:tcPr>
            <w:tcW w:w="141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eastAsiaTheme="minorEastAsia"/>
                <w:b/>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679" w:type="dxa"/>
            <w:vMerge w:val="restart"/>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炼胶、硫化工艺废气</w:t>
            </w:r>
          </w:p>
        </w:tc>
        <w:tc>
          <w:tcPr>
            <w:tcW w:w="863"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left="-120" w:leftChars="-50" w:right="-120" w:rightChars="-50" w:firstLine="0" w:firstLineChars="0"/>
              <w:jc w:val="center"/>
              <w:rPr>
                <w:rFonts w:cs="Times New Roman" w:eastAsiaTheme="minorEastAsia"/>
                <w:kern w:val="2"/>
                <w:sz w:val="21"/>
                <w:szCs w:val="21"/>
              </w:rPr>
            </w:pPr>
            <w:r>
              <w:rPr>
                <w:rFonts w:hint="eastAsia" w:cs="Times New Roman" w:eastAsiaTheme="minorEastAsia"/>
                <w:kern w:val="2"/>
                <w:sz w:val="21"/>
                <w:szCs w:val="21"/>
              </w:rPr>
              <w:t>颗粒物</w:t>
            </w:r>
          </w:p>
        </w:tc>
        <w:tc>
          <w:tcPr>
            <w:tcW w:w="718"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15</w:t>
            </w:r>
          </w:p>
        </w:tc>
        <w:tc>
          <w:tcPr>
            <w:tcW w:w="1004"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12</w:t>
            </w:r>
          </w:p>
        </w:tc>
        <w:tc>
          <w:tcPr>
            <w:tcW w:w="1292"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hint="eastAsia" w:eastAsiaTheme="minorEastAsia"/>
                <w:sz w:val="21"/>
                <w:szCs w:val="21"/>
              </w:rPr>
              <w:t>2</w:t>
            </w:r>
            <w:r>
              <w:rPr>
                <w:rFonts w:eastAsiaTheme="minorEastAsia"/>
                <w:sz w:val="21"/>
                <w:szCs w:val="21"/>
              </w:rPr>
              <w:t>000</w:t>
            </w:r>
          </w:p>
        </w:tc>
        <w:tc>
          <w:tcPr>
            <w:tcW w:w="1006"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w:t>
            </w:r>
          </w:p>
        </w:tc>
        <w:tc>
          <w:tcPr>
            <w:tcW w:w="718" w:type="dxa"/>
            <w:vMerge w:val="restart"/>
            <w:tcBorders>
              <w:left w:val="single" w:color="auto" w:sz="4" w:space="0"/>
              <w:right w:val="single" w:color="auto" w:sz="4" w:space="0"/>
            </w:tcBorders>
            <w:vAlign w:val="center"/>
          </w:tcPr>
          <w:p>
            <w:pPr>
              <w:pStyle w:val="107"/>
            </w:pPr>
            <w:r>
              <w:rPr>
                <w:rFonts w:hint="eastAsia"/>
              </w:rPr>
              <w:t>周界外浓度最高点</w:t>
            </w:r>
          </w:p>
        </w:tc>
        <w:tc>
          <w:tcPr>
            <w:tcW w:w="1370"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1.0</w:t>
            </w:r>
          </w:p>
        </w:tc>
        <w:tc>
          <w:tcPr>
            <w:tcW w:w="1410" w:type="dxa"/>
            <w:vMerge w:val="restart"/>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left="-120" w:leftChars="-50" w:right="-120" w:rightChars="-50" w:firstLine="0" w:firstLineChars="0"/>
              <w:jc w:val="center"/>
              <w:rPr>
                <w:rFonts w:cs="Times New Roman" w:eastAsiaTheme="minorEastAsia"/>
                <w:kern w:val="2"/>
                <w:sz w:val="21"/>
                <w:szCs w:val="21"/>
              </w:rPr>
            </w:pPr>
            <w:r>
              <w:rPr>
                <w:rFonts w:cs="Times New Roman" w:eastAsiaTheme="minorEastAsia"/>
                <w:kern w:val="2"/>
                <w:sz w:val="21"/>
                <w:szCs w:val="21"/>
              </w:rPr>
              <w:t>GB 27632-2011</w:t>
            </w:r>
            <w:r>
              <w:rPr>
                <w:rFonts w:hint="eastAsia" w:cs="Times New Roman" w:eastAsiaTheme="minorEastAsia"/>
                <w:kern w:val="2"/>
                <w:sz w:val="21"/>
                <w:szCs w:val="21"/>
              </w:rPr>
              <w:t>新建企业大气污染物排放限值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679"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eastAsiaTheme="minorEastAsia"/>
                <w:kern w:val="2"/>
                <w:sz w:val="21"/>
                <w:szCs w:val="21"/>
              </w:rPr>
            </w:pPr>
          </w:p>
        </w:tc>
        <w:tc>
          <w:tcPr>
            <w:tcW w:w="863"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hint="eastAsia" w:cs="Times New Roman" w:eastAsiaTheme="minorEastAsia"/>
                <w:kern w:val="2"/>
                <w:sz w:val="21"/>
                <w:szCs w:val="21"/>
              </w:rPr>
              <w:t>非甲烷总烃</w:t>
            </w:r>
          </w:p>
        </w:tc>
        <w:tc>
          <w:tcPr>
            <w:tcW w:w="718"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15</w:t>
            </w:r>
          </w:p>
        </w:tc>
        <w:tc>
          <w:tcPr>
            <w:tcW w:w="1004"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10</w:t>
            </w:r>
          </w:p>
        </w:tc>
        <w:tc>
          <w:tcPr>
            <w:tcW w:w="1292"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eastAsiaTheme="minorEastAsia"/>
                <w:sz w:val="21"/>
                <w:szCs w:val="21"/>
              </w:rPr>
              <w:t>2000</w:t>
            </w:r>
          </w:p>
        </w:tc>
        <w:tc>
          <w:tcPr>
            <w:tcW w:w="1006"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w:t>
            </w:r>
          </w:p>
        </w:tc>
        <w:tc>
          <w:tcPr>
            <w:tcW w:w="718" w:type="dxa"/>
            <w:vMerge w:val="continue"/>
            <w:tcBorders>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eastAsiaTheme="minorEastAsia"/>
                <w:kern w:val="2"/>
                <w:sz w:val="21"/>
                <w:szCs w:val="21"/>
              </w:rPr>
            </w:pPr>
          </w:p>
        </w:tc>
        <w:tc>
          <w:tcPr>
            <w:tcW w:w="1370"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4.0</w:t>
            </w:r>
          </w:p>
        </w:tc>
        <w:tc>
          <w:tcPr>
            <w:tcW w:w="141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eastAsiaTheme="minorEastAsia"/>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679"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eastAsiaTheme="minorEastAsia"/>
                <w:kern w:val="2"/>
                <w:sz w:val="21"/>
                <w:szCs w:val="21"/>
              </w:rPr>
            </w:pPr>
          </w:p>
        </w:tc>
        <w:tc>
          <w:tcPr>
            <w:tcW w:w="863"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hint="eastAsia" w:cs="Times New Roman" w:eastAsiaTheme="minorEastAsia"/>
                <w:kern w:val="2"/>
                <w:sz w:val="21"/>
                <w:szCs w:val="21"/>
              </w:rPr>
              <w:t>硫化氢</w:t>
            </w:r>
          </w:p>
        </w:tc>
        <w:tc>
          <w:tcPr>
            <w:tcW w:w="718"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15</w:t>
            </w:r>
          </w:p>
        </w:tc>
        <w:tc>
          <w:tcPr>
            <w:tcW w:w="1004"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w:t>
            </w:r>
          </w:p>
        </w:tc>
        <w:tc>
          <w:tcPr>
            <w:tcW w:w="1292"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w:t>
            </w:r>
          </w:p>
        </w:tc>
        <w:tc>
          <w:tcPr>
            <w:tcW w:w="1006"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0.33</w:t>
            </w:r>
          </w:p>
        </w:tc>
        <w:tc>
          <w:tcPr>
            <w:tcW w:w="718" w:type="dxa"/>
            <w:vMerge w:val="restart"/>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hint="eastAsia" w:cs="Times New Roman" w:eastAsiaTheme="minorEastAsia"/>
                <w:kern w:val="2"/>
                <w:sz w:val="21"/>
                <w:szCs w:val="21"/>
              </w:rPr>
              <w:t>厂界标准值</w:t>
            </w:r>
          </w:p>
        </w:tc>
        <w:tc>
          <w:tcPr>
            <w:tcW w:w="1370"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0.06</w:t>
            </w:r>
          </w:p>
        </w:tc>
        <w:tc>
          <w:tcPr>
            <w:tcW w:w="1410" w:type="dxa"/>
            <w:vMerge w:val="restart"/>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GB 14554-93</w:t>
            </w:r>
            <w:r>
              <w:rPr>
                <w:rFonts w:hint="eastAsia" w:cs="Times New Roman" w:eastAsiaTheme="minorEastAsia"/>
                <w:kern w:val="2"/>
                <w:sz w:val="21"/>
                <w:szCs w:val="21"/>
              </w:rPr>
              <w:t>排放标准限值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679"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eastAsiaTheme="minorEastAsia"/>
                <w:kern w:val="2"/>
                <w:sz w:val="21"/>
                <w:szCs w:val="21"/>
              </w:rPr>
            </w:pPr>
          </w:p>
        </w:tc>
        <w:tc>
          <w:tcPr>
            <w:tcW w:w="863"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hint="eastAsia" w:cs="Times New Roman" w:eastAsiaTheme="minorEastAsia"/>
                <w:kern w:val="2"/>
                <w:sz w:val="21"/>
                <w:szCs w:val="21"/>
              </w:rPr>
              <w:t>臭气浓度</w:t>
            </w:r>
          </w:p>
        </w:tc>
        <w:tc>
          <w:tcPr>
            <w:tcW w:w="718" w:type="dxa"/>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15</w:t>
            </w:r>
          </w:p>
        </w:tc>
        <w:tc>
          <w:tcPr>
            <w:tcW w:w="3302" w:type="dxa"/>
            <w:gridSpan w:val="3"/>
            <w:tcBorders>
              <w:top w:val="single" w:color="auto" w:sz="4" w:space="0"/>
              <w:left w:val="single" w:color="auto" w:sz="4" w:space="0"/>
              <w:bottom w:val="single" w:color="auto" w:sz="4" w:space="0"/>
              <w:right w:val="single" w:color="auto" w:sz="4" w:space="0"/>
            </w:tcBorders>
            <w:vAlign w:val="center"/>
          </w:tcPr>
          <w:p>
            <w:pPr>
              <w:widowControl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2000</w:t>
            </w:r>
            <w:r>
              <w:rPr>
                <w:rFonts w:hint="eastAsia" w:cs="Times New Roman" w:eastAsiaTheme="minorEastAsia"/>
                <w:kern w:val="2"/>
                <w:sz w:val="21"/>
                <w:szCs w:val="21"/>
              </w:rPr>
              <w:t>（无量纲）</w:t>
            </w:r>
          </w:p>
        </w:tc>
        <w:tc>
          <w:tcPr>
            <w:tcW w:w="718"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eastAsiaTheme="minorEastAsia"/>
                <w:kern w:val="2"/>
                <w:sz w:val="21"/>
                <w:szCs w:val="21"/>
              </w:rPr>
            </w:pPr>
          </w:p>
        </w:tc>
        <w:tc>
          <w:tcPr>
            <w:tcW w:w="1370" w:type="dxa"/>
            <w:tcBorders>
              <w:top w:val="single" w:color="auto" w:sz="4" w:space="0"/>
              <w:left w:val="single" w:color="auto" w:sz="4" w:space="0"/>
              <w:bottom w:val="single" w:color="auto" w:sz="4" w:space="0"/>
              <w:right w:val="single" w:color="auto" w:sz="4" w:space="0"/>
            </w:tcBorders>
            <w:vAlign w:val="center"/>
          </w:tcPr>
          <w:p>
            <w:pPr>
              <w:widowControl w:val="0"/>
              <w:adjustRightInd w:val="0"/>
              <w:snapToGrid w:val="0"/>
              <w:spacing w:line="240" w:lineRule="auto"/>
              <w:ind w:firstLine="0" w:firstLineChars="0"/>
              <w:jc w:val="center"/>
              <w:rPr>
                <w:rFonts w:cs="Times New Roman" w:eastAsiaTheme="minorEastAsia"/>
                <w:kern w:val="2"/>
                <w:sz w:val="21"/>
                <w:szCs w:val="21"/>
              </w:rPr>
            </w:pPr>
            <w:r>
              <w:rPr>
                <w:rFonts w:cs="Times New Roman" w:eastAsiaTheme="minorEastAsia"/>
                <w:kern w:val="2"/>
                <w:sz w:val="21"/>
                <w:szCs w:val="21"/>
              </w:rPr>
              <w:t>20</w:t>
            </w:r>
            <w:r>
              <w:rPr>
                <w:rFonts w:eastAsiaTheme="minorEastAsia"/>
                <w:sz w:val="21"/>
                <w:szCs w:val="21"/>
              </w:rPr>
              <w:t>（</w:t>
            </w:r>
            <w:r>
              <w:rPr>
                <w:rFonts w:hint="eastAsia" w:eastAsiaTheme="minorEastAsia"/>
                <w:sz w:val="21"/>
                <w:szCs w:val="21"/>
              </w:rPr>
              <w:t>无量纲</w:t>
            </w:r>
            <w:r>
              <w:rPr>
                <w:rFonts w:eastAsiaTheme="minorEastAsia"/>
                <w:sz w:val="21"/>
                <w:szCs w:val="21"/>
              </w:rPr>
              <w:t>）</w:t>
            </w:r>
          </w:p>
        </w:tc>
        <w:tc>
          <w:tcPr>
            <w:tcW w:w="141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eastAsiaTheme="minorEastAsia"/>
                <w:kern w:val="2"/>
                <w:sz w:val="21"/>
                <w:szCs w:val="21"/>
              </w:rPr>
            </w:pPr>
          </w:p>
        </w:tc>
      </w:tr>
    </w:tbl>
    <w:p>
      <w:pPr>
        <w:tabs>
          <w:tab w:val="left" w:pos="480"/>
        </w:tabs>
        <w:spacing w:line="370" w:lineRule="exact"/>
        <w:ind w:firstLine="0" w:firstLineChars="0"/>
        <w:rPr>
          <w:rFonts w:cs="Times New Roman" w:eastAsiaTheme="minorEastAsia"/>
          <w:sz w:val="21"/>
          <w:szCs w:val="21"/>
        </w:rPr>
      </w:pPr>
      <w:r>
        <w:rPr>
          <w:rFonts w:cs="Times New Roman" w:eastAsiaTheme="minorEastAsia"/>
          <w:b/>
          <w:sz w:val="21"/>
          <w:szCs w:val="21"/>
        </w:rPr>
        <w:t>注</w:t>
      </w:r>
      <w:r>
        <w:rPr>
          <w:rFonts w:hint="eastAsia" w:cs="Times New Roman" w:eastAsiaTheme="minorEastAsia"/>
          <w:b/>
          <w:sz w:val="21"/>
          <w:szCs w:val="21"/>
        </w:rPr>
        <w:t>1</w:t>
      </w:r>
      <w:r>
        <w:rPr>
          <w:rFonts w:cs="Times New Roman" w:eastAsiaTheme="minorEastAsia"/>
          <w:sz w:val="21"/>
          <w:szCs w:val="21"/>
        </w:rPr>
        <w:t>：</w:t>
      </w:r>
      <w:r>
        <w:rPr>
          <w:rFonts w:hint="eastAsia" w:cs="Times New Roman" w:eastAsiaTheme="minorEastAsia"/>
          <w:sz w:val="21"/>
          <w:szCs w:val="21"/>
        </w:rPr>
        <w:t>根据《橡胶制品工业污染物排放标准》（GB 27632-2011）“4.2.8 大气污染物排放浓度限值适用于单位胶料实际排气量不高于单位胶料基准排气量的情况。”同时根据环保部《关于橡胶（轮胎）行业执行标准问题的复函》（环函〔2014〕244号），该标准中“基准排气量针对具体装置，考虑到企业对生胶可能需经过多次重复炼胶，基准排气量可以将计算炼胶次数后的总胶量作为企业用胶量进行核算，同时也应将计算炼胶次数后的总气量作为企业排气量进行核算。”</w:t>
      </w:r>
    </w:p>
    <w:p>
      <w:pPr>
        <w:tabs>
          <w:tab w:val="left" w:pos="480"/>
        </w:tabs>
        <w:spacing w:line="370" w:lineRule="exact"/>
        <w:ind w:firstLine="0" w:firstLineChars="0"/>
        <w:rPr>
          <w:rFonts w:cs="Times New Roman" w:eastAsiaTheme="minorEastAsia"/>
          <w:sz w:val="21"/>
          <w:szCs w:val="21"/>
        </w:rPr>
      </w:pPr>
      <w:r>
        <w:rPr>
          <w:rFonts w:hint="eastAsia" w:cs="Times New Roman" w:eastAsiaTheme="minorEastAsia"/>
          <w:b/>
          <w:sz w:val="21"/>
          <w:szCs w:val="21"/>
        </w:rPr>
        <w:t>注2</w:t>
      </w:r>
      <w:r>
        <w:rPr>
          <w:rFonts w:hint="eastAsia" w:cs="Times New Roman" w:eastAsiaTheme="minorEastAsia"/>
          <w:sz w:val="21"/>
          <w:szCs w:val="21"/>
        </w:rPr>
        <w:t>：</w:t>
      </w:r>
      <w:r>
        <w:rPr>
          <w:rFonts w:cs="Times New Roman" w:eastAsiaTheme="minorEastAsia"/>
          <w:sz w:val="21"/>
          <w:szCs w:val="21"/>
        </w:rPr>
        <w:t>根据《橡胶制品工业污染物排放标准》（GB 27632-2011），产生大气污染物的生产工艺和装置必须设立局部或整体气体收集系统和集中净化处理装置，达标排放。所有排气筒高度应不低于15m，排气筒周围半径200 m范围内有建筑物时，排气筒高度还应高出最高建筑物3m以上</w:t>
      </w:r>
      <w:r>
        <w:rPr>
          <w:rFonts w:hint="eastAsia" w:cs="Times New Roman" w:eastAsiaTheme="minorEastAsia"/>
          <w:sz w:val="21"/>
          <w:szCs w:val="21"/>
        </w:rPr>
        <w:t>；</w:t>
      </w:r>
    </w:p>
    <w:p>
      <w:pPr>
        <w:tabs>
          <w:tab w:val="left" w:pos="480"/>
        </w:tabs>
        <w:spacing w:line="370" w:lineRule="exact"/>
        <w:ind w:firstLine="0" w:firstLineChars="0"/>
        <w:rPr>
          <w:rFonts w:cs="Times New Roman" w:eastAsiaTheme="minorEastAsia"/>
          <w:sz w:val="21"/>
          <w:szCs w:val="21"/>
        </w:rPr>
      </w:pPr>
      <w:r>
        <w:rPr>
          <w:rFonts w:cs="Times New Roman" w:eastAsiaTheme="minorEastAsia"/>
          <w:b/>
          <w:sz w:val="21"/>
          <w:szCs w:val="21"/>
        </w:rPr>
        <w:t>注3</w:t>
      </w:r>
      <w:r>
        <w:rPr>
          <w:rFonts w:cs="Times New Roman" w:eastAsiaTheme="minorEastAsia"/>
          <w:sz w:val="21"/>
          <w:szCs w:val="21"/>
        </w:rPr>
        <w:t>：根据《大气污染物排放限值》（DB44/27-2001），废气排放高度</w:t>
      </w:r>
      <w:r>
        <w:rPr>
          <w:rFonts w:hint="eastAsia" w:cs="Times New Roman" w:eastAsiaTheme="minorEastAsia"/>
          <w:sz w:val="21"/>
          <w:szCs w:val="21"/>
        </w:rPr>
        <w:t>应</w:t>
      </w:r>
      <w:r>
        <w:rPr>
          <w:rFonts w:cs="Times New Roman" w:eastAsiaTheme="minorEastAsia"/>
          <w:sz w:val="21"/>
          <w:szCs w:val="21"/>
        </w:rPr>
        <w:t>满足高出周围的200m 半径范围的建设5m以上的要求，</w:t>
      </w:r>
      <w:r>
        <w:rPr>
          <w:rFonts w:hint="eastAsia" w:cs="Times New Roman" w:eastAsiaTheme="minorEastAsia"/>
          <w:sz w:val="21"/>
          <w:szCs w:val="21"/>
        </w:rPr>
        <w:t>本项目排气筒高度15m，满足要求。</w:t>
      </w:r>
    </w:p>
    <w:p>
      <w:pPr>
        <w:pStyle w:val="2"/>
      </w:pPr>
    </w:p>
    <w:p>
      <w:pPr>
        <w:pStyle w:val="6"/>
      </w:pPr>
      <w:r>
        <w:t>噪声排放标准</w:t>
      </w:r>
    </w:p>
    <w:p>
      <w:pPr>
        <w:ind w:firstLine="480"/>
        <w:rPr>
          <w:rFonts w:eastAsiaTheme="minorEastAsia"/>
        </w:rPr>
      </w:pPr>
      <w:r>
        <w:rPr>
          <w:rFonts w:eastAsiaTheme="minorEastAsia"/>
        </w:rPr>
        <w:t>营运期厂界噪声执行</w:t>
      </w:r>
      <w:bookmarkStart w:id="108" w:name="OLE_LINK8"/>
      <w:r>
        <w:rPr>
          <w:rFonts w:eastAsiaTheme="minorEastAsia"/>
        </w:rPr>
        <w:t>《工业企业厂界环境噪声排放标准》（GB 12348-2008）中</w:t>
      </w:r>
      <w:r>
        <w:rPr>
          <w:rFonts w:hint="eastAsia" w:eastAsiaTheme="minorEastAsia"/>
        </w:rPr>
        <w:t>2</w:t>
      </w:r>
      <w:r>
        <w:rPr>
          <w:rFonts w:eastAsiaTheme="minorEastAsia"/>
        </w:rPr>
        <w:t>类区标准</w:t>
      </w:r>
      <w:bookmarkEnd w:id="108"/>
      <w:r>
        <w:rPr>
          <w:rFonts w:hint="eastAsia" w:eastAsiaTheme="minorEastAsia"/>
        </w:rPr>
        <w:t>，其标准值为：昼间≤6</w:t>
      </w:r>
      <w:r>
        <w:rPr>
          <w:rFonts w:eastAsiaTheme="minorEastAsia"/>
        </w:rPr>
        <w:t>0</w:t>
      </w:r>
      <w:r>
        <w:rPr>
          <w:rFonts w:hint="eastAsia" w:eastAsiaTheme="minorEastAsia"/>
        </w:rPr>
        <w:t>d</w:t>
      </w:r>
      <w:r>
        <w:rPr>
          <w:rFonts w:eastAsiaTheme="minorEastAsia"/>
        </w:rPr>
        <w:t>B(A</w:t>
      </w:r>
      <w:r>
        <w:rPr>
          <w:rFonts w:hint="eastAsia" w:eastAsiaTheme="minorEastAsia"/>
        </w:rPr>
        <w:t>)，夜间≤</w:t>
      </w:r>
      <w:r>
        <w:rPr>
          <w:rFonts w:eastAsiaTheme="minorEastAsia"/>
        </w:rPr>
        <w:t>50</w:t>
      </w:r>
      <w:r>
        <w:rPr>
          <w:rFonts w:hint="eastAsia" w:eastAsiaTheme="minorEastAsia"/>
        </w:rPr>
        <w:t>d</w:t>
      </w:r>
      <w:r>
        <w:rPr>
          <w:rFonts w:eastAsiaTheme="minorEastAsia"/>
        </w:rPr>
        <w:t>B(A</w:t>
      </w:r>
      <w:r>
        <w:rPr>
          <w:rFonts w:hint="eastAsia" w:eastAsiaTheme="minorEastAsia"/>
        </w:rPr>
        <w:t>)。</w:t>
      </w:r>
    </w:p>
    <w:p>
      <w:pPr>
        <w:pStyle w:val="6"/>
      </w:pPr>
      <w:r>
        <w:t>固体废弃物</w:t>
      </w:r>
    </w:p>
    <w:p>
      <w:pPr>
        <w:ind w:firstLine="480"/>
        <w:rPr>
          <w:rFonts w:eastAsiaTheme="minorEastAsia"/>
        </w:rPr>
      </w:pPr>
      <w:r>
        <w:rPr>
          <w:rFonts w:eastAsiaTheme="minorEastAsia"/>
        </w:rPr>
        <w:t>一般工业固体废物贮存、处置执行</w:t>
      </w:r>
      <w:r>
        <w:rPr>
          <w:rFonts w:eastAsiaTheme="minorEastAsia"/>
          <w:szCs w:val="21"/>
        </w:rPr>
        <w:t>符合</w:t>
      </w:r>
      <w:r>
        <w:rPr>
          <w:rFonts w:hint="eastAsia" w:eastAsiaTheme="minorEastAsia"/>
          <w:szCs w:val="21"/>
        </w:rPr>
        <w:t>《固体废物处理处置工程技术导则》（HJ 2035-2013）、</w:t>
      </w:r>
      <w:r>
        <w:rPr>
          <w:rFonts w:eastAsiaTheme="minorEastAsia"/>
          <w:szCs w:val="21"/>
        </w:rPr>
        <w:t>《一般工业固体废物贮存、处置场污染控制标准</w:t>
      </w:r>
      <w:r>
        <w:rPr>
          <w:rFonts w:hint="eastAsia" w:eastAsiaTheme="minorEastAsia"/>
          <w:szCs w:val="22"/>
        </w:rPr>
        <w:t>》（</w:t>
      </w:r>
      <w:r>
        <w:rPr>
          <w:rFonts w:eastAsiaTheme="minorEastAsia"/>
          <w:szCs w:val="22"/>
        </w:rPr>
        <w:t>GB 18599-2001</w:t>
      </w:r>
      <w:r>
        <w:rPr>
          <w:rFonts w:hint="eastAsia" w:eastAsiaTheme="minorEastAsia"/>
          <w:szCs w:val="22"/>
        </w:rPr>
        <w:t>）及2</w:t>
      </w:r>
      <w:r>
        <w:rPr>
          <w:rFonts w:eastAsiaTheme="minorEastAsia"/>
          <w:szCs w:val="22"/>
        </w:rPr>
        <w:t>013</w:t>
      </w:r>
      <w:r>
        <w:rPr>
          <w:rFonts w:hint="eastAsia" w:eastAsiaTheme="minorEastAsia"/>
          <w:szCs w:val="22"/>
        </w:rPr>
        <w:t>年修改单</w:t>
      </w:r>
      <w:r>
        <w:rPr>
          <w:rFonts w:eastAsiaTheme="minorEastAsia"/>
          <w:szCs w:val="21"/>
        </w:rPr>
        <w:t>要求</w:t>
      </w:r>
      <w:r>
        <w:rPr>
          <w:rFonts w:hint="eastAsia" w:eastAsiaTheme="minorEastAsia"/>
          <w:szCs w:val="21"/>
        </w:rPr>
        <w:t>；</w:t>
      </w:r>
      <w:r>
        <w:rPr>
          <w:rFonts w:eastAsiaTheme="minorEastAsia"/>
        </w:rPr>
        <w:t>危险废物贮存执行</w:t>
      </w:r>
      <w:r>
        <w:rPr>
          <w:rFonts w:eastAsiaTheme="minorEastAsia"/>
          <w:szCs w:val="21"/>
        </w:rPr>
        <w:t>按照《国家危险</w:t>
      </w:r>
      <w:r>
        <w:rPr>
          <w:rFonts w:eastAsiaTheme="minorEastAsia"/>
        </w:rPr>
        <w:t>废物名录》（2016年版）要求管理，符合《危险废物贮存污染控制标准</w:t>
      </w:r>
      <w:r>
        <w:rPr>
          <w:rFonts w:hint="eastAsia" w:eastAsiaTheme="minorEastAsia"/>
          <w:szCs w:val="22"/>
        </w:rPr>
        <w:t>》（GB</w:t>
      </w:r>
      <w:r>
        <w:rPr>
          <w:rFonts w:eastAsiaTheme="minorEastAsia"/>
          <w:szCs w:val="22"/>
        </w:rPr>
        <w:t xml:space="preserve"> </w:t>
      </w:r>
      <w:r>
        <w:rPr>
          <w:rFonts w:hint="eastAsia" w:eastAsiaTheme="minorEastAsia"/>
          <w:szCs w:val="22"/>
        </w:rPr>
        <w:t>18597－2001）及2013年修改单</w:t>
      </w:r>
      <w:r>
        <w:rPr>
          <w:rFonts w:eastAsiaTheme="minorEastAsia"/>
        </w:rPr>
        <w:t>要求。</w:t>
      </w:r>
    </w:p>
    <w:p>
      <w:pPr>
        <w:pStyle w:val="4"/>
      </w:pPr>
      <w:bookmarkStart w:id="109" w:name="_Toc293409675"/>
      <w:bookmarkStart w:id="110" w:name="_Toc5787"/>
      <w:bookmarkStart w:id="111" w:name="_Toc27481"/>
      <w:bookmarkStart w:id="112" w:name="_Toc331536089"/>
      <w:bookmarkStart w:id="113" w:name="_Toc329784181"/>
      <w:bookmarkStart w:id="114" w:name="_Toc293410065"/>
      <w:bookmarkStart w:id="115" w:name="_Toc293409813"/>
      <w:bookmarkStart w:id="116" w:name="_Toc297650729"/>
      <w:bookmarkStart w:id="117" w:name="_Toc306606124"/>
      <w:bookmarkStart w:id="118" w:name="_Toc3538775"/>
      <w:r>
        <w:t>评价</w:t>
      </w:r>
      <w:r>
        <w:rPr>
          <w:rFonts w:hint="eastAsia"/>
        </w:rPr>
        <w:t>工作</w:t>
      </w:r>
      <w:r>
        <w:t>等级</w:t>
      </w:r>
      <w:bookmarkEnd w:id="109"/>
      <w:bookmarkEnd w:id="110"/>
      <w:bookmarkEnd w:id="111"/>
      <w:bookmarkEnd w:id="112"/>
      <w:bookmarkEnd w:id="113"/>
      <w:bookmarkEnd w:id="114"/>
      <w:bookmarkEnd w:id="115"/>
      <w:bookmarkEnd w:id="116"/>
      <w:bookmarkEnd w:id="117"/>
      <w:r>
        <w:rPr>
          <w:rFonts w:hint="eastAsia"/>
        </w:rPr>
        <w:t>和评价范围</w:t>
      </w:r>
      <w:bookmarkEnd w:id="118"/>
    </w:p>
    <w:p>
      <w:pPr>
        <w:pStyle w:val="5"/>
      </w:pPr>
      <w:r>
        <w:rPr>
          <w:rFonts w:hint="eastAsia"/>
        </w:rPr>
        <w:t>地表水环境影响评价等级和范围</w:t>
      </w:r>
    </w:p>
    <w:p>
      <w:pPr>
        <w:ind w:firstLine="482"/>
        <w:rPr>
          <w:rFonts w:eastAsiaTheme="minorEastAsia"/>
          <w:color w:val="000000" w:themeColor="text1"/>
          <w14:textFill>
            <w14:solidFill>
              <w14:schemeClr w14:val="tx1"/>
            </w14:solidFill>
          </w14:textFill>
        </w:rPr>
      </w:pPr>
      <w:r>
        <w:rPr>
          <w:rStyle w:val="59"/>
          <w:rFonts w:hint="eastAsia"/>
        </w:rPr>
        <w:t>评价等级</w:t>
      </w:r>
      <w:r>
        <w:rPr>
          <w:rFonts w:hint="eastAsia" w:eastAsiaTheme="minorEastAsia"/>
          <w:color w:val="000000" w:themeColor="text1"/>
          <w14:textFill>
            <w14:solidFill>
              <w14:schemeClr w14:val="tx1"/>
            </w14:solidFill>
          </w14:textFill>
        </w:rPr>
        <w:t>：根据</w:t>
      </w:r>
      <w:r>
        <w:rPr>
          <w:rFonts w:eastAsiaTheme="minorEastAsia"/>
          <w:color w:val="000000" w:themeColor="text1"/>
          <w14:textFill>
            <w14:solidFill>
              <w14:schemeClr w14:val="tx1"/>
            </w14:solidFill>
          </w14:textFill>
        </w:rPr>
        <w:t>《环境影响评价技术导则</w:t>
      </w:r>
      <w:r>
        <w:rPr>
          <w:rFonts w:hint="eastAsia" w:eastAsiaTheme="minorEastAsia"/>
          <w:color w:val="000000" w:themeColor="text1"/>
          <w14:textFill>
            <w14:solidFill>
              <w14:schemeClr w14:val="tx1"/>
            </w14:solidFill>
          </w14:textFill>
        </w:rPr>
        <w:t xml:space="preserve"> </w:t>
      </w:r>
      <w:r>
        <w:rPr>
          <w:rFonts w:eastAsiaTheme="minorEastAsia"/>
          <w:color w:val="000000" w:themeColor="text1"/>
          <w14:textFill>
            <w14:solidFill>
              <w14:schemeClr w14:val="tx1"/>
            </w14:solidFill>
          </w14:textFill>
        </w:rPr>
        <w:t>地面水环境》（HJ 2.3-2018）</w:t>
      </w:r>
      <w:r>
        <w:rPr>
          <w:rFonts w:hint="eastAsia" w:eastAsiaTheme="minorEastAsia"/>
          <w:color w:val="000000" w:themeColor="text1"/>
          <w14:textFill>
            <w14:solidFill>
              <w14:schemeClr w14:val="tx1"/>
            </w14:solidFill>
          </w14:textFill>
        </w:rPr>
        <w:t>关于评价等级的划分方法</w:t>
      </w:r>
      <w:r>
        <w:rPr>
          <w:rFonts w:eastAsiaTheme="minorEastAsia"/>
          <w:color w:val="000000" w:themeColor="text1"/>
          <w14:textFill>
            <w14:solidFill>
              <w14:schemeClr w14:val="tx1"/>
            </w14:solidFill>
          </w14:textFill>
        </w:rPr>
        <w:t>，</w:t>
      </w:r>
      <w:r>
        <w:rPr>
          <w:rFonts w:hint="eastAsia" w:eastAsiaTheme="minorEastAsia"/>
          <w:color w:val="000000" w:themeColor="text1"/>
          <w14:textFill>
            <w14:solidFill>
              <w14:schemeClr w14:val="tx1"/>
            </w14:solidFill>
          </w14:textFill>
        </w:rPr>
        <w:t>建设项目地表水环境影响评价等级按照影响类型、排放方式、排放量或影响情况、受纳水体环境质量现状、水环境保护目标等综合确定。</w:t>
      </w:r>
    </w:p>
    <w:p>
      <w:pPr>
        <w:ind w:firstLine="48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水污染影响型建设项目根据排放方式和度水排放量划分评价等级，见表1.5-</w:t>
      </w:r>
      <w:r>
        <w:rPr>
          <w:rFonts w:eastAsiaTheme="minorEastAsia"/>
          <w:color w:val="000000" w:themeColor="text1"/>
          <w14:textFill>
            <w14:solidFill>
              <w14:schemeClr w14:val="tx1"/>
            </w14:solidFill>
          </w14:textFill>
        </w:rPr>
        <w:t>1</w:t>
      </w:r>
      <w:r>
        <w:rPr>
          <w:rFonts w:hint="eastAsia" w:eastAsiaTheme="minorEastAsia"/>
          <w:color w:val="000000" w:themeColor="text1"/>
          <w14:textFill>
            <w14:solidFill>
              <w14:schemeClr w14:val="tx1"/>
            </w14:solidFill>
          </w14:textFill>
        </w:rPr>
        <w:t>。</w:t>
      </w:r>
    </w:p>
    <w:p>
      <w:pPr>
        <w:ind w:firstLine="48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直接排放建设项目评价等级分为一级、二级和三级A，根据废水排放量、水污染物污染当量数确定;间接排放建设项目评价等级为三级B</w:t>
      </w:r>
      <w:r>
        <w:rPr>
          <w:rFonts w:eastAsiaTheme="minorEastAsia"/>
          <w:color w:val="000000" w:themeColor="text1"/>
          <w14:textFill>
            <w14:solidFill>
              <w14:schemeClr w14:val="tx1"/>
            </w14:solidFill>
          </w14:textFill>
        </w:rPr>
        <w:t>.</w:t>
      </w:r>
    </w:p>
    <w:p>
      <w:pPr>
        <w:ind w:firstLine="482"/>
        <w:jc w:val="center"/>
        <w:rPr>
          <w:rFonts w:eastAsiaTheme="minorEastAsia"/>
          <w:b/>
          <w:color w:val="000000" w:themeColor="text1"/>
          <w14:textFill>
            <w14:solidFill>
              <w14:schemeClr w14:val="tx1"/>
            </w14:solidFill>
          </w14:textFill>
        </w:rPr>
      </w:pPr>
      <w:r>
        <w:rPr>
          <w:rFonts w:hint="eastAsia" w:eastAsiaTheme="minorEastAsia"/>
          <w:b/>
          <w:color w:val="000000" w:themeColor="text1"/>
          <w14:textFill>
            <w14:solidFill>
              <w14:schemeClr w14:val="tx1"/>
            </w14:solidFill>
          </w14:textFill>
        </w:rPr>
        <w:t>表1</w:t>
      </w:r>
      <w:r>
        <w:rPr>
          <w:rFonts w:eastAsiaTheme="minorEastAsia"/>
          <w:b/>
          <w:color w:val="000000" w:themeColor="text1"/>
          <w14:textFill>
            <w14:solidFill>
              <w14:schemeClr w14:val="tx1"/>
            </w14:solidFill>
          </w14:textFill>
        </w:rPr>
        <w:t xml:space="preserve">.5-1 </w:t>
      </w:r>
      <w:r>
        <w:rPr>
          <w:rFonts w:hint="eastAsia" w:eastAsiaTheme="minorEastAsia"/>
          <w:b/>
          <w:color w:val="000000" w:themeColor="text1"/>
          <w14:textFill>
            <w14:solidFill>
              <w14:schemeClr w14:val="tx1"/>
            </w14:solidFill>
          </w14:textFill>
        </w:rPr>
        <w:t>水污染影响型建设项目评价等级判定</w:t>
      </w:r>
    </w:p>
    <w:tbl>
      <w:tblPr>
        <w:tblStyle w:val="57"/>
        <w:tblW w:w="9060"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696"/>
        <w:gridCol w:w="2410"/>
        <w:gridCol w:w="495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696" w:type="dxa"/>
            <w:vMerge w:val="restart"/>
          </w:tcPr>
          <w:p>
            <w:pPr>
              <w:pStyle w:val="2"/>
              <w:jc w:val="center"/>
              <w:rPr>
                <w:rFonts w:eastAsiaTheme="minorEastAsia"/>
                <w:sz w:val="21"/>
                <w:szCs w:val="21"/>
              </w:rPr>
            </w:pPr>
            <w:r>
              <w:rPr>
                <w:rFonts w:hint="eastAsia" w:eastAsiaTheme="minorEastAsia"/>
                <w:sz w:val="21"/>
                <w:szCs w:val="21"/>
              </w:rPr>
              <w:t>评价等级</w:t>
            </w:r>
          </w:p>
        </w:tc>
        <w:tc>
          <w:tcPr>
            <w:tcW w:w="7364" w:type="dxa"/>
            <w:gridSpan w:val="2"/>
          </w:tcPr>
          <w:p>
            <w:pPr>
              <w:pStyle w:val="2"/>
              <w:jc w:val="center"/>
              <w:rPr>
                <w:rFonts w:eastAsia="Times New Roman"/>
                <w:sz w:val="21"/>
                <w:szCs w:val="21"/>
              </w:rPr>
            </w:pPr>
            <w:r>
              <w:rPr>
                <w:rFonts w:hint="eastAsia" w:hAnsi="宋体" w:eastAsia="宋体"/>
                <w:sz w:val="21"/>
                <w:szCs w:val="21"/>
              </w:rPr>
              <w:t>判定依据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696" w:type="dxa"/>
            <w:vMerge w:val="continue"/>
          </w:tcPr>
          <w:p>
            <w:pPr>
              <w:pStyle w:val="2"/>
              <w:jc w:val="center"/>
              <w:rPr>
                <w:rFonts w:eastAsia="Times New Roman"/>
                <w:sz w:val="21"/>
                <w:szCs w:val="21"/>
              </w:rPr>
            </w:pPr>
          </w:p>
        </w:tc>
        <w:tc>
          <w:tcPr>
            <w:tcW w:w="2410" w:type="dxa"/>
          </w:tcPr>
          <w:p>
            <w:pPr>
              <w:pStyle w:val="2"/>
              <w:jc w:val="center"/>
              <w:rPr>
                <w:rFonts w:eastAsia="Times New Roman"/>
                <w:sz w:val="21"/>
                <w:szCs w:val="21"/>
              </w:rPr>
            </w:pPr>
            <w:r>
              <w:rPr>
                <w:rFonts w:hint="eastAsia" w:hAnsi="宋体" w:eastAsia="宋体"/>
                <w:sz w:val="21"/>
                <w:szCs w:val="21"/>
              </w:rPr>
              <w:t>排放方式</w:t>
            </w:r>
          </w:p>
        </w:tc>
        <w:tc>
          <w:tcPr>
            <w:tcW w:w="4954" w:type="dxa"/>
          </w:tcPr>
          <w:p>
            <w:pPr>
              <w:pStyle w:val="2"/>
              <w:jc w:val="center"/>
              <w:rPr>
                <w:rFonts w:hAnsi="宋体" w:eastAsia="宋体"/>
                <w:sz w:val="21"/>
                <w:szCs w:val="21"/>
              </w:rPr>
            </w:pPr>
            <w:r>
              <w:rPr>
                <w:rFonts w:hint="eastAsia" w:hAnsi="宋体" w:eastAsia="宋体"/>
                <w:sz w:val="21"/>
                <w:szCs w:val="21"/>
              </w:rPr>
              <w:t>废水排放量Q</w:t>
            </w:r>
            <w:r>
              <w:rPr>
                <w:rFonts w:hAnsi="宋体" w:eastAsia="宋体"/>
                <w:sz w:val="21"/>
                <w:szCs w:val="21"/>
              </w:rPr>
              <w:t>/m3/d;</w:t>
            </w:r>
          </w:p>
          <w:p>
            <w:pPr>
              <w:pStyle w:val="2"/>
              <w:jc w:val="center"/>
              <w:rPr>
                <w:rFonts w:eastAsiaTheme="minorEastAsia"/>
                <w:sz w:val="21"/>
                <w:szCs w:val="21"/>
              </w:rPr>
            </w:pPr>
            <w:r>
              <w:rPr>
                <w:rFonts w:hint="eastAsia" w:eastAsiaTheme="minorEastAsia"/>
                <w:sz w:val="21"/>
                <w:szCs w:val="21"/>
              </w:rPr>
              <w:t>水污染物当量W</w:t>
            </w:r>
            <w:r>
              <w:rPr>
                <w:rFonts w:eastAsiaTheme="minorEastAsia"/>
                <w:sz w:val="21"/>
                <w:szCs w:val="21"/>
              </w:rPr>
              <w:t>/</w:t>
            </w:r>
            <w:r>
              <w:rPr>
                <w:rFonts w:hint="eastAsia" w:eastAsiaTheme="minorEastAsia"/>
                <w:sz w:val="21"/>
                <w:szCs w:val="21"/>
              </w:rPr>
              <w:t>（无量纲）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696" w:type="dxa"/>
          </w:tcPr>
          <w:p>
            <w:pPr>
              <w:pStyle w:val="2"/>
              <w:jc w:val="center"/>
              <w:rPr>
                <w:rFonts w:eastAsia="Times New Roman"/>
                <w:sz w:val="21"/>
                <w:szCs w:val="21"/>
              </w:rPr>
            </w:pPr>
            <w:r>
              <w:rPr>
                <w:rFonts w:hint="eastAsia" w:hAnsi="宋体" w:eastAsia="宋体"/>
                <w:sz w:val="21"/>
                <w:szCs w:val="21"/>
              </w:rPr>
              <w:t>一级</w:t>
            </w:r>
          </w:p>
        </w:tc>
        <w:tc>
          <w:tcPr>
            <w:tcW w:w="2410" w:type="dxa"/>
          </w:tcPr>
          <w:p>
            <w:pPr>
              <w:pStyle w:val="2"/>
              <w:jc w:val="center"/>
              <w:rPr>
                <w:rFonts w:eastAsia="Times New Roman"/>
                <w:sz w:val="21"/>
                <w:szCs w:val="21"/>
              </w:rPr>
            </w:pPr>
            <w:r>
              <w:rPr>
                <w:rFonts w:hint="eastAsia" w:hAnsi="宋体" w:eastAsia="宋体"/>
                <w:sz w:val="21"/>
                <w:szCs w:val="21"/>
              </w:rPr>
              <w:t>直接排放</w:t>
            </w:r>
          </w:p>
        </w:tc>
        <w:tc>
          <w:tcPr>
            <w:tcW w:w="4954" w:type="dxa"/>
          </w:tcPr>
          <w:p>
            <w:pPr>
              <w:pStyle w:val="2"/>
              <w:jc w:val="center"/>
              <w:rPr>
                <w:rFonts w:eastAsiaTheme="minorEastAsia"/>
                <w:sz w:val="21"/>
                <w:szCs w:val="21"/>
              </w:rPr>
            </w:pPr>
            <w:r>
              <w:rPr>
                <w:rFonts w:hint="eastAsia" w:eastAsiaTheme="minorEastAsia"/>
                <w:sz w:val="21"/>
                <w:szCs w:val="21"/>
              </w:rPr>
              <w:t>Q</w:t>
            </w:r>
            <w:r>
              <w:rPr>
                <w:rFonts w:hint="eastAsia" w:hAnsi="宋体" w:eastAsia="宋体"/>
                <w:sz w:val="21"/>
                <w:szCs w:val="21"/>
              </w:rPr>
              <w:t>≥</w:t>
            </w:r>
            <w:r>
              <w:rPr>
                <w:rFonts w:eastAsiaTheme="minorEastAsia"/>
                <w:sz w:val="21"/>
                <w:szCs w:val="21"/>
              </w:rPr>
              <w:t>20000</w:t>
            </w:r>
            <w:r>
              <w:rPr>
                <w:rFonts w:hint="eastAsia" w:eastAsiaTheme="minorEastAsia"/>
                <w:sz w:val="21"/>
                <w:szCs w:val="21"/>
              </w:rPr>
              <w:t>或W</w:t>
            </w:r>
            <w:r>
              <w:rPr>
                <w:rFonts w:hint="eastAsia" w:hAnsi="宋体" w:eastAsia="宋体"/>
                <w:sz w:val="21"/>
                <w:szCs w:val="21"/>
              </w:rPr>
              <w:t>≥</w:t>
            </w:r>
            <w:r>
              <w:rPr>
                <w:rFonts w:eastAsiaTheme="minorEastAsia"/>
                <w:sz w:val="21"/>
                <w:szCs w:val="21"/>
              </w:rPr>
              <w:t>600000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696" w:type="dxa"/>
          </w:tcPr>
          <w:p>
            <w:pPr>
              <w:pStyle w:val="2"/>
              <w:jc w:val="center"/>
              <w:rPr>
                <w:rFonts w:eastAsia="Times New Roman"/>
                <w:sz w:val="21"/>
                <w:szCs w:val="21"/>
              </w:rPr>
            </w:pPr>
            <w:r>
              <w:rPr>
                <w:rFonts w:hint="eastAsia" w:hAnsi="宋体" w:eastAsia="宋体"/>
                <w:sz w:val="21"/>
                <w:szCs w:val="21"/>
              </w:rPr>
              <w:t>二级</w:t>
            </w:r>
          </w:p>
        </w:tc>
        <w:tc>
          <w:tcPr>
            <w:tcW w:w="2410" w:type="dxa"/>
          </w:tcPr>
          <w:p>
            <w:pPr>
              <w:pStyle w:val="2"/>
              <w:jc w:val="center"/>
              <w:rPr>
                <w:rFonts w:eastAsia="Times New Roman"/>
                <w:sz w:val="21"/>
                <w:szCs w:val="21"/>
              </w:rPr>
            </w:pPr>
            <w:r>
              <w:rPr>
                <w:rFonts w:hint="eastAsia" w:hAnsi="宋体" w:eastAsia="宋体"/>
                <w:sz w:val="21"/>
                <w:szCs w:val="21"/>
              </w:rPr>
              <w:t>直接排放</w:t>
            </w:r>
          </w:p>
        </w:tc>
        <w:tc>
          <w:tcPr>
            <w:tcW w:w="4954" w:type="dxa"/>
          </w:tcPr>
          <w:p>
            <w:pPr>
              <w:pStyle w:val="2"/>
              <w:jc w:val="center"/>
              <w:rPr>
                <w:rFonts w:eastAsia="Times New Roman"/>
                <w:sz w:val="21"/>
                <w:szCs w:val="21"/>
              </w:rPr>
            </w:pPr>
            <w:r>
              <w:rPr>
                <w:rFonts w:hint="eastAsia" w:hAnsi="宋体" w:eastAsia="宋体"/>
                <w:sz w:val="21"/>
                <w:szCs w:val="21"/>
              </w:rPr>
              <w:t>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696" w:type="dxa"/>
          </w:tcPr>
          <w:p>
            <w:pPr>
              <w:pStyle w:val="2"/>
              <w:jc w:val="center"/>
              <w:rPr>
                <w:rFonts w:eastAsia="Times New Roman"/>
                <w:sz w:val="21"/>
                <w:szCs w:val="21"/>
              </w:rPr>
            </w:pPr>
            <w:r>
              <w:rPr>
                <w:rFonts w:hint="eastAsia" w:hAnsi="宋体" w:eastAsia="宋体"/>
                <w:sz w:val="21"/>
                <w:szCs w:val="21"/>
              </w:rPr>
              <w:t>三级A</w:t>
            </w:r>
          </w:p>
        </w:tc>
        <w:tc>
          <w:tcPr>
            <w:tcW w:w="2410" w:type="dxa"/>
          </w:tcPr>
          <w:p>
            <w:pPr>
              <w:pStyle w:val="2"/>
              <w:jc w:val="center"/>
              <w:rPr>
                <w:rFonts w:eastAsia="Times New Roman"/>
                <w:sz w:val="21"/>
                <w:szCs w:val="21"/>
              </w:rPr>
            </w:pPr>
            <w:r>
              <w:rPr>
                <w:rFonts w:hint="eastAsia" w:hAnsi="宋体" w:eastAsia="宋体"/>
                <w:sz w:val="21"/>
                <w:szCs w:val="21"/>
              </w:rPr>
              <w:t>直接排放</w:t>
            </w:r>
          </w:p>
        </w:tc>
        <w:tc>
          <w:tcPr>
            <w:tcW w:w="4954" w:type="dxa"/>
          </w:tcPr>
          <w:p>
            <w:pPr>
              <w:pStyle w:val="2"/>
              <w:jc w:val="center"/>
              <w:rPr>
                <w:rFonts w:eastAsia="Times New Roman"/>
                <w:sz w:val="21"/>
                <w:szCs w:val="21"/>
              </w:rPr>
            </w:pPr>
            <w:r>
              <w:rPr>
                <w:rFonts w:hint="eastAsia" w:eastAsiaTheme="minorEastAsia"/>
                <w:sz w:val="21"/>
                <w:szCs w:val="21"/>
              </w:rPr>
              <w:t>Q</w:t>
            </w:r>
            <w:r>
              <w:rPr>
                <w:rFonts w:hint="eastAsia" w:hAnsi="宋体" w:eastAsia="宋体"/>
                <w:sz w:val="21"/>
                <w:szCs w:val="21"/>
              </w:rPr>
              <w:t>＜</w:t>
            </w:r>
            <w:r>
              <w:rPr>
                <w:rFonts w:eastAsiaTheme="minorEastAsia"/>
                <w:sz w:val="21"/>
                <w:szCs w:val="21"/>
              </w:rPr>
              <w:t>200</w:t>
            </w:r>
            <w:r>
              <w:rPr>
                <w:rFonts w:hint="eastAsia" w:eastAsiaTheme="minorEastAsia"/>
                <w:sz w:val="21"/>
                <w:szCs w:val="21"/>
              </w:rPr>
              <w:t>且</w:t>
            </w:r>
            <w:r>
              <w:rPr>
                <w:rFonts w:eastAsiaTheme="minorEastAsia"/>
                <w:sz w:val="21"/>
                <w:szCs w:val="21"/>
              </w:rPr>
              <w:t>W</w:t>
            </w:r>
            <w:r>
              <w:rPr>
                <w:rFonts w:hint="eastAsia" w:hAnsi="宋体" w:eastAsia="宋体"/>
                <w:sz w:val="21"/>
                <w:szCs w:val="21"/>
              </w:rPr>
              <w:t>＜</w:t>
            </w:r>
            <w:r>
              <w:rPr>
                <w:rFonts w:eastAsiaTheme="minorEastAsia"/>
                <w:sz w:val="21"/>
                <w:szCs w:val="21"/>
              </w:rPr>
              <w:t>6000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696" w:type="dxa"/>
          </w:tcPr>
          <w:p>
            <w:pPr>
              <w:pStyle w:val="2"/>
              <w:jc w:val="center"/>
              <w:rPr>
                <w:rFonts w:eastAsia="Times New Roman"/>
                <w:sz w:val="21"/>
                <w:szCs w:val="21"/>
              </w:rPr>
            </w:pPr>
            <w:r>
              <w:rPr>
                <w:rFonts w:hint="eastAsia" w:hAnsi="宋体" w:eastAsia="宋体"/>
                <w:sz w:val="21"/>
                <w:szCs w:val="21"/>
              </w:rPr>
              <w:t>三级B</w:t>
            </w:r>
          </w:p>
        </w:tc>
        <w:tc>
          <w:tcPr>
            <w:tcW w:w="2410" w:type="dxa"/>
          </w:tcPr>
          <w:p>
            <w:pPr>
              <w:pStyle w:val="2"/>
              <w:jc w:val="center"/>
              <w:rPr>
                <w:rFonts w:hAnsi="宋体" w:eastAsia="Times New Roman"/>
                <w:sz w:val="21"/>
                <w:szCs w:val="21"/>
              </w:rPr>
            </w:pPr>
            <w:r>
              <w:rPr>
                <w:rFonts w:hint="eastAsia" w:hAnsi="宋体" w:eastAsia="宋体"/>
                <w:sz w:val="21"/>
                <w:szCs w:val="21"/>
              </w:rPr>
              <w:t>间接排放</w:t>
            </w:r>
          </w:p>
        </w:tc>
        <w:tc>
          <w:tcPr>
            <w:tcW w:w="4954" w:type="dxa"/>
          </w:tcPr>
          <w:p>
            <w:pPr>
              <w:pStyle w:val="2"/>
              <w:jc w:val="center"/>
              <w:rPr>
                <w:rFonts w:eastAsiaTheme="minorEastAsia"/>
                <w:sz w:val="21"/>
                <w:szCs w:val="21"/>
              </w:rPr>
            </w:pPr>
            <w:r>
              <w:rPr>
                <w:rFonts w:hint="eastAsia" w:eastAsiaTheme="minorEastAsia"/>
                <w:sz w:val="21"/>
                <w:szCs w:val="21"/>
              </w:rPr>
              <w:t>/</w:t>
            </w:r>
          </w:p>
        </w:tc>
      </w:tr>
    </w:tbl>
    <w:p>
      <w:pPr>
        <w:pStyle w:val="2"/>
      </w:pPr>
    </w:p>
    <w:p>
      <w:pPr>
        <w:ind w:firstLine="480"/>
      </w:pPr>
      <w:r>
        <w:rPr>
          <w:rFonts w:hint="eastAsia" w:eastAsiaTheme="minorEastAsia"/>
        </w:rPr>
        <w:t>根据项目工程分析的结果，项目生产过程不产生工业废水，对外排放的废水主要为生活污水，排放量约</w:t>
      </w:r>
      <w:r>
        <w:rPr>
          <w:rFonts w:eastAsiaTheme="minorEastAsia"/>
        </w:rPr>
        <w:t>1</w:t>
      </w:r>
      <w:r>
        <w:rPr>
          <w:rFonts w:hint="eastAsia" w:eastAsiaTheme="minorEastAsia"/>
        </w:rPr>
        <w:t>.</w:t>
      </w:r>
      <w:r>
        <w:rPr>
          <w:rFonts w:eastAsiaTheme="minorEastAsia"/>
        </w:rPr>
        <w:t>0</w:t>
      </w:r>
      <w:r>
        <w:rPr>
          <w:rFonts w:hint="eastAsia" w:eastAsiaTheme="minorEastAsia"/>
        </w:rPr>
        <w:t xml:space="preserve">8 </w:t>
      </w:r>
      <w:r>
        <w:rPr>
          <w:rFonts w:eastAsiaTheme="minorEastAsia"/>
        </w:rPr>
        <w:t>m</w:t>
      </w:r>
      <w:r>
        <w:rPr>
          <w:rFonts w:eastAsiaTheme="minorEastAsia"/>
          <w:vertAlign w:val="superscript"/>
        </w:rPr>
        <w:t>3</w:t>
      </w:r>
      <w:r>
        <w:rPr>
          <w:rFonts w:eastAsiaTheme="minorEastAsia"/>
        </w:rPr>
        <w:t>/d</w:t>
      </w:r>
      <w:r>
        <w:rPr>
          <w:rFonts w:hint="eastAsia" w:eastAsiaTheme="minorEastAsia"/>
        </w:rPr>
        <w:t>。项目总污水排放量远小于200</w:t>
      </w:r>
      <w:r>
        <w:rPr>
          <w:rFonts w:eastAsiaTheme="minorEastAsia"/>
        </w:rPr>
        <w:t xml:space="preserve"> m</w:t>
      </w:r>
      <w:r>
        <w:rPr>
          <w:rFonts w:eastAsiaTheme="minorEastAsia"/>
          <w:vertAlign w:val="superscript"/>
        </w:rPr>
        <w:t>3</w:t>
      </w:r>
      <w:r>
        <w:rPr>
          <w:rFonts w:eastAsiaTheme="minorEastAsia"/>
        </w:rPr>
        <w:t>/d</w:t>
      </w:r>
      <w:r>
        <w:rPr>
          <w:rFonts w:hint="eastAsia" w:eastAsiaTheme="minorEastAsia"/>
        </w:rPr>
        <w:t>，</w:t>
      </w:r>
      <w:r>
        <w:t>对照《环境影响评价技术导则 地面水环境》（HJ2.3-2018）中的有关规定，</w:t>
      </w:r>
      <w:r>
        <w:rPr>
          <w:rFonts w:hint="eastAsia"/>
        </w:rPr>
        <w:t>本项目为间接排放，</w:t>
      </w:r>
      <w:r>
        <w:t>确定本项目的水环境影响评价等级为三级</w:t>
      </w:r>
      <w:r>
        <w:rPr>
          <w:rFonts w:hint="eastAsia"/>
        </w:rPr>
        <w:t>B</w:t>
      </w:r>
      <w:r>
        <w:t>。</w:t>
      </w:r>
    </w:p>
    <w:p>
      <w:pPr>
        <w:ind w:firstLine="480"/>
        <w:rPr>
          <w:rFonts w:eastAsiaTheme="minorEastAsia"/>
          <w:szCs w:val="22"/>
        </w:rPr>
      </w:pPr>
      <w:r>
        <w:rPr>
          <w:rFonts w:hint="eastAsia" w:eastAsiaTheme="minorEastAsia"/>
        </w:rPr>
        <w:t>只需简要说明排放的污染物类型和数量、给排水状况、排水去向等，并进行简要的环境影响分析。</w:t>
      </w:r>
    </w:p>
    <w:p>
      <w:pPr>
        <w:ind w:firstLine="482"/>
        <w:rPr>
          <w:rFonts w:eastAsiaTheme="minorEastAsia"/>
        </w:rPr>
      </w:pPr>
      <w:r>
        <w:rPr>
          <w:rStyle w:val="59"/>
          <w:rFonts w:hint="eastAsia"/>
        </w:rPr>
        <w:t>现状评价</w:t>
      </w:r>
      <w:r>
        <w:rPr>
          <w:rStyle w:val="59"/>
        </w:rPr>
        <w:t>范围</w:t>
      </w:r>
      <w:r>
        <w:rPr>
          <w:rFonts w:hint="eastAsia" w:eastAsiaTheme="minorEastAsia"/>
        </w:rPr>
        <w:t>：根据建设项目所处地理位置及排水去向，确定水环境现状评价范围为镇海水部分河段：镇海水以项目废水排放口为中心，上游5</w:t>
      </w:r>
      <w:r>
        <w:rPr>
          <w:rFonts w:eastAsiaTheme="minorEastAsia"/>
        </w:rPr>
        <w:t>0</w:t>
      </w:r>
      <w:r>
        <w:rPr>
          <w:rFonts w:hint="eastAsia" w:eastAsiaTheme="minorEastAsia"/>
        </w:rPr>
        <w:t>0m至下游</w:t>
      </w:r>
      <w:r>
        <w:rPr>
          <w:rFonts w:eastAsiaTheme="minorEastAsia"/>
        </w:rPr>
        <w:t>5</w:t>
      </w:r>
      <w:r>
        <w:rPr>
          <w:rFonts w:hint="eastAsia" w:eastAsiaTheme="minorEastAsia"/>
        </w:rPr>
        <w:t>00m。详见</w:t>
      </w:r>
      <w:r>
        <w:rPr>
          <w:rFonts w:eastAsiaTheme="minorEastAsia"/>
        </w:rPr>
        <w:fldChar w:fldCharType="begin"/>
      </w:r>
      <w:r>
        <w:rPr>
          <w:rFonts w:eastAsiaTheme="minorEastAsia"/>
        </w:rPr>
        <w:instrText xml:space="preserve"> </w:instrText>
      </w:r>
      <w:r>
        <w:rPr>
          <w:rFonts w:hint="eastAsia" w:eastAsiaTheme="minorEastAsia"/>
        </w:rPr>
        <w:instrText xml:space="preserve">REF _Ref524468399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1.5</w:t>
      </w:r>
      <w:r>
        <w:rPr>
          <w:rFonts w:eastAsiaTheme="minorEastAsia"/>
        </w:rPr>
        <w:noBreakHyphen/>
      </w:r>
      <w:r>
        <w:rPr>
          <w:rFonts w:eastAsiaTheme="minorEastAsia"/>
        </w:rPr>
        <w:t>1</w:t>
      </w:r>
      <w:r>
        <w:rPr>
          <w:rFonts w:eastAsiaTheme="minorEastAsia"/>
        </w:rPr>
        <w:fldChar w:fldCharType="end"/>
      </w:r>
      <w:r>
        <w:rPr>
          <w:rFonts w:hint="eastAsia" w:eastAsiaTheme="minorEastAsia"/>
        </w:rPr>
        <w:t>。</w:t>
      </w:r>
    </w:p>
    <w:p>
      <w:pPr>
        <w:ind w:firstLine="480"/>
        <w:rPr>
          <w:rFonts w:eastAsiaTheme="minorEastAsia"/>
        </w:rPr>
      </w:pPr>
      <w:r>
        <w:rPr>
          <w:rFonts w:hint="eastAsia" w:eastAsiaTheme="minorEastAsia"/>
        </w:rPr>
        <w:t>评价河段水域不涉及</w:t>
      </w:r>
      <w:r>
        <w:rPr>
          <w:rFonts w:eastAsiaTheme="minorEastAsia"/>
        </w:rPr>
        <w:fldChar w:fldCharType="begin"/>
      </w:r>
      <w:r>
        <w:rPr>
          <w:rFonts w:eastAsiaTheme="minorEastAsia"/>
        </w:rPr>
        <w:instrText xml:space="preserve"> </w:instrText>
      </w:r>
      <w:r>
        <w:rPr>
          <w:rFonts w:hint="eastAsia" w:eastAsiaTheme="minorEastAsia"/>
        </w:rPr>
        <w:instrText xml:space="preserve">REF _Ref523488963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1.2</w:t>
      </w:r>
      <w:r>
        <w:rPr>
          <w:rFonts w:eastAsiaTheme="minorEastAsia"/>
        </w:rPr>
        <w:noBreakHyphen/>
      </w:r>
      <w:r>
        <w:rPr>
          <w:rFonts w:eastAsiaTheme="minorEastAsia"/>
        </w:rPr>
        <w:t>2</w:t>
      </w:r>
      <w:r>
        <w:rPr>
          <w:rFonts w:eastAsiaTheme="minorEastAsia"/>
        </w:rPr>
        <w:fldChar w:fldCharType="end"/>
      </w:r>
      <w:r>
        <w:rPr>
          <w:rFonts w:hint="eastAsia" w:eastAsiaTheme="minorEastAsia"/>
        </w:rPr>
        <w:t>中所列的开平市饮用水源保护区，因此，本项目选址地及地表水评价范围内不存在饮用水水源保护区和取水口等敏感水域。</w:t>
      </w:r>
    </w:p>
    <w:p>
      <w:pPr>
        <w:ind w:firstLine="482"/>
        <w:rPr>
          <w:rFonts w:eastAsiaTheme="minorEastAsia"/>
        </w:rPr>
      </w:pPr>
      <w:r>
        <w:rPr>
          <w:rFonts w:hint="eastAsia" w:eastAsiaTheme="minorEastAsia"/>
          <w:b/>
        </w:rPr>
        <w:t>预测评价范围</w:t>
      </w:r>
      <w:r>
        <w:rPr>
          <w:rFonts w:hint="eastAsia" w:eastAsiaTheme="minorEastAsia"/>
        </w:rPr>
        <w:t>：项目水环境影响评价从简分析，不设预测评价范围。</w:t>
      </w:r>
    </w:p>
    <w:p>
      <w:pPr>
        <w:pStyle w:val="5"/>
      </w:pPr>
      <w:r>
        <w:t>地下水</w:t>
      </w:r>
      <w:r>
        <w:rPr>
          <w:rFonts w:hint="eastAsia"/>
        </w:rPr>
        <w:t>环境影响评价等级和范围</w:t>
      </w:r>
    </w:p>
    <w:p>
      <w:pPr>
        <w:ind w:firstLine="482"/>
        <w:rPr>
          <w:rFonts w:eastAsiaTheme="minorEastAsia"/>
          <w:color w:val="000000" w:themeColor="text1"/>
          <w14:textFill>
            <w14:solidFill>
              <w14:schemeClr w14:val="tx1"/>
            </w14:solidFill>
          </w14:textFill>
        </w:rPr>
      </w:pPr>
      <w:r>
        <w:rPr>
          <w:rStyle w:val="59"/>
          <w:rFonts w:hint="eastAsia"/>
        </w:rPr>
        <w:t>评价等级</w:t>
      </w:r>
      <w:r>
        <w:rPr>
          <w:rFonts w:hint="eastAsia" w:eastAsiaTheme="minorEastAsia"/>
          <w:color w:val="000000" w:themeColor="text1"/>
          <w14:textFill>
            <w14:solidFill>
              <w14:schemeClr w14:val="tx1"/>
            </w14:solidFill>
          </w14:textFill>
        </w:rPr>
        <w:t>：根据《环境影响评价技术导则 地下水》（HJ 610-2016）附录A，本项目行业类别为115、轮胎制造、再生橡胶制造、橡胶加工、橡胶制品翻新，属于Ⅱ类建设项目。建设项目的地下水环境敏感程度可分为：敏感、较敏感、不敏感三类，分级原则详见所示。</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rPr>
          <w:rFonts w:hint="eastAsia"/>
        </w:rPr>
        <w:t>地下水环境敏感程度分级表</w:t>
      </w:r>
    </w:p>
    <w:tbl>
      <w:tblPr>
        <w:tblStyle w:val="56"/>
        <w:tblW w:w="879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0"/>
        <w:gridCol w:w="7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200" w:type="dxa"/>
            <w:vAlign w:val="center"/>
          </w:tcPr>
          <w:p>
            <w:pPr>
              <w:spacing w:line="240" w:lineRule="auto"/>
              <w:ind w:firstLine="0" w:firstLineChars="0"/>
              <w:jc w:val="center"/>
              <w:rPr>
                <w:rFonts w:eastAsiaTheme="minorEastAsia"/>
                <w:b/>
                <w:color w:val="000000" w:themeColor="text1"/>
                <w:sz w:val="21"/>
                <w:szCs w:val="21"/>
                <w14:textFill>
                  <w14:solidFill>
                    <w14:schemeClr w14:val="tx1"/>
                  </w14:solidFill>
                </w14:textFill>
              </w:rPr>
            </w:pPr>
            <w:r>
              <w:rPr>
                <w:rFonts w:hint="eastAsia" w:eastAsiaTheme="minorEastAsia"/>
                <w:b/>
                <w:color w:val="000000" w:themeColor="text1"/>
                <w:sz w:val="21"/>
                <w:szCs w:val="21"/>
                <w14:textFill>
                  <w14:solidFill>
                    <w14:schemeClr w14:val="tx1"/>
                  </w14:solidFill>
                </w14:textFill>
              </w:rPr>
              <w:t>敏感程度</w:t>
            </w:r>
          </w:p>
        </w:tc>
        <w:tc>
          <w:tcPr>
            <w:tcW w:w="7594" w:type="dxa"/>
            <w:vAlign w:val="center"/>
          </w:tcPr>
          <w:p>
            <w:pPr>
              <w:spacing w:line="240" w:lineRule="auto"/>
              <w:ind w:firstLine="0" w:firstLineChars="0"/>
              <w:jc w:val="center"/>
              <w:rPr>
                <w:rFonts w:eastAsiaTheme="minorEastAsia"/>
                <w:b/>
                <w:color w:val="000000" w:themeColor="text1"/>
                <w:sz w:val="21"/>
                <w:szCs w:val="21"/>
                <w14:textFill>
                  <w14:solidFill>
                    <w14:schemeClr w14:val="tx1"/>
                  </w14:solidFill>
                </w14:textFill>
              </w:rPr>
            </w:pPr>
            <w:r>
              <w:rPr>
                <w:rFonts w:hint="eastAsia" w:eastAsiaTheme="minorEastAsia"/>
                <w:b/>
                <w:color w:val="000000" w:themeColor="text1"/>
                <w:sz w:val="21"/>
                <w:szCs w:val="21"/>
                <w14:textFill>
                  <w14:solidFill>
                    <w14:schemeClr w14:val="tx1"/>
                  </w14:solidFill>
                </w14:textFill>
              </w:rPr>
              <w:t>地下水环境敏感特征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00" w:type="dxa"/>
            <w:vAlign w:val="center"/>
          </w:tcPr>
          <w:p>
            <w:pPr>
              <w:spacing w:line="240" w:lineRule="auto"/>
              <w:ind w:firstLine="0" w:firstLineChars="0"/>
              <w:jc w:val="center"/>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敏感</w:t>
            </w:r>
          </w:p>
        </w:tc>
        <w:tc>
          <w:tcPr>
            <w:tcW w:w="7594" w:type="dxa"/>
            <w:vAlign w:val="center"/>
          </w:tcPr>
          <w:p>
            <w:pPr>
              <w:spacing w:line="240" w:lineRule="auto"/>
              <w:ind w:firstLine="0" w:firstLineChars="0"/>
              <w:jc w:val="center"/>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集中式饮用水水源（包括已建成的在用、备用、应急水源，在建和规划的饮用水水源）准保护区；除集中式饮用水水源以为的国家过地方政府设定的与地下水环境相关的其它保护区，如热水、矿泉水、温泉等特殊地下水资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00" w:type="dxa"/>
            <w:vAlign w:val="center"/>
          </w:tcPr>
          <w:p>
            <w:pPr>
              <w:spacing w:line="240" w:lineRule="auto"/>
              <w:ind w:firstLine="0" w:firstLineChars="0"/>
              <w:jc w:val="center"/>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较敏感</w:t>
            </w:r>
          </w:p>
        </w:tc>
        <w:tc>
          <w:tcPr>
            <w:tcW w:w="7594" w:type="dxa"/>
            <w:vAlign w:val="center"/>
          </w:tcPr>
          <w:p>
            <w:pPr>
              <w:spacing w:line="240" w:lineRule="auto"/>
              <w:ind w:firstLine="0" w:firstLineChars="0"/>
              <w:jc w:val="center"/>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集中式饮用水水源（包括已建成的在用、备用、应急水源，在建和规划的饮用水水源）准保护区以为的补给径流区；未划定准保护区的集中式饮用水水源，其它保护区以为的补给径流区；分散式饮用水水源地；特殊地下水资源（如矿泉水、温泉等）保护区以外的分布区等其他未列入以上敏感分级的环境敏感区</w:t>
            </w:r>
            <w:r>
              <w:rPr>
                <w:rFonts w:hint="eastAsia" w:eastAsiaTheme="minorEastAsia"/>
                <w:color w:val="000000" w:themeColor="text1"/>
                <w:sz w:val="21"/>
                <w:szCs w:val="21"/>
                <w:vertAlign w:val="superscript"/>
                <w14:textFill>
                  <w14:solidFill>
                    <w14:schemeClr w14:val="tx1"/>
                  </w14:solidFill>
                </w14:textFill>
              </w:rPr>
              <w:t>a</w:t>
            </w:r>
            <w:r>
              <w:rPr>
                <w:rFonts w:hint="eastAsia" w:eastAsiaTheme="minorEastAsia"/>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00" w:type="dxa"/>
            <w:shd w:val="clear" w:color="auto" w:fill="auto"/>
            <w:vAlign w:val="center"/>
          </w:tcPr>
          <w:p>
            <w:pPr>
              <w:spacing w:line="240" w:lineRule="auto"/>
              <w:ind w:firstLine="0" w:firstLineChars="0"/>
              <w:jc w:val="center"/>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不敏感</w:t>
            </w:r>
          </w:p>
        </w:tc>
        <w:tc>
          <w:tcPr>
            <w:tcW w:w="7594" w:type="dxa"/>
            <w:shd w:val="clear" w:color="auto" w:fill="auto"/>
            <w:vAlign w:val="center"/>
          </w:tcPr>
          <w:p>
            <w:pPr>
              <w:spacing w:line="240" w:lineRule="auto"/>
              <w:ind w:firstLine="0" w:firstLineChars="0"/>
              <w:jc w:val="center"/>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shd w:val="pct10" w:color="auto" w:fill="FFFFFF"/>
                <w14:textFill>
                  <w14:solidFill>
                    <w14:schemeClr w14:val="tx1"/>
                  </w14:solidFill>
                </w14:textFill>
              </w:rPr>
              <w:t>上述地区之外的其它地方。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794" w:type="dxa"/>
            <w:gridSpan w:val="2"/>
            <w:vAlign w:val="center"/>
          </w:tcPr>
          <w:p>
            <w:pPr>
              <w:spacing w:line="240" w:lineRule="auto"/>
              <w:ind w:firstLine="0" w:firstLineChars="0"/>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注：a环境敏感区，是指《建设项目环境影响评价分类管理名录》中所界定的涉及地下水的环境敏感区。</w:t>
            </w:r>
          </w:p>
        </w:tc>
      </w:tr>
    </w:tbl>
    <w:p>
      <w:pPr>
        <w:ind w:firstLine="480"/>
        <w:rPr>
          <w:rFonts w:eastAsiaTheme="minorEastAsia"/>
          <w:color w:val="000000" w:themeColor="text1"/>
          <w14:textFill>
            <w14:solidFill>
              <w14:schemeClr w14:val="tx1"/>
            </w14:solidFill>
          </w14:textFill>
        </w:rPr>
      </w:pPr>
      <w:r>
        <w:rPr>
          <w:rFonts w:hint="eastAsia" w:eastAsiaTheme="minorEastAsia"/>
        </w:rPr>
        <w:t>通过现场调查，区域内城镇和农村均通自来水（农村少量民用井，主要于洗衣、冲地），评价区域内不存在浅层地下水集中式与分散式居民饮用水供水水源地，不存在国家或地方政府设定的地下水环境保护区，结合项目所在区域地下水利用现状及规划，项目场地地下水环境敏感</w:t>
      </w:r>
      <w:r>
        <w:rPr>
          <w:rFonts w:eastAsiaTheme="minorEastAsia"/>
        </w:rPr>
        <w:t>程度</w:t>
      </w:r>
      <w:r>
        <w:rPr>
          <w:rFonts w:hint="eastAsia" w:eastAsiaTheme="minorEastAsia"/>
        </w:rPr>
        <w:t>判定</w:t>
      </w:r>
      <w:r>
        <w:rPr>
          <w:rFonts w:eastAsiaTheme="minorEastAsia"/>
        </w:rPr>
        <w:t>为</w:t>
      </w:r>
      <w:r>
        <w:rPr>
          <w:rFonts w:hint="eastAsia" w:eastAsiaTheme="minorEastAsia"/>
        </w:rPr>
        <w:t>“</w:t>
      </w:r>
      <w:r>
        <w:rPr>
          <w:rFonts w:eastAsiaTheme="minorEastAsia"/>
        </w:rPr>
        <w:t>不敏感</w:t>
      </w:r>
      <w:r>
        <w:rPr>
          <w:rFonts w:hint="eastAsia" w:eastAsiaTheme="minorEastAsia"/>
        </w:rPr>
        <w:t>”。因此，根据建设项目地下水环境影响评价工作等级划分表（</w:t>
      </w:r>
      <w:r>
        <w:rPr>
          <w:rFonts w:eastAsiaTheme="minorEastAsia"/>
        </w:rPr>
        <w:fldChar w:fldCharType="begin"/>
      </w:r>
      <w:r>
        <w:rPr>
          <w:rFonts w:eastAsiaTheme="minorEastAsia"/>
        </w:rPr>
        <w:instrText xml:space="preserve"> </w:instrText>
      </w:r>
      <w:r>
        <w:rPr>
          <w:rFonts w:hint="eastAsia" w:eastAsiaTheme="minorEastAsia"/>
        </w:rPr>
        <w:instrText xml:space="preserve">REF _Ref523489547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1.5</w:t>
      </w:r>
      <w:r>
        <w:rPr>
          <w:rFonts w:eastAsiaTheme="minorEastAsia"/>
        </w:rPr>
        <w:noBreakHyphen/>
      </w:r>
      <w:r>
        <w:rPr>
          <w:rFonts w:eastAsiaTheme="minorEastAsia"/>
        </w:rPr>
        <w:t>2</w:t>
      </w:r>
      <w:r>
        <w:rPr>
          <w:rFonts w:eastAsiaTheme="minorEastAsia"/>
        </w:rPr>
        <w:fldChar w:fldCharType="end"/>
      </w:r>
      <w:r>
        <w:rPr>
          <w:rFonts w:hint="eastAsia" w:eastAsiaTheme="minorEastAsia"/>
        </w:rPr>
        <w:t>），本项目地下水评价工作等级定为三级。</w:t>
      </w:r>
    </w:p>
    <w:p>
      <w:pPr>
        <w:pStyle w:val="18"/>
      </w:pPr>
      <w:bookmarkStart w:id="119" w:name="_Ref523489547"/>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bookmarkEnd w:id="119"/>
      <w:r>
        <w:rPr>
          <w:rFonts w:hint="eastAsia"/>
        </w:rPr>
        <w:t>地下水环境影响评价等级判定表</w:t>
      </w:r>
    </w:p>
    <w:tbl>
      <w:tblPr>
        <w:tblStyle w:val="56"/>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6"/>
        <w:gridCol w:w="2236"/>
        <w:gridCol w:w="2237"/>
        <w:gridCol w:w="22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4" w:hRule="atLeast"/>
        </w:trPr>
        <w:tc>
          <w:tcPr>
            <w:tcW w:w="2236" w:type="dxa"/>
            <w:tcBorders>
              <w:top w:val="single" w:color="auto" w:sz="4" w:space="0"/>
              <w:left w:val="single" w:color="auto" w:sz="4" w:space="0"/>
              <w:bottom w:val="single" w:color="auto" w:sz="4" w:space="0"/>
              <w:right w:val="single" w:color="auto" w:sz="4" w:space="0"/>
              <w:tl2br w:val="single" w:color="auto" w:sz="4" w:space="0"/>
            </w:tcBorders>
            <w:vAlign w:val="center"/>
          </w:tcPr>
          <w:p>
            <w:pPr>
              <w:pStyle w:val="113"/>
              <w:spacing w:line="240" w:lineRule="auto"/>
              <w:ind w:firstLine="0"/>
              <w:jc w:val="right"/>
              <w:rPr>
                <w:rFonts w:eastAsiaTheme="minorEastAsia"/>
                <w:b/>
                <w:sz w:val="21"/>
                <w:szCs w:val="21"/>
              </w:rPr>
            </w:pPr>
            <w:r>
              <w:rPr>
                <w:rFonts w:hint="eastAsia" w:eastAsiaTheme="minorEastAsia"/>
                <w:b/>
                <w:sz w:val="21"/>
                <w:szCs w:val="21"/>
              </w:rPr>
              <w:t>项目类别</w:t>
            </w:r>
          </w:p>
          <w:p>
            <w:pPr>
              <w:pStyle w:val="113"/>
              <w:spacing w:line="240" w:lineRule="auto"/>
              <w:ind w:firstLine="0"/>
              <w:jc w:val="left"/>
              <w:rPr>
                <w:rFonts w:eastAsiaTheme="minorEastAsia"/>
                <w:b/>
                <w:sz w:val="21"/>
                <w:szCs w:val="21"/>
              </w:rPr>
            </w:pPr>
            <w:r>
              <w:rPr>
                <w:rFonts w:hint="eastAsia" w:eastAsiaTheme="minorEastAsia"/>
                <w:b/>
                <w:sz w:val="21"/>
                <w:szCs w:val="21"/>
              </w:rPr>
              <w:t>环境敏感程度</w:t>
            </w:r>
          </w:p>
        </w:tc>
        <w:tc>
          <w:tcPr>
            <w:tcW w:w="2236"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eastAsiaTheme="minorEastAsia"/>
                <w:b/>
                <w:sz w:val="21"/>
                <w:szCs w:val="21"/>
              </w:rPr>
            </w:pPr>
            <w:r>
              <w:rPr>
                <w:rFonts w:hint="eastAsia" w:eastAsiaTheme="minorEastAsia"/>
                <w:b/>
                <w:sz w:val="21"/>
                <w:szCs w:val="21"/>
              </w:rPr>
              <w:t>Ⅰ类项目</w:t>
            </w:r>
          </w:p>
        </w:tc>
        <w:tc>
          <w:tcPr>
            <w:tcW w:w="2237"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eastAsiaTheme="minorEastAsia"/>
                <w:b/>
                <w:sz w:val="21"/>
                <w:szCs w:val="21"/>
              </w:rPr>
            </w:pPr>
            <w:r>
              <w:rPr>
                <w:rFonts w:hint="eastAsia" w:eastAsiaTheme="minorEastAsia"/>
                <w:b/>
                <w:sz w:val="21"/>
                <w:szCs w:val="21"/>
              </w:rPr>
              <w:t>Ⅱ类项目</w:t>
            </w:r>
          </w:p>
        </w:tc>
        <w:tc>
          <w:tcPr>
            <w:tcW w:w="2237"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eastAsiaTheme="minorEastAsia"/>
                <w:b/>
                <w:sz w:val="21"/>
                <w:szCs w:val="21"/>
              </w:rPr>
            </w:pPr>
            <w:r>
              <w:rPr>
                <w:rFonts w:hint="eastAsia" w:eastAsiaTheme="minorEastAsia"/>
                <w:b/>
                <w:sz w:val="21"/>
                <w:szCs w:val="21"/>
              </w:rPr>
              <w:t>Ⅲ类项目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36"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eastAsiaTheme="minorEastAsia"/>
                <w:b/>
                <w:sz w:val="21"/>
                <w:szCs w:val="21"/>
              </w:rPr>
            </w:pPr>
            <w:r>
              <w:rPr>
                <w:rFonts w:hint="eastAsia" w:eastAsiaTheme="minorEastAsia"/>
                <w:b/>
                <w:sz w:val="21"/>
                <w:szCs w:val="21"/>
              </w:rPr>
              <w:t>敏感</w:t>
            </w:r>
          </w:p>
        </w:tc>
        <w:tc>
          <w:tcPr>
            <w:tcW w:w="2236"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eastAsiaTheme="minorEastAsia"/>
                <w:sz w:val="21"/>
                <w:szCs w:val="21"/>
              </w:rPr>
            </w:pPr>
            <w:r>
              <w:rPr>
                <w:rFonts w:hint="eastAsia" w:eastAsiaTheme="minorEastAsia"/>
                <w:sz w:val="21"/>
                <w:szCs w:val="21"/>
              </w:rPr>
              <w:t>一</w:t>
            </w:r>
          </w:p>
        </w:tc>
        <w:tc>
          <w:tcPr>
            <w:tcW w:w="2237"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eastAsiaTheme="minorEastAsia"/>
                <w:sz w:val="21"/>
                <w:szCs w:val="21"/>
              </w:rPr>
            </w:pPr>
            <w:r>
              <w:rPr>
                <w:rFonts w:hint="eastAsia" w:eastAsiaTheme="minorEastAsia"/>
                <w:sz w:val="21"/>
                <w:szCs w:val="21"/>
              </w:rPr>
              <w:t>一</w:t>
            </w:r>
          </w:p>
        </w:tc>
        <w:tc>
          <w:tcPr>
            <w:tcW w:w="2237"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eastAsiaTheme="minorEastAsia"/>
                <w:sz w:val="21"/>
                <w:szCs w:val="21"/>
              </w:rPr>
            </w:pPr>
            <w:r>
              <w:rPr>
                <w:rFonts w:hint="eastAsia" w:eastAsiaTheme="minorEastAsia"/>
                <w:sz w:val="21"/>
                <w:szCs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36"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eastAsiaTheme="minorEastAsia"/>
                <w:b/>
                <w:sz w:val="21"/>
                <w:szCs w:val="21"/>
              </w:rPr>
            </w:pPr>
            <w:r>
              <w:rPr>
                <w:rFonts w:hint="eastAsia" w:eastAsiaTheme="minorEastAsia"/>
                <w:b/>
                <w:sz w:val="21"/>
                <w:szCs w:val="21"/>
              </w:rPr>
              <w:t>较敏感</w:t>
            </w:r>
          </w:p>
        </w:tc>
        <w:tc>
          <w:tcPr>
            <w:tcW w:w="2236"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eastAsiaTheme="minorEastAsia"/>
                <w:sz w:val="21"/>
                <w:szCs w:val="21"/>
              </w:rPr>
            </w:pPr>
            <w:r>
              <w:rPr>
                <w:rFonts w:hint="eastAsia" w:eastAsiaTheme="minorEastAsia"/>
                <w:sz w:val="21"/>
                <w:szCs w:val="21"/>
              </w:rPr>
              <w:t>一</w:t>
            </w:r>
          </w:p>
        </w:tc>
        <w:tc>
          <w:tcPr>
            <w:tcW w:w="2237"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eastAsiaTheme="minorEastAsia"/>
                <w:sz w:val="21"/>
                <w:szCs w:val="21"/>
              </w:rPr>
            </w:pPr>
            <w:r>
              <w:rPr>
                <w:rFonts w:hint="eastAsia" w:eastAsiaTheme="minorEastAsia"/>
                <w:sz w:val="21"/>
                <w:szCs w:val="21"/>
              </w:rPr>
              <w:t>二</w:t>
            </w:r>
          </w:p>
        </w:tc>
        <w:tc>
          <w:tcPr>
            <w:tcW w:w="2237"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eastAsiaTheme="minorEastAsia"/>
                <w:sz w:val="21"/>
                <w:szCs w:val="21"/>
              </w:rPr>
            </w:pPr>
            <w:r>
              <w:rPr>
                <w:rFonts w:hint="eastAsia" w:eastAsiaTheme="minorEastAsia"/>
                <w:sz w:val="21"/>
                <w:szCs w:val="21"/>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236"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eastAsiaTheme="minorEastAsia"/>
                <w:b/>
                <w:sz w:val="21"/>
                <w:szCs w:val="21"/>
              </w:rPr>
            </w:pPr>
            <w:r>
              <w:rPr>
                <w:rFonts w:hint="eastAsia" w:eastAsiaTheme="minorEastAsia"/>
                <w:b/>
                <w:sz w:val="21"/>
                <w:szCs w:val="21"/>
              </w:rPr>
              <w:t>不敏感</w:t>
            </w:r>
          </w:p>
        </w:tc>
        <w:tc>
          <w:tcPr>
            <w:tcW w:w="2236"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eastAsiaTheme="minorEastAsia"/>
                <w:sz w:val="21"/>
                <w:szCs w:val="21"/>
              </w:rPr>
            </w:pPr>
            <w:r>
              <w:rPr>
                <w:rFonts w:hint="eastAsia" w:eastAsiaTheme="minorEastAsia"/>
                <w:sz w:val="21"/>
                <w:szCs w:val="21"/>
              </w:rPr>
              <w:t>二</w:t>
            </w:r>
          </w:p>
        </w:tc>
        <w:tc>
          <w:tcPr>
            <w:tcW w:w="2237"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eastAsiaTheme="minorEastAsia"/>
                <w:sz w:val="21"/>
                <w:szCs w:val="21"/>
              </w:rPr>
            </w:pPr>
            <w:r>
              <w:rPr>
                <w:rFonts w:hint="eastAsia" w:eastAsiaTheme="minorEastAsia"/>
                <w:sz w:val="21"/>
                <w:szCs w:val="21"/>
                <w:shd w:val="pct10" w:color="auto" w:fill="FFFFFF"/>
              </w:rPr>
              <w:t>三</w:t>
            </w:r>
          </w:p>
        </w:tc>
        <w:tc>
          <w:tcPr>
            <w:tcW w:w="2237" w:type="dxa"/>
            <w:tcBorders>
              <w:top w:val="single" w:color="auto" w:sz="4" w:space="0"/>
              <w:left w:val="single" w:color="auto" w:sz="4" w:space="0"/>
              <w:bottom w:val="single" w:color="auto" w:sz="4" w:space="0"/>
              <w:right w:val="single" w:color="auto" w:sz="4" w:space="0"/>
            </w:tcBorders>
            <w:vAlign w:val="center"/>
          </w:tcPr>
          <w:p>
            <w:pPr>
              <w:pStyle w:val="113"/>
              <w:spacing w:line="240" w:lineRule="auto"/>
              <w:ind w:firstLine="0"/>
              <w:jc w:val="center"/>
              <w:rPr>
                <w:rFonts w:eastAsiaTheme="minorEastAsia"/>
                <w:sz w:val="21"/>
                <w:szCs w:val="21"/>
              </w:rPr>
            </w:pPr>
            <w:r>
              <w:rPr>
                <w:rFonts w:hint="eastAsia" w:eastAsiaTheme="minorEastAsia"/>
                <w:sz w:val="21"/>
                <w:szCs w:val="21"/>
              </w:rPr>
              <w:t>三</w:t>
            </w:r>
          </w:p>
        </w:tc>
      </w:tr>
    </w:tbl>
    <w:p>
      <w:pPr>
        <w:ind w:firstLine="482"/>
        <w:rPr>
          <w:rFonts w:eastAsiaTheme="minorEastAsia"/>
        </w:rPr>
      </w:pPr>
      <w:r>
        <w:rPr>
          <w:rStyle w:val="59"/>
          <w:rFonts w:hint="eastAsia"/>
        </w:rPr>
        <w:t>现状评价范围</w:t>
      </w:r>
      <w:r>
        <w:rPr>
          <w:rFonts w:hint="eastAsia" w:eastAsiaTheme="minorEastAsia"/>
        </w:rPr>
        <w:t>：根据《环境影响评价的技术导则 地下水环境》（HJ</w:t>
      </w:r>
      <w:r>
        <w:rPr>
          <w:rFonts w:eastAsiaTheme="minorEastAsia"/>
        </w:rPr>
        <w:t xml:space="preserve"> </w:t>
      </w:r>
      <w:r>
        <w:rPr>
          <w:rFonts w:hint="eastAsia" w:eastAsiaTheme="minorEastAsia"/>
        </w:rPr>
        <w:t>610-2016）中查表法，三级评价的调查评价面积≤6km</w:t>
      </w:r>
      <w:r>
        <w:rPr>
          <w:rFonts w:hint="eastAsia" w:eastAsiaTheme="minorEastAsia"/>
          <w:vertAlign w:val="superscript"/>
        </w:rPr>
        <w:t>2</w:t>
      </w:r>
      <w:r>
        <w:rPr>
          <w:rFonts w:hint="eastAsia" w:eastAsiaTheme="minorEastAsia"/>
        </w:rPr>
        <w:t>，结合项目所在区域地下水文状况，水文地质条件简单，拟定本评价以同一地下水水文地质单元为调查评价范围，调查评价范围≤6km</w:t>
      </w:r>
      <w:r>
        <w:rPr>
          <w:rFonts w:hint="eastAsia" w:eastAsiaTheme="minorEastAsia"/>
          <w:vertAlign w:val="superscript"/>
        </w:rPr>
        <w:t>2</w:t>
      </w:r>
      <w:r>
        <w:rPr>
          <w:rFonts w:hint="eastAsia" w:eastAsiaTheme="minorEastAsia"/>
        </w:rPr>
        <w:t>。评价重点为本项目场地浅层地下水含水层。</w:t>
      </w:r>
    </w:p>
    <w:p>
      <w:pPr>
        <w:ind w:firstLine="482"/>
        <w:rPr>
          <w:rFonts w:eastAsiaTheme="minorEastAsia"/>
          <w:highlight w:val="yellow"/>
        </w:rPr>
      </w:pPr>
      <w:r>
        <w:rPr>
          <w:rFonts w:hint="eastAsia" w:eastAsiaTheme="minorEastAsia"/>
          <w:b/>
        </w:rPr>
        <w:t>预测评价范围</w:t>
      </w:r>
      <w:r>
        <w:rPr>
          <w:rFonts w:hint="eastAsia" w:eastAsiaTheme="minorEastAsia"/>
        </w:rPr>
        <w:t>：与现状评价范围一致，评价范围≤6km</w:t>
      </w:r>
      <w:r>
        <w:rPr>
          <w:rFonts w:hint="eastAsia" w:eastAsiaTheme="minorEastAsia"/>
          <w:vertAlign w:val="superscript"/>
        </w:rPr>
        <w:t>2</w:t>
      </w:r>
      <w:r>
        <w:rPr>
          <w:rFonts w:hint="eastAsia" w:eastAsiaTheme="minorEastAsia"/>
        </w:rPr>
        <w:t>，评价重点为本项目场地浅层地下水含水层。</w:t>
      </w:r>
    </w:p>
    <w:p>
      <w:pPr>
        <w:pStyle w:val="5"/>
      </w:pPr>
      <w:bookmarkStart w:id="120" w:name="_Ref532394969"/>
      <w:bookmarkStart w:id="121" w:name="_Ref529797028"/>
      <w:bookmarkStart w:id="122" w:name="_Hlk3483667"/>
      <w:r>
        <w:rPr>
          <w:rFonts w:hint="eastAsia"/>
        </w:rPr>
        <w:t>大气环境影响评价等级和范围</w:t>
      </w:r>
      <w:bookmarkEnd w:id="120"/>
      <w:bookmarkEnd w:id="121"/>
    </w:p>
    <w:bookmarkEnd w:id="122"/>
    <w:p>
      <w:pPr>
        <w:ind w:firstLine="480"/>
      </w:pPr>
      <w:r>
        <w:t>根据《环境影响评价技术导则 大气环境》（HJ 2.2-2018）的规定，大气环境影响评价工作等级依据评价项目的主要大气污染物的排放量、周围地形的复杂程度、以及当地执行的大气环境质量标准等因素确定。</w:t>
      </w:r>
    </w:p>
    <w:p>
      <w:pPr>
        <w:ind w:firstLine="480"/>
      </w:pPr>
      <w:r>
        <w:t>根据工程分析可知，运营期间项目污染物主要是</w:t>
      </w:r>
      <w:r>
        <w:rPr>
          <w:rFonts w:hint="eastAsia"/>
        </w:rPr>
        <w:t>配投料工序产生</w:t>
      </w:r>
      <w:r>
        <w:t>的颗粒物，</w:t>
      </w:r>
      <w:r>
        <w:rPr>
          <w:rFonts w:hint="eastAsia"/>
        </w:rPr>
        <w:t>密炼</w:t>
      </w:r>
      <w:r>
        <w:t>产生的</w:t>
      </w:r>
      <w:r>
        <w:rPr>
          <w:rFonts w:hint="eastAsia"/>
        </w:rPr>
        <w:t>颗粒物、硫化氢</w:t>
      </w:r>
      <w:r>
        <w:t>、</w:t>
      </w:r>
      <w:r>
        <w:rPr>
          <w:rFonts w:hint="eastAsia"/>
        </w:rPr>
        <w:t>非甲烷总烃，开炼产生的硫化氢</w:t>
      </w:r>
      <w:r>
        <w:t>、</w:t>
      </w:r>
      <w:r>
        <w:rPr>
          <w:rFonts w:hint="eastAsia"/>
        </w:rPr>
        <w:t>非甲烷总烃，硫化产生的硫化氢</w:t>
      </w:r>
      <w:r>
        <w:t>、</w:t>
      </w:r>
      <w:r>
        <w:rPr>
          <w:rFonts w:hint="eastAsia"/>
        </w:rPr>
        <w:t>非甲烷总烃</w:t>
      </w:r>
      <w:r>
        <w:t>。按《环境影响评价技术导则 大气环境》（HJ 2.2-2018）推荐模式中的</w:t>
      </w:r>
      <w:r>
        <w:rPr>
          <w:rFonts w:hint="eastAsia"/>
        </w:rPr>
        <w:t>AER</w:t>
      </w:r>
      <w:r>
        <w:t>SCREEN估算模式</w:t>
      </w:r>
      <w:r>
        <w:rPr>
          <w:rFonts w:hint="eastAsia"/>
        </w:rPr>
        <w:t>（估算</w:t>
      </w:r>
      <w:r>
        <w:t>时输入地形参数</w:t>
      </w:r>
      <w:r>
        <w:rPr>
          <w:rFonts w:hint="eastAsia"/>
        </w:rPr>
        <w:t>）</w:t>
      </w:r>
      <w:r>
        <w:t>计算项目</w:t>
      </w:r>
      <w:r>
        <w:rPr>
          <w:rFonts w:hint="eastAsia"/>
        </w:rPr>
        <w:t>排放主要污染物的最大地面空气质量浓度占标率Pi及第</w:t>
      </w:r>
      <w:r>
        <w:t>i</w:t>
      </w:r>
      <w:r>
        <w:rPr>
          <w:rFonts w:hint="eastAsia"/>
        </w:rPr>
        <w:t>个污染物的地面空气质量浓度达到标准值的10%时所对应的最远距离D</w:t>
      </w:r>
      <w:r>
        <w:rPr>
          <w:rFonts w:hint="eastAsia"/>
          <w:vertAlign w:val="subscript"/>
        </w:rPr>
        <w:t>10%</w:t>
      </w:r>
      <w:r>
        <w:t>，根据占标率计算结果确定项目环境空气评价等级。</w:t>
      </w:r>
    </w:p>
    <w:p>
      <w:pPr>
        <w:widowControl w:val="0"/>
        <w:ind w:firstLine="0" w:firstLineChars="0"/>
        <w:jc w:val="center"/>
        <w:rPr>
          <w:rFonts w:ascii="Times New Roman" w:hAnsi="Times New Roman" w:cs="Times New Roman"/>
          <w:color w:val="FF0000"/>
          <w:kern w:val="2"/>
          <w:sz w:val="21"/>
        </w:rPr>
      </w:pPr>
      <w:r>
        <w:rPr>
          <w:rFonts w:ascii="Times New Roman" w:hAnsi="Times New Roman" w:cs="Times New Roman"/>
          <w:color w:val="FF0000"/>
          <w:kern w:val="2"/>
          <w:sz w:val="21"/>
        </w:rPr>
        <w:drawing>
          <wp:inline distT="0" distB="0" distL="0" distR="0">
            <wp:extent cx="1371600" cy="561975"/>
            <wp:effectExtent l="0" t="0" r="0"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1371600" cy="561975"/>
                    </a:xfrm>
                    <a:prstGeom prst="rect">
                      <a:avLst/>
                    </a:prstGeom>
                    <a:noFill/>
                    <a:ln>
                      <a:noFill/>
                    </a:ln>
                  </pic:spPr>
                </pic:pic>
              </a:graphicData>
            </a:graphic>
          </wp:inline>
        </w:drawing>
      </w:r>
    </w:p>
    <w:p>
      <w:pPr>
        <w:ind w:firstLine="480"/>
      </w:pPr>
      <w:r>
        <w:t>式中：</w:t>
      </w:r>
      <w:r>
        <w:rPr>
          <w:i/>
        </w:rPr>
        <w:t>P</w:t>
      </w:r>
      <w:r>
        <w:rPr>
          <w:i/>
          <w:vertAlign w:val="subscript"/>
        </w:rPr>
        <w:t>i</w:t>
      </w:r>
      <w:r>
        <w:t>——第i个污染物的最大地面浓度占标率，%；</w:t>
      </w:r>
    </w:p>
    <w:p>
      <w:pPr>
        <w:ind w:firstLine="480"/>
      </w:pPr>
      <w:r>
        <w:rPr>
          <w:i/>
        </w:rPr>
        <w:t>C</w:t>
      </w:r>
      <w:r>
        <w:rPr>
          <w:i/>
          <w:vertAlign w:val="subscript"/>
        </w:rPr>
        <w:t>i</w:t>
      </w:r>
      <w:r>
        <w:t>——</w:t>
      </w:r>
      <w:r>
        <w:rPr>
          <w:rFonts w:hint="eastAsia"/>
        </w:rPr>
        <w:t>采用估算模型计算出的第i个污染物的最大1h地面空气质量浓度</w:t>
      </w:r>
      <w:r>
        <w:t>，μg/m³；</w:t>
      </w:r>
    </w:p>
    <w:p>
      <w:pPr>
        <w:ind w:firstLine="480"/>
      </w:pPr>
      <w:r>
        <w:rPr>
          <w:i/>
          <w:lang w:val="zh-CN"/>
        </w:rPr>
        <w:t>C</w:t>
      </w:r>
      <w:r>
        <w:rPr>
          <w:i/>
          <w:vertAlign w:val="subscript"/>
          <w:lang w:val="zh-CN"/>
        </w:rPr>
        <w:t>oi</w:t>
      </w:r>
      <w:r>
        <w:rPr>
          <w:lang w:val="zh-CN"/>
        </w:rPr>
        <w:t>——</w:t>
      </w:r>
      <w:r>
        <w:rPr>
          <w:spacing w:val="4"/>
          <w:position w:val="2"/>
          <w:lang w:val="zh-CN"/>
        </w:rPr>
        <w:t>第</w:t>
      </w:r>
      <w:r>
        <w:rPr>
          <w:rFonts w:eastAsia="Times New Roman"/>
          <w:position w:val="2"/>
          <w:lang w:val="zh-CN"/>
        </w:rPr>
        <w:t>i</w:t>
      </w:r>
      <w:r>
        <w:rPr>
          <w:spacing w:val="-3"/>
          <w:position w:val="2"/>
          <w:lang w:val="zh-CN"/>
        </w:rPr>
        <w:t>个污染物的环境空气质量浓度标准，</w:t>
      </w:r>
      <w:r>
        <w:rPr>
          <w:rFonts w:eastAsia="Times New Roman"/>
          <w:spacing w:val="-2"/>
          <w:position w:val="2"/>
          <w:lang w:val="zh-CN"/>
        </w:rPr>
        <w:t>μg/m</w:t>
      </w:r>
      <w:r>
        <w:rPr>
          <w:rFonts w:eastAsia="Times New Roman"/>
          <w:spacing w:val="-2"/>
          <w:position w:val="2"/>
          <w:vertAlign w:val="superscript"/>
          <w:lang w:val="zh-CN"/>
        </w:rPr>
        <w:t>3</w:t>
      </w:r>
      <w:r>
        <w:rPr>
          <w:spacing w:val="1"/>
          <w:position w:val="2"/>
          <w:lang w:val="zh-CN"/>
        </w:rPr>
        <w:t>。一</w:t>
      </w:r>
      <w:r>
        <w:t>般选用GB3095中1h平均质量浓度的二级浓度限值，如项目位于一类环境空气功能区，应选择相应的一级浓度限值；对</w:t>
      </w:r>
      <w:r>
        <w:rPr>
          <w:rFonts w:hint="eastAsia"/>
        </w:rPr>
        <w:t>该</w:t>
      </w:r>
      <w:r>
        <w:t>标准中未包含的污染物，使用HJ 2.2-2018中</w:t>
      </w:r>
      <w:r>
        <w:fldChar w:fldCharType="begin"/>
      </w:r>
      <w:r>
        <w:instrText xml:space="preserve"> HYPERLINK \l "_bookmark7" </w:instrText>
      </w:r>
      <w:r>
        <w:fldChar w:fldCharType="separate"/>
      </w:r>
      <w:r>
        <w:t>5.2</w:t>
      </w:r>
      <w:r>
        <w:fldChar w:fldCharType="end"/>
      </w:r>
      <w:r>
        <w:t>确定的各评价因子1h平均质量浓度限值。对仅有8h平均质量浓度限值、日平均质量浓度限值或年平均质量浓度限值的，可分别按2倍、3倍、6倍折算为1h平均质量浓度限值。</w:t>
      </w:r>
    </w:p>
    <w:p>
      <w:pPr>
        <w:ind w:firstLine="480"/>
      </w:pPr>
      <w:r>
        <w:rPr>
          <w:rFonts w:hint="eastAsia"/>
        </w:rPr>
        <w:t>最大地面空气质量浓度占标率</w:t>
      </w:r>
      <w:r>
        <w:rPr>
          <w:rFonts w:hint="eastAsia"/>
          <w:i/>
        </w:rPr>
        <w:t>Pi</w:t>
      </w:r>
      <w:r>
        <w:rPr>
          <w:rFonts w:hint="eastAsia"/>
        </w:rPr>
        <w:t>按上述公式计算，如污染物数i大于1，取</w:t>
      </w:r>
      <w:r>
        <w:rPr>
          <w:rFonts w:hint="eastAsia"/>
          <w:i/>
        </w:rPr>
        <w:t>P</w:t>
      </w:r>
      <w:r>
        <w:rPr>
          <w:rFonts w:hint="eastAsia"/>
        </w:rPr>
        <w:t>值中最大者</w:t>
      </w:r>
      <w:r>
        <w:rPr>
          <w:rFonts w:hint="eastAsia"/>
          <w:i/>
        </w:rPr>
        <w:t>P</w:t>
      </w:r>
      <w:r>
        <w:rPr>
          <w:rFonts w:hint="eastAsia"/>
          <w:i/>
          <w:vertAlign w:val="subscript"/>
        </w:rPr>
        <w:t>max</w:t>
      </w:r>
      <w:r>
        <w:rPr>
          <w:rFonts w:hint="eastAsia"/>
        </w:rPr>
        <w:t>。同一项目有多个污染源（两个及以上，下同）时，则按各污染源分别确定评价等级，并取评价等级最高者作为项目的评价等级。</w:t>
      </w:r>
      <w:r>
        <w:rPr>
          <w:rFonts w:eastAsiaTheme="minorEastAsia"/>
        </w:rPr>
        <w:t>评价工作等级按</w:t>
      </w:r>
      <w:r>
        <w:rPr>
          <w:rFonts w:eastAsiaTheme="minorEastAsia"/>
        </w:rPr>
        <w:fldChar w:fldCharType="begin"/>
      </w:r>
      <w:r>
        <w:rPr>
          <w:rFonts w:eastAsiaTheme="minorEastAsia"/>
        </w:rPr>
        <w:instrText xml:space="preserve"> REF _Ref532306528 \h </w:instrText>
      </w:r>
      <w:r>
        <w:rPr>
          <w:rFonts w:eastAsiaTheme="minorEastAsia"/>
        </w:rPr>
        <w:fldChar w:fldCharType="separate"/>
      </w:r>
      <w:r>
        <w:rPr>
          <w:rFonts w:hint="eastAsia"/>
        </w:rPr>
        <w:t xml:space="preserve">表 </w:t>
      </w:r>
      <w:r>
        <w:t>1.5</w:t>
      </w:r>
      <w:r>
        <w:noBreakHyphen/>
      </w:r>
      <w:r>
        <w:t>3</w:t>
      </w:r>
      <w:r>
        <w:rPr>
          <w:rFonts w:eastAsiaTheme="minorEastAsia"/>
        </w:rPr>
        <w:fldChar w:fldCharType="end"/>
      </w:r>
      <w:r>
        <w:rPr>
          <w:rFonts w:eastAsiaTheme="minorEastAsia"/>
        </w:rPr>
        <w:t>的分级判据进行划分。</w:t>
      </w:r>
    </w:p>
    <w:p>
      <w:pPr>
        <w:pStyle w:val="18"/>
      </w:pPr>
      <w:bookmarkStart w:id="123" w:name="_Ref532306528"/>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bookmarkEnd w:id="123"/>
      <w:r>
        <w:t xml:space="preserve"> </w:t>
      </w:r>
      <w:r>
        <w:rPr>
          <w:rFonts w:hint="eastAsia"/>
        </w:rPr>
        <w:t>大气评价等级判别表</w:t>
      </w:r>
    </w:p>
    <w:tbl>
      <w:tblPr>
        <w:tblStyle w:val="56"/>
        <w:tblW w:w="9070"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64"/>
        <w:gridCol w:w="61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964" w:type="dxa"/>
            <w:vAlign w:val="center"/>
          </w:tcPr>
          <w:p>
            <w:pPr>
              <w:pStyle w:val="107"/>
              <w:rPr>
                <w:b/>
              </w:rPr>
            </w:pPr>
            <w:r>
              <w:rPr>
                <w:b/>
              </w:rPr>
              <w:t>工作等级</w:t>
            </w:r>
          </w:p>
        </w:tc>
        <w:tc>
          <w:tcPr>
            <w:tcW w:w="6106" w:type="dxa"/>
            <w:vAlign w:val="center"/>
          </w:tcPr>
          <w:p>
            <w:pPr>
              <w:pStyle w:val="107"/>
              <w:rPr>
                <w:b/>
              </w:rPr>
            </w:pPr>
            <w:r>
              <w:rPr>
                <w:b/>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964" w:type="dxa"/>
            <w:vAlign w:val="center"/>
          </w:tcPr>
          <w:p>
            <w:pPr>
              <w:pStyle w:val="107"/>
            </w:pPr>
            <w:r>
              <w:t>一级</w:t>
            </w:r>
          </w:p>
        </w:tc>
        <w:tc>
          <w:tcPr>
            <w:tcW w:w="6106" w:type="dxa"/>
            <w:vAlign w:val="center"/>
          </w:tcPr>
          <w:p>
            <w:pPr>
              <w:pStyle w:val="107"/>
            </w:pPr>
            <w:r>
              <w:t>P</w:t>
            </w:r>
            <w:r>
              <w:rPr>
                <w:vertAlign w:val="subscript"/>
              </w:rPr>
              <w:t>max</w:t>
            </w:r>
            <w: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964" w:type="dxa"/>
            <w:vAlign w:val="center"/>
          </w:tcPr>
          <w:p>
            <w:pPr>
              <w:pStyle w:val="107"/>
            </w:pPr>
            <w:r>
              <w:t>二级</w:t>
            </w:r>
          </w:p>
        </w:tc>
        <w:tc>
          <w:tcPr>
            <w:tcW w:w="6106" w:type="dxa"/>
            <w:vAlign w:val="center"/>
          </w:tcPr>
          <w:p>
            <w:pPr>
              <w:pStyle w:val="107"/>
            </w:pPr>
            <w:r>
              <w:rPr>
                <w:shd w:val="pct10" w:color="auto" w:fill="FFFFFF"/>
              </w:rPr>
              <w:t>1%≤P</w:t>
            </w:r>
            <w:r>
              <w:rPr>
                <w:shd w:val="pct10" w:color="auto" w:fill="FFFFFF"/>
                <w:vertAlign w:val="subscript"/>
              </w:rPr>
              <w:t>max</w:t>
            </w:r>
            <w:r>
              <w:rPr>
                <w:rFonts w:hint="eastAsia"/>
                <w:shd w:val="pct10" w:color="auto" w:fill="FFFFFF"/>
              </w:rPr>
              <w:t>＜</w:t>
            </w:r>
            <w:r>
              <w:rPr>
                <w:shd w:val="pct10" w:color="auto" w:fill="FFFFFF"/>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964" w:type="dxa"/>
            <w:vAlign w:val="center"/>
          </w:tcPr>
          <w:p>
            <w:pPr>
              <w:pStyle w:val="107"/>
            </w:pPr>
            <w:r>
              <w:t>三级</w:t>
            </w:r>
          </w:p>
        </w:tc>
        <w:tc>
          <w:tcPr>
            <w:tcW w:w="6106" w:type="dxa"/>
            <w:vAlign w:val="center"/>
          </w:tcPr>
          <w:p>
            <w:pPr>
              <w:pStyle w:val="107"/>
            </w:pPr>
            <w:r>
              <w:t>P</w:t>
            </w:r>
            <w:r>
              <w:rPr>
                <w:vertAlign w:val="subscript"/>
              </w:rPr>
              <w:t>max</w:t>
            </w:r>
            <w:r>
              <w:rPr>
                <w:rFonts w:hint="eastAsia"/>
              </w:rPr>
              <w:t>＜</w:t>
            </w:r>
            <w:r>
              <w:t>1%</w:t>
            </w:r>
          </w:p>
        </w:tc>
      </w:tr>
    </w:tbl>
    <w:p>
      <w:pPr>
        <w:ind w:firstLine="480"/>
        <w:rPr>
          <w:rFonts w:eastAsiaTheme="minorEastAsia"/>
        </w:rPr>
      </w:pPr>
      <w:r>
        <w:rPr>
          <w:rFonts w:hint="eastAsia" w:eastAsiaTheme="minorEastAsia"/>
        </w:rPr>
        <w:t>本项目主要大气污染物为非甲烷总烃、颗粒物、硫化氢、V</w:t>
      </w:r>
      <w:r>
        <w:rPr>
          <w:rFonts w:eastAsiaTheme="minorEastAsia"/>
        </w:rPr>
        <w:t>OCs</w:t>
      </w:r>
      <w:r>
        <w:rPr>
          <w:rFonts w:hint="eastAsia" w:eastAsiaTheme="minorEastAsia"/>
        </w:rPr>
        <w:t>等，根据项目实施整改后正常工况下污染源分析结果，选择污染物非甲烷总烃、颗粒物和硫化氢作为评价因子。</w:t>
      </w:r>
    </w:p>
    <w:p>
      <w:pPr>
        <w:ind w:firstLine="480"/>
      </w:pPr>
      <w:bookmarkStart w:id="124" w:name="_Ref529794817"/>
      <w:r>
        <w:rPr>
          <w:rFonts w:hint="eastAsia"/>
        </w:rPr>
        <w:t>各</w:t>
      </w:r>
      <w:r>
        <w:rPr>
          <w:rFonts w:hint="eastAsia" w:cs="Times New Roman" w:eastAsiaTheme="minorEastAsia"/>
        </w:rPr>
        <w:t>污染源的正常排放的污染物的</w:t>
      </w:r>
      <w:r>
        <w:rPr>
          <w:rFonts w:cs="Times New Roman" w:eastAsiaTheme="minorEastAsia"/>
        </w:rPr>
        <w:t>P</w:t>
      </w:r>
      <w:r>
        <w:rPr>
          <w:rFonts w:cs="Times New Roman" w:eastAsiaTheme="minorEastAsia"/>
          <w:vertAlign w:val="subscript"/>
        </w:rPr>
        <w:t>max</w:t>
      </w:r>
      <w:r>
        <w:rPr>
          <w:rFonts w:hint="eastAsia" w:cs="Times New Roman" w:eastAsiaTheme="minorEastAsia"/>
        </w:rPr>
        <w:t>和</w:t>
      </w:r>
      <w:r>
        <w:rPr>
          <w:rFonts w:cs="Times New Roman" w:eastAsiaTheme="minorEastAsia"/>
        </w:rPr>
        <w:t>D</w:t>
      </w:r>
      <w:r>
        <w:rPr>
          <w:rFonts w:cs="Times New Roman" w:eastAsiaTheme="minorEastAsia"/>
          <w:vertAlign w:val="subscript"/>
        </w:rPr>
        <w:t>10%</w:t>
      </w:r>
      <w:r>
        <w:rPr>
          <w:rFonts w:hint="eastAsia" w:cs="Times New Roman" w:eastAsiaTheme="minorEastAsia"/>
        </w:rPr>
        <w:t>预</w:t>
      </w:r>
      <w:r>
        <w:rPr>
          <w:rFonts w:hint="eastAsia" w:ascii="Times New Roman" w:hAnsi="Times New Roman" w:cs="Times New Roman"/>
        </w:rPr>
        <w:t>测结果</w:t>
      </w:r>
      <w:r>
        <w:rPr>
          <w:rFonts w:hint="eastAsia"/>
        </w:rPr>
        <w:t>见</w:t>
      </w:r>
      <w:r>
        <w:fldChar w:fldCharType="begin"/>
      </w:r>
      <w:r>
        <w:instrText xml:space="preserve"> </w:instrText>
      </w:r>
      <w:r>
        <w:rPr>
          <w:rFonts w:hint="eastAsia"/>
        </w:rPr>
        <w:instrText xml:space="preserve">REF _Ref532394136 \h</w:instrText>
      </w:r>
      <w:r>
        <w:instrText xml:space="preserve"> </w:instrText>
      </w:r>
      <w:r>
        <w:fldChar w:fldCharType="separate"/>
      </w:r>
      <w:r>
        <w:rPr>
          <w:rFonts w:hint="eastAsia"/>
        </w:rPr>
        <w:t xml:space="preserve">表 </w:t>
      </w:r>
      <w:r>
        <w:t>1.5-4</w:t>
      </w:r>
      <w:r>
        <w:fldChar w:fldCharType="end"/>
      </w:r>
      <w:r>
        <w:rPr>
          <w:rFonts w:hint="eastAsia"/>
        </w:rPr>
        <w:t>，估算模型计算结果详见第</w:t>
      </w:r>
      <w:r>
        <w:fldChar w:fldCharType="begin"/>
      </w:r>
      <w:r>
        <w:instrText xml:space="preserve"> </w:instrText>
      </w:r>
      <w:r>
        <w:rPr>
          <w:rFonts w:hint="eastAsia"/>
        </w:rPr>
        <w:instrText xml:space="preserve">REF _Ref532412366 \r \h</w:instrText>
      </w:r>
      <w:r>
        <w:instrText xml:space="preserve"> </w:instrText>
      </w:r>
      <w:r>
        <w:fldChar w:fldCharType="separate"/>
      </w:r>
      <w:r>
        <w:t>4</w:t>
      </w:r>
      <w:r>
        <w:fldChar w:fldCharType="end"/>
      </w:r>
      <w:r>
        <w:rPr>
          <w:rFonts w:hint="eastAsia"/>
        </w:rPr>
        <w:t>章</w:t>
      </w:r>
      <w:r>
        <w:fldChar w:fldCharType="begin"/>
      </w:r>
      <w:r>
        <w:instrText xml:space="preserve"> </w:instrText>
      </w:r>
      <w:r>
        <w:rPr>
          <w:rFonts w:hint="eastAsia"/>
        </w:rPr>
        <w:instrText xml:space="preserve">REF _Ref532412388 \r \h</w:instrText>
      </w:r>
      <w:r>
        <w:instrText xml:space="preserve"> </w:instrText>
      </w:r>
      <w:r>
        <w:fldChar w:fldCharType="separate"/>
      </w:r>
      <w:r>
        <w:t>4.4.2</w:t>
      </w:r>
      <w:r>
        <w:fldChar w:fldCharType="end"/>
      </w:r>
      <w:r>
        <w:rPr>
          <w:rFonts w:hint="eastAsia"/>
        </w:rPr>
        <w:t>节</w:t>
      </w:r>
      <w:r>
        <w:fldChar w:fldCharType="begin"/>
      </w:r>
      <w:r>
        <w:instrText xml:space="preserve"> REF _Ref532412388 \h </w:instrText>
      </w:r>
      <w:r>
        <w:fldChar w:fldCharType="separate"/>
      </w:r>
      <w:r>
        <w:rPr>
          <w:rFonts w:hint="eastAsia"/>
        </w:rPr>
        <w:t>大气环境影响分析</w:t>
      </w:r>
      <w:r>
        <w:fldChar w:fldCharType="end"/>
      </w:r>
      <w:r>
        <w:t>。</w:t>
      </w:r>
    </w:p>
    <w:p>
      <w:pPr>
        <w:pStyle w:val="18"/>
      </w:pPr>
      <w:bookmarkStart w:id="125" w:name="_Ref532394136"/>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1.5</w:t>
      </w:r>
      <w:r>
        <w:fldChar w:fldCharType="end"/>
      </w:r>
      <w:r>
        <w:noBreakHyphen/>
      </w:r>
      <w:bookmarkEnd w:id="124"/>
      <w:bookmarkEnd w:id="125"/>
      <w:r>
        <w:t xml:space="preserve">4 </w:t>
      </w:r>
      <w:r>
        <w:rPr>
          <w:rFonts w:hint="eastAsia"/>
        </w:rPr>
        <w:t>项目污染源</w:t>
      </w:r>
      <w:r>
        <w:rPr>
          <w:rFonts w:eastAsiaTheme="minorEastAsia"/>
        </w:rPr>
        <w:t>P</w:t>
      </w:r>
      <w:r>
        <w:rPr>
          <w:rFonts w:eastAsiaTheme="minorEastAsia"/>
          <w:vertAlign w:val="subscript"/>
        </w:rPr>
        <w:t>max</w:t>
      </w:r>
      <w:r>
        <w:rPr>
          <w:rFonts w:hint="eastAsia" w:eastAsiaTheme="minorEastAsia"/>
        </w:rPr>
        <w:t>和</w:t>
      </w:r>
      <w:r>
        <w:rPr>
          <w:rFonts w:eastAsiaTheme="minorEastAsia"/>
        </w:rPr>
        <w:t>D</w:t>
      </w:r>
      <w:r>
        <w:rPr>
          <w:rFonts w:eastAsiaTheme="minorEastAsia"/>
          <w:vertAlign w:val="subscript"/>
        </w:rPr>
        <w:t>10%</w:t>
      </w:r>
      <w:r>
        <w:rPr>
          <w:rFonts w:hint="eastAsia" w:eastAsiaTheme="minorEastAsia"/>
        </w:rPr>
        <w:t>估</w:t>
      </w:r>
      <w:r>
        <w:rPr>
          <w:rFonts w:hint="eastAsia"/>
        </w:rPr>
        <w:t>算模式结果一览表</w:t>
      </w:r>
    </w:p>
    <w:tbl>
      <w:tblPr>
        <w:tblStyle w:val="57"/>
        <w:tblW w:w="9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09"/>
        <w:gridCol w:w="1212"/>
        <w:gridCol w:w="1511"/>
        <w:gridCol w:w="1509"/>
        <w:gridCol w:w="1511"/>
        <w:gridCol w:w="15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2" w:hRule="atLeast"/>
        </w:trPr>
        <w:tc>
          <w:tcPr>
            <w:tcW w:w="1809" w:type="dxa"/>
            <w:tcBorders>
              <w:top w:val="single" w:color="auto" w:sz="4" w:space="0"/>
              <w:left w:val="single" w:color="auto" w:sz="4" w:space="0"/>
              <w:bottom w:val="single" w:color="auto" w:sz="4" w:space="0"/>
              <w:right w:val="single" w:color="auto" w:sz="4" w:space="0"/>
            </w:tcBorders>
            <w:vAlign w:val="center"/>
          </w:tcPr>
          <w:p>
            <w:pPr>
              <w:pStyle w:val="107"/>
              <w:rPr>
                <w:rFonts w:cstheme="minorBidi"/>
                <w:b/>
              </w:rPr>
            </w:pPr>
            <w:r>
              <w:rPr>
                <w:rFonts w:hint="eastAsia"/>
                <w:b/>
              </w:rPr>
              <w:t>污染源名称</w:t>
            </w:r>
          </w:p>
        </w:tc>
        <w:tc>
          <w:tcPr>
            <w:tcW w:w="1212" w:type="dxa"/>
            <w:tcBorders>
              <w:top w:val="single" w:color="auto" w:sz="4" w:space="0"/>
              <w:left w:val="single" w:color="auto" w:sz="4" w:space="0"/>
              <w:bottom w:val="single" w:color="auto" w:sz="4" w:space="0"/>
              <w:right w:val="single" w:color="auto" w:sz="4" w:space="0"/>
            </w:tcBorders>
            <w:vAlign w:val="center"/>
          </w:tcPr>
          <w:p>
            <w:pPr>
              <w:pStyle w:val="107"/>
              <w:rPr>
                <w:rFonts w:cs="Times New Roman"/>
                <w:b/>
              </w:rPr>
            </w:pPr>
            <w:r>
              <w:rPr>
                <w:rFonts w:hint="eastAsia"/>
                <w:b/>
              </w:rPr>
              <w:t>评价因子</w:t>
            </w:r>
          </w:p>
        </w:tc>
        <w:tc>
          <w:tcPr>
            <w:tcW w:w="1511" w:type="dxa"/>
            <w:tcBorders>
              <w:top w:val="single" w:color="auto" w:sz="4" w:space="0"/>
              <w:left w:val="single" w:color="auto" w:sz="4" w:space="0"/>
              <w:bottom w:val="single" w:color="auto" w:sz="4" w:space="0"/>
              <w:right w:val="single" w:color="auto" w:sz="4" w:space="0"/>
            </w:tcBorders>
            <w:vAlign w:val="center"/>
          </w:tcPr>
          <w:p>
            <w:pPr>
              <w:pStyle w:val="107"/>
              <w:rPr>
                <w:rFonts w:cs="Times New Roman"/>
                <w:b/>
              </w:rPr>
            </w:pPr>
            <w:r>
              <w:rPr>
                <w:rFonts w:hint="eastAsia"/>
                <w:b/>
              </w:rPr>
              <w:t>评价标准</w:t>
            </w:r>
            <w:r>
              <w:rPr>
                <w:rFonts w:cs="Times New Roman"/>
                <w:b/>
              </w:rPr>
              <w:t>(μg/m</w:t>
            </w:r>
            <w:r>
              <w:rPr>
                <w:rFonts w:cs="Times New Roman"/>
                <w:b/>
                <w:vertAlign w:val="superscript"/>
              </w:rPr>
              <w:t>3</w:t>
            </w:r>
            <w:r>
              <w:rPr>
                <w:rFonts w:cs="Times New Roman"/>
                <w:b/>
              </w:rPr>
              <w:t>)</w:t>
            </w:r>
          </w:p>
        </w:tc>
        <w:tc>
          <w:tcPr>
            <w:tcW w:w="1509" w:type="dxa"/>
            <w:tcBorders>
              <w:top w:val="single" w:color="auto" w:sz="4" w:space="0"/>
              <w:left w:val="single" w:color="auto" w:sz="4" w:space="0"/>
              <w:bottom w:val="single" w:color="auto" w:sz="4" w:space="0"/>
              <w:right w:val="single" w:color="auto" w:sz="4" w:space="0"/>
            </w:tcBorders>
            <w:vAlign w:val="center"/>
          </w:tcPr>
          <w:p>
            <w:pPr>
              <w:pStyle w:val="107"/>
              <w:rPr>
                <w:rFonts w:cs="Times New Roman"/>
                <w:b/>
              </w:rPr>
            </w:pPr>
            <w:r>
              <w:rPr>
                <w:rFonts w:cs="Times New Roman"/>
                <w:b/>
              </w:rPr>
              <w:t>C</w:t>
            </w:r>
            <w:r>
              <w:rPr>
                <w:rFonts w:cs="Times New Roman"/>
                <w:b/>
                <w:vertAlign w:val="subscript"/>
              </w:rPr>
              <w:t>max</w:t>
            </w:r>
          </w:p>
          <w:p>
            <w:pPr>
              <w:pStyle w:val="107"/>
              <w:rPr>
                <w:rFonts w:cs="Times New Roman"/>
                <w:b/>
              </w:rPr>
            </w:pPr>
            <w:r>
              <w:rPr>
                <w:rFonts w:cs="Times New Roman"/>
                <w:b/>
              </w:rPr>
              <w:t>(μg/m</w:t>
            </w:r>
            <w:r>
              <w:rPr>
                <w:rFonts w:cs="Times New Roman"/>
                <w:b/>
                <w:vertAlign w:val="superscript"/>
              </w:rPr>
              <w:t>3</w:t>
            </w:r>
            <w:r>
              <w:rPr>
                <w:rFonts w:cs="Times New Roman"/>
                <w:b/>
              </w:rPr>
              <w:t>)</w:t>
            </w:r>
          </w:p>
        </w:tc>
        <w:tc>
          <w:tcPr>
            <w:tcW w:w="1511" w:type="dxa"/>
            <w:tcBorders>
              <w:top w:val="single" w:color="auto" w:sz="4" w:space="0"/>
              <w:left w:val="single" w:color="auto" w:sz="4" w:space="0"/>
              <w:bottom w:val="single" w:color="auto" w:sz="4" w:space="0"/>
              <w:right w:val="single" w:color="auto" w:sz="4" w:space="0"/>
            </w:tcBorders>
            <w:vAlign w:val="center"/>
          </w:tcPr>
          <w:p>
            <w:pPr>
              <w:pStyle w:val="107"/>
              <w:rPr>
                <w:rFonts w:cs="Times New Roman"/>
                <w:b/>
              </w:rPr>
            </w:pPr>
            <w:r>
              <w:rPr>
                <w:rFonts w:cs="Times New Roman"/>
                <w:b/>
              </w:rPr>
              <w:t>P</w:t>
            </w:r>
            <w:r>
              <w:rPr>
                <w:rFonts w:cs="Times New Roman"/>
                <w:b/>
                <w:vertAlign w:val="subscript"/>
              </w:rPr>
              <w:t>max</w:t>
            </w:r>
          </w:p>
          <w:p>
            <w:pPr>
              <w:pStyle w:val="107"/>
              <w:rPr>
                <w:rFonts w:cs="Times New Roman"/>
                <w:b/>
              </w:rPr>
            </w:pPr>
            <w:r>
              <w:rPr>
                <w:rFonts w:cs="Times New Roman"/>
                <w:b/>
              </w:rPr>
              <w:t>(%)</w:t>
            </w:r>
          </w:p>
        </w:tc>
        <w:tc>
          <w:tcPr>
            <w:tcW w:w="1508" w:type="dxa"/>
            <w:tcBorders>
              <w:top w:val="single" w:color="auto" w:sz="4" w:space="0"/>
              <w:left w:val="single" w:color="auto" w:sz="4" w:space="0"/>
              <w:bottom w:val="single" w:color="auto" w:sz="4" w:space="0"/>
              <w:right w:val="single" w:color="auto" w:sz="4" w:space="0"/>
            </w:tcBorders>
            <w:vAlign w:val="center"/>
          </w:tcPr>
          <w:p>
            <w:pPr>
              <w:pStyle w:val="107"/>
              <w:rPr>
                <w:rFonts w:cs="Times New Roman"/>
                <w:b/>
              </w:rPr>
            </w:pPr>
            <w:r>
              <w:rPr>
                <w:rFonts w:cs="Times New Roman"/>
                <w:b/>
              </w:rPr>
              <w:t>D</w:t>
            </w:r>
            <w:r>
              <w:rPr>
                <w:rFonts w:cs="Times New Roman"/>
                <w:b/>
                <w:vertAlign w:val="subscript"/>
              </w:rPr>
              <w:t>10%</w:t>
            </w:r>
          </w:p>
          <w:p>
            <w:pPr>
              <w:pStyle w:val="107"/>
              <w:rPr>
                <w:rFonts w:cs="Times New Roman"/>
                <w:b/>
              </w:rPr>
            </w:pPr>
            <w:r>
              <w:rPr>
                <w:rFonts w:cs="Times New Roman"/>
                <w:b/>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w:t>
            </w:r>
            <w:r>
              <w:rPr>
                <w:rStyle w:val="63"/>
                <w:rFonts w:hint="eastAsia"/>
                <w:color w:val="000000" w:themeColor="text1"/>
                <w14:textFill>
                  <w14:solidFill>
                    <w14:schemeClr w14:val="tx1"/>
                  </w14:solidFill>
                </w14:textFill>
              </w:rPr>
              <w:t>硫化</w:t>
            </w:r>
            <w:r>
              <w:rPr>
                <w:rStyle w:val="63"/>
                <w:color w:val="000000" w:themeColor="text1"/>
                <w14:textFill>
                  <w14:solidFill>
                    <w14:schemeClr w14:val="tx1"/>
                  </w14:solidFill>
                </w14:textFill>
              </w:rPr>
              <w:t>车间</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NMHC</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2000.0</w:t>
            </w:r>
          </w:p>
        </w:tc>
        <w:tc>
          <w:tcPr>
            <w:tcW w:w="1509" w:type="dxa"/>
            <w:vAlign w:val="center"/>
          </w:tcPr>
          <w:p>
            <w:pPr>
              <w:pStyle w:val="107"/>
              <w:rPr>
                <w:rStyle w:val="63"/>
                <w:color w:val="000000" w:themeColor="text1"/>
                <w14:textFill>
                  <w14:solidFill>
                    <w14:schemeClr w14:val="tx1"/>
                  </w14:solidFill>
                </w14:textFill>
              </w:rPr>
            </w:pPr>
            <w:r>
              <w:t>12.53</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0.63</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w:t>
            </w:r>
            <w:r>
              <w:rPr>
                <w:rStyle w:val="63"/>
                <w:rFonts w:hint="eastAsia"/>
                <w:color w:val="000000" w:themeColor="text1"/>
                <w14:textFill>
                  <w14:solidFill>
                    <w14:schemeClr w14:val="tx1"/>
                  </w14:solidFill>
                </w14:textFill>
              </w:rPr>
              <w:t>硫化</w:t>
            </w:r>
            <w:r>
              <w:rPr>
                <w:rStyle w:val="63"/>
                <w:color w:val="000000" w:themeColor="text1"/>
                <w14:textFill>
                  <w14:solidFill>
                    <w14:schemeClr w14:val="tx1"/>
                  </w14:solidFill>
                </w14:textFill>
              </w:rPr>
              <w:t>车间</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10.0</w:t>
            </w:r>
          </w:p>
        </w:tc>
        <w:tc>
          <w:tcPr>
            <w:tcW w:w="1509" w:type="dxa"/>
            <w:vAlign w:val="center"/>
          </w:tcPr>
          <w:p>
            <w:pPr>
              <w:pStyle w:val="107"/>
              <w:rPr>
                <w:rStyle w:val="63"/>
                <w:color w:val="000000" w:themeColor="text1"/>
                <w14:textFill>
                  <w14:solidFill>
                    <w14:schemeClr w14:val="tx1"/>
                  </w14:solidFill>
                </w14:textFill>
              </w:rPr>
            </w:pPr>
            <w:r>
              <w:t>0.4748</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4.75</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w:t>
            </w:r>
            <w:r>
              <w:rPr>
                <w:rStyle w:val="63"/>
                <w:rFonts w:hint="eastAsia"/>
                <w:color w:val="000000" w:themeColor="text1"/>
                <w14:textFill>
                  <w14:solidFill>
                    <w14:schemeClr w14:val="tx1"/>
                  </w14:solidFill>
                </w14:textFill>
              </w:rPr>
              <w:t>混炼</w:t>
            </w:r>
            <w:r>
              <w:rPr>
                <w:rStyle w:val="63"/>
                <w:color w:val="000000" w:themeColor="text1"/>
                <w14:textFill>
                  <w14:solidFill>
                    <w14:schemeClr w14:val="tx1"/>
                  </w14:solidFill>
                </w14:textFill>
              </w:rPr>
              <w:t>车间</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10.0</w:t>
            </w:r>
          </w:p>
        </w:tc>
        <w:tc>
          <w:tcPr>
            <w:tcW w:w="1509" w:type="dxa"/>
            <w:vAlign w:val="center"/>
          </w:tcPr>
          <w:p>
            <w:pPr>
              <w:pStyle w:val="107"/>
              <w:rPr>
                <w:rStyle w:val="63"/>
                <w:color w:val="000000" w:themeColor="text1"/>
                <w14:textFill>
                  <w14:solidFill>
                    <w14:schemeClr w14:val="tx1"/>
                  </w14:solidFill>
                </w14:textFill>
              </w:rPr>
            </w:pPr>
            <w:r>
              <w:t>0.4823</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4.82</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w:t>
            </w:r>
            <w:r>
              <w:rPr>
                <w:rStyle w:val="63"/>
                <w:rFonts w:hint="eastAsia"/>
                <w:color w:val="000000" w:themeColor="text1"/>
                <w14:textFill>
                  <w14:solidFill>
                    <w14:schemeClr w14:val="tx1"/>
                  </w14:solidFill>
                </w14:textFill>
              </w:rPr>
              <w:t>混炼</w:t>
            </w:r>
            <w:r>
              <w:rPr>
                <w:rStyle w:val="63"/>
                <w:color w:val="000000" w:themeColor="text1"/>
                <w14:textFill>
                  <w14:solidFill>
                    <w14:schemeClr w14:val="tx1"/>
                  </w14:solidFill>
                </w14:textFill>
              </w:rPr>
              <w:t>车间</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NMHC</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2000.0</w:t>
            </w:r>
          </w:p>
        </w:tc>
        <w:tc>
          <w:tcPr>
            <w:tcW w:w="1509" w:type="dxa"/>
            <w:vAlign w:val="center"/>
          </w:tcPr>
          <w:p>
            <w:pPr>
              <w:pStyle w:val="107"/>
              <w:rPr>
                <w:rStyle w:val="63"/>
                <w:color w:val="000000" w:themeColor="text1"/>
                <w14:textFill>
                  <w14:solidFill>
                    <w14:schemeClr w14:val="tx1"/>
                  </w14:solidFill>
                </w14:textFill>
              </w:rPr>
            </w:pPr>
            <w:r>
              <w:t>6.730</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0.34</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面源_密炼围蔽区</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TSP</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900.0</w:t>
            </w:r>
          </w:p>
        </w:tc>
        <w:tc>
          <w:tcPr>
            <w:tcW w:w="1509" w:type="dxa"/>
            <w:vAlign w:val="center"/>
          </w:tcPr>
          <w:p>
            <w:pPr>
              <w:pStyle w:val="107"/>
              <w:rPr>
                <w:rStyle w:val="63"/>
                <w:color w:val="000000" w:themeColor="text1"/>
                <w14:textFill>
                  <w14:solidFill>
                    <w14:schemeClr w14:val="tx1"/>
                  </w14:solidFill>
                </w14:textFill>
              </w:rPr>
            </w:pPr>
            <w:r>
              <w:t>60.42</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6.71</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面源_密炼围蔽区</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NMHC</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2000.0</w:t>
            </w:r>
          </w:p>
        </w:tc>
        <w:tc>
          <w:tcPr>
            <w:tcW w:w="1509" w:type="dxa"/>
            <w:vAlign w:val="center"/>
          </w:tcPr>
          <w:p>
            <w:pPr>
              <w:pStyle w:val="107"/>
              <w:rPr>
                <w:rStyle w:val="63"/>
                <w:color w:val="000000" w:themeColor="text1"/>
                <w14:textFill>
                  <w14:solidFill>
                    <w14:schemeClr w14:val="tx1"/>
                  </w14:solidFill>
                </w14:textFill>
              </w:rPr>
            </w:pPr>
            <w:r>
              <w:t>16.93</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0.85</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面源_密炼围蔽区</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10.0</w:t>
            </w:r>
          </w:p>
        </w:tc>
        <w:tc>
          <w:tcPr>
            <w:tcW w:w="1509" w:type="dxa"/>
            <w:vAlign w:val="center"/>
          </w:tcPr>
          <w:p>
            <w:pPr>
              <w:pStyle w:val="107"/>
              <w:rPr>
                <w:rStyle w:val="63"/>
                <w:color w:val="000000" w:themeColor="text1"/>
                <w14:textFill>
                  <w14:solidFill>
                    <w14:schemeClr w14:val="tx1"/>
                  </w14:solidFill>
                </w14:textFill>
              </w:rPr>
            </w:pPr>
            <w:r>
              <w:t>0.3400</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3.4</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面源-包装车间</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VOCs</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1200.0</w:t>
            </w:r>
          </w:p>
        </w:tc>
        <w:tc>
          <w:tcPr>
            <w:tcW w:w="1509" w:type="dxa"/>
            <w:vAlign w:val="center"/>
          </w:tcPr>
          <w:p>
            <w:pPr>
              <w:pStyle w:val="107"/>
            </w:pPr>
            <w:r>
              <w:t>8.727</w:t>
            </w:r>
          </w:p>
        </w:tc>
        <w:tc>
          <w:tcPr>
            <w:tcW w:w="1511" w:type="dxa"/>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.72</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排气筒P1</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10.0</w:t>
            </w:r>
          </w:p>
        </w:tc>
        <w:tc>
          <w:tcPr>
            <w:tcW w:w="1509" w:type="dxa"/>
            <w:vAlign w:val="center"/>
          </w:tcPr>
          <w:p>
            <w:pPr>
              <w:pStyle w:val="107"/>
              <w:rPr>
                <w:rStyle w:val="63"/>
                <w:color w:val="000000" w:themeColor="text1"/>
                <w14:textFill>
                  <w14:solidFill>
                    <w14:schemeClr w14:val="tx1"/>
                  </w14:solidFill>
                </w14:textFill>
              </w:rPr>
            </w:pPr>
            <w:r>
              <w:t>0.3063E-02</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0.03</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continue"/>
            <w:vAlign w:val="center"/>
          </w:tcPr>
          <w:p>
            <w:pPr>
              <w:pStyle w:val="107"/>
              <w:rPr>
                <w:rStyle w:val="63"/>
                <w:color w:val="000000" w:themeColor="text1"/>
                <w14:textFill>
                  <w14:solidFill>
                    <w14:schemeClr w14:val="tx1"/>
                  </w14:solidFill>
                </w14:textFill>
              </w:rPr>
            </w:pP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NMHC</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2000.0</w:t>
            </w:r>
          </w:p>
        </w:tc>
        <w:tc>
          <w:tcPr>
            <w:tcW w:w="1509" w:type="dxa"/>
            <w:vAlign w:val="center"/>
          </w:tcPr>
          <w:p>
            <w:pPr>
              <w:pStyle w:val="107"/>
              <w:rPr>
                <w:rStyle w:val="63"/>
                <w:color w:val="000000" w:themeColor="text1"/>
                <w14:textFill>
                  <w14:solidFill>
                    <w14:schemeClr w14:val="tx1"/>
                  </w14:solidFill>
                </w14:textFill>
              </w:rPr>
            </w:pPr>
            <w:r>
              <w:t>0.8276E-01</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continue"/>
            <w:vAlign w:val="center"/>
          </w:tcPr>
          <w:p>
            <w:pPr>
              <w:pStyle w:val="107"/>
              <w:rPr>
                <w:rStyle w:val="63"/>
                <w:color w:val="000000" w:themeColor="text1"/>
                <w14:textFill>
                  <w14:solidFill>
                    <w14:schemeClr w14:val="tx1"/>
                  </w14:solidFill>
                </w14:textFill>
              </w:rPr>
            </w:pP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TSP</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900.</w:t>
            </w:r>
          </w:p>
        </w:tc>
        <w:tc>
          <w:tcPr>
            <w:tcW w:w="1509" w:type="dxa"/>
            <w:vAlign w:val="center"/>
          </w:tcPr>
          <w:p>
            <w:pPr>
              <w:pStyle w:val="107"/>
              <w:rPr>
                <w:rStyle w:val="63"/>
                <w:color w:val="000000" w:themeColor="text1"/>
                <w14:textFill>
                  <w14:solidFill>
                    <w14:schemeClr w14:val="tx1"/>
                  </w14:solidFill>
                </w14:textFill>
              </w:rPr>
            </w:pPr>
            <w:r>
              <w:t>0.2313E-01</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0.01</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排气筒P2</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TSP</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2000.0</w:t>
            </w:r>
          </w:p>
        </w:tc>
        <w:tc>
          <w:tcPr>
            <w:tcW w:w="1509" w:type="dxa"/>
            <w:vAlign w:val="center"/>
          </w:tcPr>
          <w:p>
            <w:pPr>
              <w:pStyle w:val="107"/>
              <w:rPr>
                <w:rStyle w:val="63"/>
                <w:color w:val="000000" w:themeColor="text1"/>
                <w14:textFill>
                  <w14:solidFill>
                    <w14:schemeClr w14:val="tx1"/>
                  </w14:solidFill>
                </w14:textFill>
              </w:rPr>
            </w:pPr>
            <w:r>
              <w:t>3.916</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0.44</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bl>
    <w:p>
      <w:pPr>
        <w:pStyle w:val="107"/>
        <w:spacing w:line="360" w:lineRule="auto"/>
        <w:jc w:val="left"/>
      </w:pPr>
      <w:r>
        <w:t>注：D</w:t>
      </w:r>
      <w:r>
        <w:rPr>
          <w:vertAlign w:val="subscript"/>
        </w:rPr>
        <w:t>10</w:t>
      </w:r>
      <w:r>
        <w:rPr>
          <w:rFonts w:hint="eastAsia"/>
          <w:vertAlign w:val="subscript"/>
        </w:rPr>
        <w:t>%</w:t>
      </w:r>
      <w:r>
        <w:t>为‘/’表示该污染物最大地面浓度占标率</w:t>
      </w:r>
      <w:r>
        <w:rPr>
          <w:rFonts w:hint="eastAsia"/>
        </w:rPr>
        <w:t>&lt;</w:t>
      </w:r>
      <w:r>
        <w:t>10%，不存在占标率为10%时对应的最远距离。</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根据估算模式预测结果，建设项目各污染物中混炼车间面源中TSP预测结果相对最大，浓度值为</w:t>
      </w:r>
      <w:r>
        <w:rPr>
          <w:rStyle w:val="63"/>
          <w:color w:val="000000" w:themeColor="text1"/>
          <w14:textFill>
            <w14:solidFill>
              <w14:schemeClr w14:val="tx1"/>
            </w14:solidFill>
          </w14:textFill>
        </w:rPr>
        <w:t>60.42μg/m</w:t>
      </w:r>
      <w:r>
        <w:rPr>
          <w:rStyle w:val="63"/>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，标准值为900</w:t>
      </w:r>
      <w:r>
        <w:rPr>
          <w:rStyle w:val="63"/>
          <w:color w:val="000000" w:themeColor="text1"/>
          <w14:textFill>
            <w14:solidFill>
              <w14:schemeClr w14:val="tx1"/>
            </w14:solidFill>
          </w14:textFill>
        </w:rPr>
        <w:t>μg/m</w:t>
      </w:r>
      <w:r>
        <w:rPr>
          <w:rStyle w:val="63"/>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，占标率为</w:t>
      </w:r>
      <w:r>
        <w:rPr>
          <w:rStyle w:val="63"/>
          <w:color w:val="000000" w:themeColor="text1"/>
          <w14:textFill>
            <w14:solidFill>
              <w14:schemeClr w14:val="tx1"/>
            </w14:solidFill>
          </w14:textFill>
        </w:rPr>
        <w:t>6.71</w:t>
      </w:r>
      <w:r>
        <w:rPr>
          <w:rStyle w:val="63"/>
          <w:rFonts w:hint="eastAsia"/>
          <w:color w:val="000000" w:themeColor="text1"/>
          <w14:textFill>
            <w14:solidFill>
              <w14:schemeClr w14:val="tx1"/>
            </w14:solidFill>
          </w14:textFill>
        </w:rPr>
        <w:t>%，判定该污染源的评价等级为二级，本项目环境空气影响评价工作等级为二级。</w:t>
      </w:r>
    </w:p>
    <w:p>
      <w:pPr>
        <w:ind w:firstLine="482"/>
        <w:rPr>
          <w:rFonts w:eastAsiaTheme="minorEastAsia"/>
        </w:rPr>
      </w:pPr>
      <w:r>
        <w:rPr>
          <w:rStyle w:val="59"/>
          <w:rFonts w:hint="eastAsia"/>
        </w:rPr>
        <w:t>评价范围</w:t>
      </w:r>
      <w:r>
        <w:rPr>
          <w:rFonts w:hint="eastAsia" w:eastAsiaTheme="minorEastAsia"/>
        </w:rPr>
        <w:t>：根据《环境影响评价技术导则 大气环境》（HJ</w:t>
      </w:r>
      <w:r>
        <w:rPr>
          <w:rFonts w:eastAsiaTheme="minorEastAsia"/>
        </w:rPr>
        <w:t xml:space="preserve"> </w:t>
      </w:r>
      <w:r>
        <w:rPr>
          <w:rFonts w:hint="eastAsia" w:eastAsiaTheme="minorEastAsia"/>
        </w:rPr>
        <w:t>2.2-2018）的有关要求，以及本项目的评价工作等级、污染物排放情况和项目所在区域环境空气质量等情况，确定本项目大气环境评价范围为以建设项目厂址中心（中心地理坐标：</w:t>
      </w:r>
      <w:r>
        <w:rPr>
          <w:rFonts w:hint="eastAsia" w:cs="Times New Roman" w:eastAsiaTheme="minorEastAsia"/>
        </w:rPr>
        <w:t xml:space="preserve">N </w:t>
      </w:r>
      <w:r>
        <w:rPr>
          <w:rFonts w:cs="Times New Roman" w:eastAsiaTheme="minorEastAsia"/>
        </w:rPr>
        <w:t>22.478309</w:t>
      </w:r>
      <w:r>
        <w:rPr>
          <w:rFonts w:hint="eastAsia" w:cs="Times New Roman" w:eastAsiaTheme="minorEastAsia"/>
        </w:rPr>
        <w:t xml:space="preserve">，E </w:t>
      </w:r>
      <w:r>
        <w:rPr>
          <w:rFonts w:cs="Times New Roman" w:eastAsiaTheme="minorEastAsia"/>
        </w:rPr>
        <w:t>112.546949</w:t>
      </w:r>
      <w:r>
        <w:rPr>
          <w:rFonts w:hint="eastAsia" w:eastAsiaTheme="minorEastAsia"/>
        </w:rPr>
        <w:t>）为中心，边长为5km的矩形范围，评价范围详见</w:t>
      </w:r>
      <w:r>
        <w:rPr>
          <w:rFonts w:eastAsiaTheme="minorEastAsia"/>
          <w:highlight w:val="yellow"/>
        </w:rPr>
        <w:fldChar w:fldCharType="begin"/>
      </w:r>
      <w:r>
        <w:rPr>
          <w:rFonts w:eastAsiaTheme="minorEastAsia"/>
        </w:rPr>
        <w:instrText xml:space="preserve"> </w:instrText>
      </w:r>
      <w:r>
        <w:rPr>
          <w:rFonts w:hint="eastAsia" w:eastAsiaTheme="minorEastAsia"/>
        </w:rPr>
        <w:instrText xml:space="preserve">REF _Ref524468399 \h</w:instrText>
      </w:r>
      <w:r>
        <w:rPr>
          <w:rFonts w:eastAsiaTheme="minorEastAsia"/>
        </w:rPr>
        <w:instrText xml:space="preserve"> </w:instrText>
      </w:r>
      <w:r>
        <w:rPr>
          <w:rFonts w:eastAsiaTheme="minorEastAsia"/>
          <w:highlight w:val="yellow"/>
        </w:rPr>
        <w:instrText xml:space="preserve"> \* MERGEFORMAT </w:instrText>
      </w:r>
      <w:r>
        <w:rPr>
          <w:rFonts w:eastAsiaTheme="minorEastAsia"/>
          <w:highlight w:val="yellow"/>
        </w:rPr>
        <w:fldChar w:fldCharType="separate"/>
      </w:r>
      <w:r>
        <w:rPr>
          <w:rFonts w:hint="eastAsia" w:eastAsiaTheme="minorEastAsia"/>
        </w:rPr>
        <w:t xml:space="preserve">图 </w:t>
      </w:r>
      <w:r>
        <w:rPr>
          <w:rFonts w:eastAsiaTheme="minorEastAsia"/>
        </w:rPr>
        <w:t>1.5</w:t>
      </w:r>
      <w:r>
        <w:rPr>
          <w:rFonts w:eastAsiaTheme="minorEastAsia"/>
        </w:rPr>
        <w:noBreakHyphen/>
      </w:r>
      <w:r>
        <w:rPr>
          <w:rFonts w:eastAsiaTheme="minorEastAsia"/>
        </w:rPr>
        <w:t>1</w:t>
      </w:r>
      <w:r>
        <w:rPr>
          <w:rFonts w:eastAsiaTheme="minorEastAsia"/>
          <w:highlight w:val="yellow"/>
        </w:rPr>
        <w:fldChar w:fldCharType="end"/>
      </w:r>
      <w:r>
        <w:rPr>
          <w:rFonts w:hint="eastAsia" w:eastAsiaTheme="minorEastAsia"/>
        </w:rPr>
        <w:t>。恶臭气体的评价范围为厂界四周。</w:t>
      </w:r>
    </w:p>
    <w:p>
      <w:pPr>
        <w:ind w:firstLine="482"/>
        <w:rPr>
          <w:rFonts w:eastAsiaTheme="minorEastAsia"/>
        </w:rPr>
      </w:pPr>
      <w:r>
        <w:rPr>
          <w:rFonts w:hint="eastAsia" w:eastAsiaTheme="minorEastAsia"/>
          <w:b/>
        </w:rPr>
        <w:t>评价基准年筛选</w:t>
      </w:r>
      <w:r>
        <w:rPr>
          <w:rFonts w:hint="eastAsia" w:eastAsiaTheme="minorEastAsia"/>
        </w:rPr>
        <w:t>：本次评价选择2</w:t>
      </w:r>
      <w:r>
        <w:rPr>
          <w:rFonts w:eastAsiaTheme="minorEastAsia"/>
        </w:rPr>
        <w:t>017</w:t>
      </w:r>
      <w:r>
        <w:rPr>
          <w:rFonts w:hint="eastAsia" w:eastAsiaTheme="minorEastAsia"/>
        </w:rPr>
        <w:t>年作为评价基准年。</w:t>
      </w:r>
    </w:p>
    <w:p>
      <w:pPr>
        <w:pStyle w:val="5"/>
      </w:pPr>
      <w:r>
        <w:t>声环境</w:t>
      </w:r>
      <w:r>
        <w:rPr>
          <w:rFonts w:hint="eastAsia"/>
        </w:rPr>
        <w:t>影响评价等级和范围</w:t>
      </w:r>
    </w:p>
    <w:p>
      <w:pPr>
        <w:ind w:firstLine="482"/>
        <w:rPr>
          <w:rFonts w:eastAsiaTheme="minorEastAsia"/>
        </w:rPr>
      </w:pPr>
      <w:r>
        <w:rPr>
          <w:rStyle w:val="59"/>
          <w:rFonts w:hint="eastAsia"/>
        </w:rPr>
        <w:t>评价等级</w:t>
      </w:r>
      <w:r>
        <w:rPr>
          <w:rFonts w:hint="eastAsia" w:eastAsiaTheme="minorEastAsia"/>
        </w:rPr>
        <w:t>：本项目所在区域位于</w:t>
      </w:r>
      <w:r>
        <w:rPr>
          <w:rFonts w:eastAsiaTheme="minorEastAsia"/>
        </w:rPr>
        <w:t>GB 3096</w:t>
      </w:r>
      <w:r>
        <w:rPr>
          <w:rFonts w:hint="eastAsia" w:eastAsiaTheme="minorEastAsia"/>
        </w:rPr>
        <w:t>规定的声环境功能</w:t>
      </w:r>
      <w:r>
        <w:rPr>
          <w:rFonts w:eastAsiaTheme="minorEastAsia"/>
        </w:rPr>
        <w:t>2</w:t>
      </w:r>
      <w:r>
        <w:rPr>
          <w:rFonts w:hint="eastAsia" w:eastAsiaTheme="minorEastAsia"/>
        </w:rPr>
        <w:t>类区，项目主要的噪声源包括生产设备、空压机、水泵及风机等，噪声源均置于厂房或专用设备用房内，影响程度及影响范围均较小。根据《环境影响评价技术导则</w:t>
      </w:r>
      <w:r>
        <w:rPr>
          <w:rFonts w:eastAsiaTheme="minorEastAsia"/>
        </w:rPr>
        <w:t xml:space="preserve"> </w:t>
      </w:r>
      <w:r>
        <w:rPr>
          <w:rFonts w:hint="eastAsia" w:eastAsiaTheme="minorEastAsia"/>
        </w:rPr>
        <w:t>声环境》（</w:t>
      </w:r>
      <w:r>
        <w:rPr>
          <w:rFonts w:eastAsiaTheme="minorEastAsia"/>
        </w:rPr>
        <w:t>HJ 2.4-2009</w:t>
      </w:r>
      <w:r>
        <w:rPr>
          <w:rFonts w:hint="eastAsia" w:eastAsiaTheme="minorEastAsia"/>
        </w:rPr>
        <w:t>）规定，本项目噪声评价工作等级划分依据如</w:t>
      </w:r>
      <w:r>
        <w:rPr>
          <w:rFonts w:eastAsiaTheme="minorEastAsia"/>
        </w:rPr>
        <w:fldChar w:fldCharType="begin"/>
      </w:r>
      <w:r>
        <w:rPr>
          <w:rFonts w:eastAsiaTheme="minorEastAsia"/>
        </w:rPr>
        <w:instrText xml:space="preserve"> </w:instrText>
      </w:r>
      <w:r>
        <w:rPr>
          <w:rFonts w:hint="eastAsia" w:eastAsiaTheme="minorEastAsia"/>
        </w:rPr>
        <w:instrText xml:space="preserve">REF _Ref523584947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1.5</w:t>
      </w:r>
      <w:r>
        <w:rPr>
          <w:rFonts w:eastAsiaTheme="minorEastAsia"/>
        </w:rPr>
        <w:noBreakHyphen/>
      </w:r>
      <w:r>
        <w:rPr>
          <w:rFonts w:eastAsiaTheme="minorEastAsia"/>
        </w:rPr>
        <w:t>8</w:t>
      </w:r>
      <w:r>
        <w:rPr>
          <w:rFonts w:eastAsiaTheme="minorEastAsia"/>
        </w:rPr>
        <w:fldChar w:fldCharType="end"/>
      </w:r>
      <w:r>
        <w:rPr>
          <w:rFonts w:hint="eastAsia" w:eastAsiaTheme="minorEastAsia"/>
        </w:rPr>
        <w:t>所示。</w:t>
      </w:r>
    </w:p>
    <w:p>
      <w:pPr>
        <w:pStyle w:val="18"/>
      </w:pPr>
      <w:bookmarkStart w:id="126" w:name="_Ref523584947"/>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8</w:t>
      </w:r>
      <w:r>
        <w:fldChar w:fldCharType="end"/>
      </w:r>
      <w:bookmarkEnd w:id="126"/>
      <w:r>
        <w:rPr>
          <w:rFonts w:hint="eastAsia"/>
        </w:rPr>
        <w:t>噪声评价工作等级划分</w:t>
      </w:r>
    </w:p>
    <w:tbl>
      <w:tblPr>
        <w:tblStyle w:val="56"/>
        <w:tblW w:w="924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2"/>
        <w:gridCol w:w="3121"/>
        <w:gridCol w:w="1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tblHeader/>
          <w:jc w:val="center"/>
        </w:trPr>
        <w:tc>
          <w:tcPr>
            <w:tcW w:w="4652" w:type="dxa"/>
            <w:shd w:val="clear" w:color="auto" w:fill="D8D8D8" w:themeFill="background1" w:themeFillShade="D9"/>
            <w:vAlign w:val="center"/>
          </w:tcPr>
          <w:p>
            <w:pPr>
              <w:pStyle w:val="107"/>
              <w:rPr>
                <w:b/>
              </w:rPr>
            </w:pPr>
            <w:r>
              <w:rPr>
                <w:rFonts w:hint="eastAsia"/>
                <w:b/>
              </w:rPr>
              <w:t>划分依据</w:t>
            </w:r>
          </w:p>
        </w:tc>
        <w:tc>
          <w:tcPr>
            <w:tcW w:w="3121" w:type="dxa"/>
            <w:shd w:val="clear" w:color="auto" w:fill="D8D8D8" w:themeFill="background1" w:themeFillShade="D9"/>
            <w:vAlign w:val="center"/>
          </w:tcPr>
          <w:p>
            <w:pPr>
              <w:pStyle w:val="107"/>
              <w:rPr>
                <w:b/>
              </w:rPr>
            </w:pPr>
            <w:r>
              <w:rPr>
                <w:rFonts w:hint="eastAsia"/>
                <w:b/>
              </w:rPr>
              <w:t>项目情况</w:t>
            </w:r>
          </w:p>
        </w:tc>
        <w:tc>
          <w:tcPr>
            <w:tcW w:w="1475" w:type="dxa"/>
            <w:shd w:val="clear" w:color="auto" w:fill="D8D8D8" w:themeFill="background1" w:themeFillShade="D9"/>
            <w:vAlign w:val="center"/>
          </w:tcPr>
          <w:p>
            <w:pPr>
              <w:pStyle w:val="107"/>
              <w:rPr>
                <w:b/>
              </w:rPr>
            </w:pPr>
            <w:r>
              <w:rPr>
                <w:rFonts w:hint="eastAsia"/>
                <w:b/>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4652" w:type="dxa"/>
            <w:vAlign w:val="center"/>
          </w:tcPr>
          <w:p>
            <w:pPr>
              <w:pStyle w:val="107"/>
            </w:pPr>
            <w:r>
              <w:rPr>
                <w:rFonts w:hint="eastAsia"/>
              </w:rPr>
              <w:t>项目所在区域的声环境功能区划类别</w:t>
            </w:r>
          </w:p>
        </w:tc>
        <w:tc>
          <w:tcPr>
            <w:tcW w:w="3121" w:type="dxa"/>
            <w:vAlign w:val="center"/>
          </w:tcPr>
          <w:p>
            <w:pPr>
              <w:pStyle w:val="107"/>
            </w:pPr>
            <w:r>
              <w:rPr>
                <w:rFonts w:hint="eastAsia"/>
              </w:rPr>
              <w:t>项目位于</w:t>
            </w:r>
            <w:r>
              <w:t>GB 3096</w:t>
            </w:r>
            <w:r>
              <w:rPr>
                <w:rFonts w:hint="eastAsia"/>
              </w:rPr>
              <w:t>规定的</w:t>
            </w:r>
            <w:r>
              <w:t>2</w:t>
            </w:r>
            <w:r>
              <w:rPr>
                <w:rFonts w:hint="eastAsia"/>
              </w:rPr>
              <w:t>类区</w:t>
            </w:r>
          </w:p>
        </w:tc>
        <w:tc>
          <w:tcPr>
            <w:tcW w:w="1475" w:type="dxa"/>
            <w:vAlign w:val="center"/>
          </w:tcPr>
          <w:p>
            <w:pPr>
              <w:pStyle w:val="107"/>
            </w:pPr>
            <w:r>
              <w:rPr>
                <w:rFonts w:hint="eastAsia"/>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4652" w:type="dxa"/>
            <w:vAlign w:val="center"/>
          </w:tcPr>
          <w:p>
            <w:pPr>
              <w:pStyle w:val="107"/>
            </w:pPr>
            <w:r>
              <w:rPr>
                <w:rFonts w:hint="eastAsia"/>
              </w:rPr>
              <w:t>项目建设前后所在区域的声环境质量变化程度</w:t>
            </w:r>
          </w:p>
        </w:tc>
        <w:tc>
          <w:tcPr>
            <w:tcW w:w="3121" w:type="dxa"/>
            <w:vAlign w:val="center"/>
          </w:tcPr>
          <w:p>
            <w:pPr>
              <w:pStyle w:val="107"/>
            </w:pPr>
            <w:r>
              <w:rPr>
                <w:rFonts w:hint="eastAsia"/>
              </w:rPr>
              <w:t>噪声级增高量＜</w:t>
            </w:r>
            <w:r>
              <w:t>3dB</w:t>
            </w:r>
            <w:r>
              <w:rPr>
                <w:rFonts w:hint="eastAsia"/>
              </w:rPr>
              <w:t>（</w:t>
            </w:r>
            <w:r>
              <w:t>A</w:t>
            </w:r>
            <w:r>
              <w:rPr>
                <w:rFonts w:hint="eastAsia"/>
              </w:rPr>
              <w:t>）</w:t>
            </w:r>
          </w:p>
        </w:tc>
        <w:tc>
          <w:tcPr>
            <w:tcW w:w="1475" w:type="dxa"/>
            <w:vAlign w:val="center"/>
          </w:tcPr>
          <w:p>
            <w:pPr>
              <w:pStyle w:val="107"/>
            </w:pPr>
            <w:r>
              <w:rPr>
                <w:rFonts w:hint="eastAsia"/>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4652" w:type="dxa"/>
            <w:vAlign w:val="center"/>
          </w:tcPr>
          <w:p>
            <w:pPr>
              <w:pStyle w:val="107"/>
            </w:pPr>
            <w:r>
              <w:rPr>
                <w:rFonts w:hint="eastAsia"/>
              </w:rPr>
              <w:t>受噪声影响人口的数量</w:t>
            </w:r>
          </w:p>
        </w:tc>
        <w:tc>
          <w:tcPr>
            <w:tcW w:w="3121" w:type="dxa"/>
            <w:vAlign w:val="center"/>
          </w:tcPr>
          <w:p>
            <w:pPr>
              <w:pStyle w:val="107"/>
            </w:pPr>
            <w:r>
              <w:rPr>
                <w:rFonts w:hint="eastAsia"/>
              </w:rPr>
              <w:t>变化不大</w:t>
            </w:r>
          </w:p>
        </w:tc>
        <w:tc>
          <w:tcPr>
            <w:tcW w:w="1475" w:type="dxa"/>
            <w:vAlign w:val="center"/>
          </w:tcPr>
          <w:p>
            <w:pPr>
              <w:pStyle w:val="107"/>
            </w:pPr>
            <w:r>
              <w:rPr>
                <w:rFonts w:hint="eastAsia"/>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7773" w:type="dxa"/>
            <w:gridSpan w:val="2"/>
            <w:vAlign w:val="center"/>
          </w:tcPr>
          <w:p>
            <w:pPr>
              <w:pStyle w:val="107"/>
            </w:pPr>
            <w:r>
              <w:rPr>
                <w:rFonts w:hint="eastAsia"/>
              </w:rPr>
              <w:t>项目声环境影响评价工作等级</w:t>
            </w:r>
          </w:p>
        </w:tc>
        <w:tc>
          <w:tcPr>
            <w:tcW w:w="1475" w:type="dxa"/>
            <w:vAlign w:val="center"/>
          </w:tcPr>
          <w:p>
            <w:pPr>
              <w:pStyle w:val="107"/>
            </w:pPr>
            <w:r>
              <w:rPr>
                <w:rFonts w:hint="eastAsia"/>
                <w:shd w:val="pct10" w:color="auto" w:fill="FFFFFF"/>
              </w:rPr>
              <w:t>二级</w:t>
            </w:r>
          </w:p>
        </w:tc>
      </w:tr>
    </w:tbl>
    <w:p>
      <w:pPr>
        <w:ind w:firstLine="480"/>
        <w:rPr>
          <w:rFonts w:eastAsiaTheme="minorEastAsia"/>
        </w:rPr>
      </w:pPr>
      <w:r>
        <w:rPr>
          <w:rFonts w:hint="eastAsia" w:eastAsiaTheme="minorEastAsia"/>
        </w:rPr>
        <w:t>本项目符合两个以上级别的划分原则，根据导则规定，按较高级别的评价等级评价，定为二</w:t>
      </w:r>
      <w:r>
        <w:rPr>
          <w:rFonts w:hint="eastAsia" w:eastAsiaTheme="minorEastAsia"/>
          <w:sz w:val="21"/>
          <w:szCs w:val="21"/>
        </w:rPr>
        <w:t>级</w:t>
      </w:r>
      <w:r>
        <w:rPr>
          <w:rFonts w:hint="eastAsia" w:eastAsiaTheme="minorEastAsia"/>
        </w:rPr>
        <w:t>。</w:t>
      </w:r>
    </w:p>
    <w:p>
      <w:pPr>
        <w:ind w:firstLine="482"/>
        <w:rPr>
          <w:rFonts w:eastAsiaTheme="minorEastAsia"/>
        </w:rPr>
      </w:pPr>
      <w:r>
        <w:rPr>
          <w:rStyle w:val="59"/>
          <w:rFonts w:hint="eastAsia"/>
        </w:rPr>
        <w:t>评价范围</w:t>
      </w:r>
      <w:r>
        <w:rPr>
          <w:rFonts w:hint="eastAsia" w:eastAsiaTheme="minorEastAsia"/>
        </w:rPr>
        <w:t>：项目厂区用地边界向外2</w:t>
      </w:r>
      <w:r>
        <w:rPr>
          <w:rFonts w:eastAsiaTheme="minorEastAsia"/>
        </w:rPr>
        <w:t>00</w:t>
      </w:r>
      <w:r>
        <w:rPr>
          <w:rFonts w:hint="eastAsia" w:eastAsiaTheme="minorEastAsia"/>
        </w:rPr>
        <w:t>m包络线范围内区域，详见</w:t>
      </w:r>
      <w:r>
        <w:rPr>
          <w:rFonts w:eastAsiaTheme="minorEastAsia"/>
          <w:highlight w:val="yellow"/>
        </w:rPr>
        <w:fldChar w:fldCharType="begin"/>
      </w:r>
      <w:r>
        <w:rPr>
          <w:rFonts w:eastAsiaTheme="minorEastAsia"/>
        </w:rPr>
        <w:instrText xml:space="preserve"> </w:instrText>
      </w:r>
      <w:r>
        <w:rPr>
          <w:rFonts w:hint="eastAsia" w:eastAsiaTheme="minorEastAsia"/>
        </w:rPr>
        <w:instrText xml:space="preserve">REF _Ref524468399 \h</w:instrText>
      </w:r>
      <w:r>
        <w:rPr>
          <w:rFonts w:eastAsiaTheme="minorEastAsia"/>
        </w:rPr>
        <w:instrText xml:space="preserve"> </w:instrText>
      </w:r>
      <w:r>
        <w:rPr>
          <w:rFonts w:eastAsiaTheme="minorEastAsia"/>
          <w:highlight w:val="yellow"/>
        </w:rPr>
        <w:instrText xml:space="preserve"> \* MERGEFORMAT </w:instrText>
      </w:r>
      <w:r>
        <w:rPr>
          <w:rFonts w:eastAsiaTheme="minorEastAsia"/>
          <w:highlight w:val="yellow"/>
        </w:rPr>
        <w:fldChar w:fldCharType="separate"/>
      </w:r>
      <w:r>
        <w:rPr>
          <w:rFonts w:hint="eastAsia" w:eastAsiaTheme="minorEastAsia"/>
        </w:rPr>
        <w:t xml:space="preserve">图 </w:t>
      </w:r>
      <w:r>
        <w:rPr>
          <w:rFonts w:eastAsiaTheme="minorEastAsia"/>
        </w:rPr>
        <w:t>1.5</w:t>
      </w:r>
      <w:r>
        <w:rPr>
          <w:rFonts w:eastAsiaTheme="minorEastAsia"/>
        </w:rPr>
        <w:noBreakHyphen/>
      </w:r>
      <w:r>
        <w:rPr>
          <w:rFonts w:eastAsiaTheme="minorEastAsia"/>
        </w:rPr>
        <w:t>1</w:t>
      </w:r>
      <w:r>
        <w:rPr>
          <w:rFonts w:eastAsiaTheme="minorEastAsia"/>
          <w:highlight w:val="yellow"/>
        </w:rPr>
        <w:fldChar w:fldCharType="end"/>
      </w:r>
      <w:r>
        <w:rPr>
          <w:rFonts w:hint="eastAsia" w:eastAsiaTheme="minorEastAsia"/>
        </w:rPr>
        <w:t>。</w:t>
      </w:r>
    </w:p>
    <w:p>
      <w:pPr>
        <w:pStyle w:val="5"/>
      </w:pPr>
      <w:r>
        <w:t>生态</w:t>
      </w:r>
      <w:r>
        <w:rPr>
          <w:rFonts w:hint="eastAsia"/>
        </w:rPr>
        <w:t>影响评价等级和范围</w:t>
      </w:r>
    </w:p>
    <w:p>
      <w:pPr>
        <w:ind w:firstLine="482"/>
        <w:rPr>
          <w:rFonts w:eastAsiaTheme="minorEastAsia"/>
        </w:rPr>
      </w:pPr>
      <w:r>
        <w:rPr>
          <w:rStyle w:val="59"/>
          <w:rFonts w:hint="eastAsia"/>
        </w:rPr>
        <w:t>评价等级</w:t>
      </w:r>
      <w:r>
        <w:rPr>
          <w:rFonts w:hint="eastAsia" w:eastAsiaTheme="minorEastAsia"/>
        </w:rPr>
        <w:t>：项目总占地面积</w:t>
      </w:r>
      <w:r>
        <w:rPr>
          <w:rFonts w:hint="eastAsia"/>
        </w:rPr>
        <w:t>1266.7</w:t>
      </w:r>
      <w:r>
        <w:rPr>
          <w:rFonts w:eastAsiaTheme="minorEastAsia"/>
        </w:rPr>
        <w:t>m</w:t>
      </w:r>
      <w:r>
        <w:rPr>
          <w:rFonts w:eastAsiaTheme="minorEastAsia"/>
          <w:vertAlign w:val="superscript"/>
        </w:rPr>
        <w:t>2</w:t>
      </w:r>
      <w:r>
        <w:rPr>
          <w:rFonts w:hint="eastAsia" w:eastAsiaTheme="minorEastAsia"/>
        </w:rPr>
        <w:t>，工程范围在</w:t>
      </w:r>
      <w:r>
        <w:rPr>
          <w:rFonts w:eastAsiaTheme="minorEastAsia"/>
        </w:rPr>
        <w:t>2</w:t>
      </w:r>
      <w:r>
        <w:rPr>
          <w:rFonts w:hint="eastAsia" w:eastAsiaTheme="minorEastAsia"/>
        </w:rPr>
        <w:t xml:space="preserve">~20 </w:t>
      </w:r>
      <w:r>
        <w:rPr>
          <w:rFonts w:eastAsiaTheme="minorEastAsia"/>
        </w:rPr>
        <w:t>km</w:t>
      </w:r>
      <w:r>
        <w:rPr>
          <w:rFonts w:eastAsiaTheme="minorEastAsia"/>
          <w:vertAlign w:val="superscript"/>
        </w:rPr>
        <w:t>2</w:t>
      </w:r>
      <w:r>
        <w:rPr>
          <w:rFonts w:hint="eastAsia" w:eastAsiaTheme="minorEastAsia"/>
        </w:rPr>
        <w:t>范围内。根据《环境影响评价技术导则 生态环境》（</w:t>
      </w:r>
      <w:r>
        <w:rPr>
          <w:rFonts w:eastAsiaTheme="minorEastAsia"/>
        </w:rPr>
        <w:t>HJ 19-2011</w:t>
      </w:r>
      <w:r>
        <w:rPr>
          <w:rFonts w:hint="eastAsia" w:eastAsiaTheme="minorEastAsia"/>
        </w:rPr>
        <w:t>），依据影响区域的生态敏感性和评价项目的工程占地（含水域）范围，包括永久占地和临时占地，将生态影响评价工作等级划分为一级、二级和三级，如</w:t>
      </w:r>
      <w:r>
        <w:rPr>
          <w:rFonts w:eastAsiaTheme="minorEastAsia"/>
        </w:rPr>
        <w:fldChar w:fldCharType="begin"/>
      </w:r>
      <w:r>
        <w:rPr>
          <w:rFonts w:eastAsiaTheme="minorEastAsia"/>
        </w:rPr>
        <w:instrText xml:space="preserve"> </w:instrText>
      </w:r>
      <w:r>
        <w:rPr>
          <w:rFonts w:hint="eastAsia" w:eastAsiaTheme="minorEastAsia"/>
        </w:rPr>
        <w:instrText xml:space="preserve">REF _Ref523493995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1.5</w:t>
      </w:r>
      <w:r>
        <w:rPr>
          <w:rFonts w:eastAsiaTheme="minorEastAsia"/>
        </w:rPr>
        <w:noBreakHyphen/>
      </w:r>
      <w:r>
        <w:rPr>
          <w:rFonts w:eastAsiaTheme="minorEastAsia"/>
        </w:rPr>
        <w:t>9</w:t>
      </w:r>
      <w:r>
        <w:rPr>
          <w:rFonts w:eastAsiaTheme="minorEastAsia"/>
        </w:rPr>
        <w:fldChar w:fldCharType="end"/>
      </w:r>
      <w:r>
        <w:rPr>
          <w:rFonts w:hint="eastAsia" w:eastAsiaTheme="minorEastAsia"/>
        </w:rPr>
        <w:t>所示。项目建设用地为工业用地，选址不涉及该导则中所列的特殊生态敏感区和重要生态敏感区，属于一般区域，因此本项目生态影响评价等级确定为三级。</w:t>
      </w:r>
    </w:p>
    <w:p>
      <w:pPr>
        <w:pStyle w:val="18"/>
      </w:pPr>
      <w:bookmarkStart w:id="127" w:name="_Ref523493995"/>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9</w:t>
      </w:r>
      <w:r>
        <w:fldChar w:fldCharType="end"/>
      </w:r>
      <w:bookmarkEnd w:id="127"/>
      <w:r>
        <w:rPr>
          <w:rFonts w:hint="eastAsia"/>
        </w:rPr>
        <w:t>生态影响评价工作等级划分表</w:t>
      </w:r>
    </w:p>
    <w:tbl>
      <w:tblPr>
        <w:tblStyle w:val="56"/>
        <w:tblW w:w="907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8"/>
        <w:gridCol w:w="2268"/>
        <w:gridCol w:w="2268"/>
        <w:gridCol w:w="2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268" w:type="dxa"/>
            <w:vMerge w:val="restart"/>
            <w:shd w:val="clear" w:color="auto" w:fill="D8D8D8" w:themeFill="background1" w:themeFillShade="D9"/>
            <w:vAlign w:val="center"/>
          </w:tcPr>
          <w:p>
            <w:pPr>
              <w:pStyle w:val="107"/>
            </w:pPr>
            <w:r>
              <w:t>影响区域生态敏感性</w:t>
            </w:r>
          </w:p>
        </w:tc>
        <w:tc>
          <w:tcPr>
            <w:tcW w:w="6804" w:type="dxa"/>
            <w:gridSpan w:val="3"/>
            <w:shd w:val="clear" w:color="auto" w:fill="D8D8D8" w:themeFill="background1" w:themeFillShade="D9"/>
            <w:vAlign w:val="center"/>
          </w:tcPr>
          <w:p>
            <w:pPr>
              <w:pStyle w:val="107"/>
            </w:pPr>
            <w:r>
              <w:t>工程占地（水域）范围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268" w:type="dxa"/>
            <w:vMerge w:val="continue"/>
            <w:shd w:val="clear" w:color="auto" w:fill="D8D8D8" w:themeFill="background1" w:themeFillShade="D9"/>
            <w:vAlign w:val="center"/>
          </w:tcPr>
          <w:p>
            <w:pPr>
              <w:pStyle w:val="107"/>
            </w:pPr>
          </w:p>
        </w:tc>
        <w:tc>
          <w:tcPr>
            <w:tcW w:w="2268" w:type="dxa"/>
            <w:shd w:val="clear" w:color="auto" w:fill="D8D8D8" w:themeFill="background1" w:themeFillShade="D9"/>
            <w:vAlign w:val="center"/>
          </w:tcPr>
          <w:p>
            <w:pPr>
              <w:pStyle w:val="107"/>
            </w:pPr>
            <w:r>
              <w:t>面积≥20km</w:t>
            </w:r>
            <w:r>
              <w:rPr>
                <w:vertAlign w:val="superscript"/>
              </w:rPr>
              <w:t>2</w:t>
            </w:r>
          </w:p>
          <w:p>
            <w:pPr>
              <w:pStyle w:val="107"/>
            </w:pPr>
            <w:r>
              <w:t>或长度≥100km</w:t>
            </w:r>
          </w:p>
        </w:tc>
        <w:tc>
          <w:tcPr>
            <w:tcW w:w="2268" w:type="dxa"/>
            <w:shd w:val="clear" w:color="auto" w:fill="D8D8D8" w:themeFill="background1" w:themeFillShade="D9"/>
            <w:vAlign w:val="center"/>
          </w:tcPr>
          <w:p>
            <w:pPr>
              <w:pStyle w:val="107"/>
              <w:rPr>
                <w:vertAlign w:val="superscript"/>
              </w:rPr>
            </w:pPr>
            <w:r>
              <w:t>面积2</w:t>
            </w:r>
            <w:r>
              <w:rPr>
                <w:rFonts w:hint="eastAsia"/>
              </w:rPr>
              <w:t>~</w:t>
            </w:r>
            <w:r>
              <w:t>20km</w:t>
            </w:r>
            <w:r>
              <w:rPr>
                <w:vertAlign w:val="superscript"/>
              </w:rPr>
              <w:t>2</w:t>
            </w:r>
          </w:p>
          <w:p>
            <w:pPr>
              <w:pStyle w:val="107"/>
            </w:pPr>
            <w:r>
              <w:t>或长度50</w:t>
            </w:r>
            <w:r>
              <w:rPr>
                <w:rFonts w:hint="eastAsia"/>
              </w:rPr>
              <w:t>~</w:t>
            </w:r>
            <w:r>
              <w:t>100km</w:t>
            </w:r>
          </w:p>
        </w:tc>
        <w:tc>
          <w:tcPr>
            <w:tcW w:w="2268" w:type="dxa"/>
            <w:shd w:val="clear" w:color="auto" w:fill="D8D8D8" w:themeFill="background1" w:themeFillShade="D9"/>
            <w:vAlign w:val="center"/>
          </w:tcPr>
          <w:p>
            <w:pPr>
              <w:pStyle w:val="107"/>
              <w:rPr>
                <w:vertAlign w:val="superscript"/>
              </w:rPr>
            </w:pPr>
            <w:r>
              <w:t>面积≤2km</w:t>
            </w:r>
            <w:r>
              <w:rPr>
                <w:vertAlign w:val="superscript"/>
              </w:rPr>
              <w:t>2</w:t>
            </w:r>
          </w:p>
          <w:p>
            <w:pPr>
              <w:pStyle w:val="107"/>
            </w:pPr>
            <w:r>
              <w:t>或长度≤50km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268" w:type="dxa"/>
            <w:shd w:val="clear" w:color="auto" w:fill="D8D8D8" w:themeFill="background1" w:themeFillShade="D9"/>
            <w:vAlign w:val="center"/>
          </w:tcPr>
          <w:p>
            <w:pPr>
              <w:pStyle w:val="107"/>
            </w:pPr>
            <w:r>
              <w:t>特殊生态敏感区</w:t>
            </w:r>
          </w:p>
        </w:tc>
        <w:tc>
          <w:tcPr>
            <w:tcW w:w="2268" w:type="dxa"/>
            <w:vAlign w:val="center"/>
          </w:tcPr>
          <w:p>
            <w:pPr>
              <w:pStyle w:val="107"/>
            </w:pPr>
            <w:r>
              <w:t>一级</w:t>
            </w:r>
          </w:p>
        </w:tc>
        <w:tc>
          <w:tcPr>
            <w:tcW w:w="2268" w:type="dxa"/>
            <w:vAlign w:val="center"/>
          </w:tcPr>
          <w:p>
            <w:pPr>
              <w:pStyle w:val="107"/>
            </w:pPr>
            <w:r>
              <w:t>一级</w:t>
            </w:r>
          </w:p>
        </w:tc>
        <w:tc>
          <w:tcPr>
            <w:tcW w:w="2268" w:type="dxa"/>
            <w:vAlign w:val="center"/>
          </w:tcPr>
          <w:p>
            <w:pPr>
              <w:pStyle w:val="107"/>
            </w:pPr>
            <w: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268" w:type="dxa"/>
            <w:shd w:val="clear" w:color="auto" w:fill="D8D8D8" w:themeFill="background1" w:themeFillShade="D9"/>
            <w:vAlign w:val="center"/>
          </w:tcPr>
          <w:p>
            <w:pPr>
              <w:pStyle w:val="107"/>
            </w:pPr>
            <w:r>
              <w:t>重要生态敏感区</w:t>
            </w:r>
          </w:p>
        </w:tc>
        <w:tc>
          <w:tcPr>
            <w:tcW w:w="2268" w:type="dxa"/>
            <w:vAlign w:val="center"/>
          </w:tcPr>
          <w:p>
            <w:pPr>
              <w:pStyle w:val="107"/>
            </w:pPr>
            <w:r>
              <w:t>一级</w:t>
            </w:r>
          </w:p>
        </w:tc>
        <w:tc>
          <w:tcPr>
            <w:tcW w:w="2268" w:type="dxa"/>
            <w:vAlign w:val="center"/>
          </w:tcPr>
          <w:p>
            <w:pPr>
              <w:pStyle w:val="107"/>
            </w:pPr>
            <w:r>
              <w:t>二级</w:t>
            </w:r>
          </w:p>
        </w:tc>
        <w:tc>
          <w:tcPr>
            <w:tcW w:w="2268" w:type="dxa"/>
            <w:vAlign w:val="center"/>
          </w:tcPr>
          <w:p>
            <w:pPr>
              <w:pStyle w:val="107"/>
            </w:pPr>
            <w: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268" w:type="dxa"/>
            <w:shd w:val="clear" w:color="auto" w:fill="D8D8D8" w:themeFill="background1" w:themeFillShade="D9"/>
            <w:vAlign w:val="center"/>
          </w:tcPr>
          <w:p>
            <w:pPr>
              <w:pStyle w:val="107"/>
            </w:pPr>
            <w:r>
              <w:t>一般区域</w:t>
            </w:r>
          </w:p>
        </w:tc>
        <w:tc>
          <w:tcPr>
            <w:tcW w:w="2268" w:type="dxa"/>
            <w:shd w:val="clear" w:color="auto" w:fill="auto"/>
            <w:vAlign w:val="center"/>
          </w:tcPr>
          <w:p>
            <w:pPr>
              <w:pStyle w:val="107"/>
            </w:pPr>
            <w:r>
              <w:t>二级</w:t>
            </w:r>
          </w:p>
        </w:tc>
        <w:tc>
          <w:tcPr>
            <w:tcW w:w="2268" w:type="dxa"/>
            <w:shd w:val="clear" w:color="auto" w:fill="auto"/>
            <w:vAlign w:val="center"/>
          </w:tcPr>
          <w:p>
            <w:pPr>
              <w:pStyle w:val="107"/>
              <w:rPr>
                <w:bdr w:val="single" w:color="auto" w:sz="4" w:space="0"/>
              </w:rPr>
            </w:pPr>
            <w:r>
              <w:rPr>
                <w:shd w:val="pct10" w:color="auto" w:fill="FFFFFF"/>
              </w:rPr>
              <w:t>三级</w:t>
            </w:r>
          </w:p>
        </w:tc>
        <w:tc>
          <w:tcPr>
            <w:tcW w:w="2268" w:type="dxa"/>
            <w:shd w:val="clear" w:color="auto" w:fill="auto"/>
            <w:vAlign w:val="center"/>
          </w:tcPr>
          <w:p>
            <w:pPr>
              <w:pStyle w:val="107"/>
            </w:pPr>
            <w:r>
              <w:t>三级</w:t>
            </w:r>
          </w:p>
        </w:tc>
      </w:tr>
    </w:tbl>
    <w:p>
      <w:pPr>
        <w:ind w:firstLine="482"/>
      </w:pPr>
      <w:r>
        <w:rPr>
          <w:rStyle w:val="59"/>
          <w:rFonts w:hint="eastAsia"/>
        </w:rPr>
        <w:t>现状评价范围</w:t>
      </w:r>
      <w:r>
        <w:rPr>
          <w:rFonts w:hint="eastAsia"/>
        </w:rPr>
        <w:t>：项目厂区用地边界向外2</w:t>
      </w:r>
      <w:r>
        <w:t>00</w:t>
      </w:r>
      <w:r>
        <w:rPr>
          <w:rFonts w:hint="eastAsia"/>
        </w:rPr>
        <w:t>m包络线范围内区域，详见</w:t>
      </w:r>
      <w:r>
        <w:rPr>
          <w:highlight w:val="yellow"/>
        </w:rPr>
        <w:fldChar w:fldCharType="begin"/>
      </w:r>
      <w:r>
        <w:instrText xml:space="preserve"> </w:instrText>
      </w:r>
      <w:r>
        <w:rPr>
          <w:rFonts w:hint="eastAsia"/>
        </w:rPr>
        <w:instrText xml:space="preserve">REF _Ref524468399 \h</w:instrText>
      </w:r>
      <w:r>
        <w:instrText xml:space="preserve"> </w:instrText>
      </w:r>
      <w:r>
        <w:rPr>
          <w:highlight w:val="yellow"/>
        </w:rPr>
        <w:instrText xml:space="preserve"> \* MERGEFORMAT </w:instrText>
      </w:r>
      <w:r>
        <w:rPr>
          <w:highlight w:val="yellow"/>
        </w:rPr>
        <w:fldChar w:fldCharType="separate"/>
      </w:r>
      <w:r>
        <w:rPr>
          <w:rFonts w:hint="eastAsia"/>
        </w:rPr>
        <w:t xml:space="preserve">图 </w:t>
      </w:r>
      <w:r>
        <w:t>1.5</w:t>
      </w:r>
      <w:r>
        <w:noBreakHyphen/>
      </w:r>
      <w:r>
        <w:t>1</w:t>
      </w:r>
      <w:r>
        <w:rPr>
          <w:highlight w:val="yellow"/>
        </w:rPr>
        <w:fldChar w:fldCharType="end"/>
      </w:r>
      <w:r>
        <w:rPr>
          <w:rFonts w:hint="eastAsia"/>
        </w:rPr>
        <w:t>。</w:t>
      </w:r>
    </w:p>
    <w:p>
      <w:pPr>
        <w:ind w:firstLine="482"/>
        <w:rPr>
          <w:rFonts w:eastAsiaTheme="minorEastAsia"/>
        </w:rPr>
      </w:pPr>
      <w:r>
        <w:rPr>
          <w:rStyle w:val="59"/>
          <w:rFonts w:hint="eastAsia"/>
        </w:rPr>
        <w:t>预测评价范围</w:t>
      </w:r>
      <w:r>
        <w:rPr>
          <w:rFonts w:hint="eastAsia" w:eastAsiaTheme="minorEastAsia"/>
        </w:rPr>
        <w:t>：三级评价可借鉴已有资料进行说明，不进行预测。</w:t>
      </w:r>
    </w:p>
    <w:p>
      <w:pPr>
        <w:pStyle w:val="5"/>
      </w:pPr>
      <w:bookmarkStart w:id="128" w:name="_Ref528765704"/>
      <w:r>
        <w:t>环境风险</w:t>
      </w:r>
      <w:r>
        <w:rPr>
          <w:rFonts w:hint="eastAsia"/>
        </w:rPr>
        <w:t>评价等级和范围</w:t>
      </w:r>
      <w:bookmarkEnd w:id="128"/>
    </w:p>
    <w:p>
      <w:pPr>
        <w:ind w:firstLine="482"/>
      </w:pPr>
      <w:r>
        <w:rPr>
          <w:rStyle w:val="59"/>
          <w:rFonts w:hint="eastAsia"/>
        </w:rPr>
        <w:t>评价等级</w:t>
      </w:r>
      <w:r>
        <w:rPr>
          <w:rFonts w:hint="eastAsia"/>
        </w:rPr>
        <w:t>：根据《建设项目环境风险评价技术导则》（</w:t>
      </w:r>
      <w:r>
        <w:t>HJ169-2018</w:t>
      </w:r>
      <w:r>
        <w:rPr>
          <w:rFonts w:hint="eastAsia"/>
        </w:rPr>
        <w:t>）的要求，</w:t>
      </w:r>
      <w:r>
        <w:t>本项目在生产过程中使用到危险品主要是</w:t>
      </w:r>
      <w:r>
        <w:rPr>
          <w:rFonts w:hint="eastAsia"/>
        </w:rPr>
        <w:t>硫磺粉</w:t>
      </w:r>
      <w:r>
        <w:t>属于易燃物质。</w:t>
      </w:r>
      <w:r>
        <w:rPr>
          <w:rFonts w:hint="eastAsia"/>
        </w:rPr>
        <w:t>最大储存量</w:t>
      </w:r>
      <w:r>
        <w:t>0.5</w:t>
      </w:r>
      <w:r>
        <w:rPr>
          <w:rFonts w:hint="eastAsia"/>
        </w:rPr>
        <w:t>t</w:t>
      </w:r>
      <w:r>
        <w:t>。经识别，</w:t>
      </w:r>
      <w:r>
        <w:rPr>
          <w:rFonts w:hint="eastAsia"/>
        </w:rPr>
        <w:t>硫磺粉</w:t>
      </w:r>
      <w:r>
        <w:t>的临界量及其加权值均小于《危险化学品重大危险源辨识》（GB18218-2018）中的临界量，不属于重大危险源。本项目选址不属于《建设项目环境影响评价分类管理名录》中规定的敏感区。</w:t>
      </w:r>
    </w:p>
    <w:p>
      <w:pPr>
        <w:spacing w:line="480" w:lineRule="exact"/>
        <w:ind w:firstLine="480"/>
        <w:rPr>
          <w:color w:val="000000"/>
        </w:rPr>
      </w:pPr>
      <w:r>
        <w:rPr>
          <w:rFonts w:hint="eastAsia"/>
          <w:color w:val="000000"/>
        </w:rPr>
        <w:t>环境风险评价工作等级划分为一级、二级、三级。根据建设项目涉及的物质及工艺系统危险性和所在地的环境敏感性确定环境风险潜势，按照表1确定评价工作等级。风险潜势为Ⅳ及以上，进行一级评价：风险潜势为I</w:t>
      </w:r>
      <w:r>
        <w:rPr>
          <w:color w:val="000000"/>
        </w:rPr>
        <w:t>II</w:t>
      </w:r>
      <w:r>
        <w:rPr>
          <w:rFonts w:hint="eastAsia"/>
          <w:color w:val="000000"/>
        </w:rPr>
        <w:t>，进行二级评价；风险潜势为I</w:t>
      </w:r>
      <w:r>
        <w:rPr>
          <w:color w:val="000000"/>
        </w:rPr>
        <w:t>I</w:t>
      </w:r>
      <w:r>
        <w:rPr>
          <w:rFonts w:hint="eastAsia"/>
          <w:color w:val="000000"/>
        </w:rPr>
        <w:t>，进行三级评价；风险潜为</w:t>
      </w:r>
      <w:r>
        <w:rPr>
          <w:color w:val="000000"/>
        </w:rPr>
        <w:t>I</w:t>
      </w:r>
      <w:r>
        <w:rPr>
          <w:rFonts w:hint="eastAsia"/>
          <w:color w:val="000000"/>
        </w:rPr>
        <w:t>，可开展简单分析。</w:t>
      </w:r>
      <w:r>
        <w:rPr>
          <w:color w:val="000000"/>
        </w:rPr>
        <w:t>根据《建设项目环境风险评价技术导则》(HJ169-2018)，环境风险评价级别划分判定标准见表</w:t>
      </w:r>
      <w:r>
        <w:rPr>
          <w:rFonts w:hint="eastAsia"/>
          <w:color w:val="000000"/>
        </w:rPr>
        <w:t>1.</w:t>
      </w:r>
      <w:r>
        <w:rPr>
          <w:color w:val="000000"/>
        </w:rPr>
        <w:t>5</w:t>
      </w:r>
      <w:r>
        <w:rPr>
          <w:rFonts w:hint="eastAsia"/>
          <w:color w:val="000000"/>
        </w:rPr>
        <w:t>-</w:t>
      </w:r>
      <w:r>
        <w:rPr>
          <w:color w:val="000000"/>
        </w:rPr>
        <w:t>10。</w:t>
      </w:r>
    </w:p>
    <w:p>
      <w:pPr>
        <w:spacing w:after="72" w:afterLines="30" w:line="480" w:lineRule="exact"/>
        <w:ind w:firstLine="482"/>
        <w:jc w:val="center"/>
        <w:rPr>
          <w:b/>
          <w:color w:val="000000"/>
        </w:rPr>
      </w:pPr>
      <w:r>
        <w:rPr>
          <w:rFonts w:hint="eastAsia"/>
          <w:b/>
          <w:color w:val="000000"/>
        </w:rPr>
        <w:t>表1.</w:t>
      </w:r>
      <w:r>
        <w:rPr>
          <w:b/>
          <w:color w:val="000000"/>
        </w:rPr>
        <w:t>5</w:t>
      </w:r>
      <w:r>
        <w:rPr>
          <w:rFonts w:hint="eastAsia"/>
          <w:b/>
          <w:color w:val="000000"/>
        </w:rPr>
        <w:t>-</w:t>
      </w:r>
      <w:r>
        <w:rPr>
          <w:b/>
          <w:color w:val="000000"/>
        </w:rPr>
        <w:t>10</w:t>
      </w:r>
      <w:r>
        <w:rPr>
          <w:rFonts w:hint="eastAsia"/>
          <w:b/>
          <w:color w:val="000000"/>
        </w:rPr>
        <w:t xml:space="preserve"> 环境风险评价工作级别划分标准</w:t>
      </w:r>
    </w:p>
    <w:tbl>
      <w:tblPr>
        <w:tblStyle w:val="56"/>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1"/>
        <w:gridCol w:w="1547"/>
        <w:gridCol w:w="196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9" w:hRule="atLeast"/>
          <w:jc w:val="center"/>
        </w:trPr>
        <w:tc>
          <w:tcPr>
            <w:tcW w:w="1601" w:type="dxa"/>
            <w:vAlign w:val="center"/>
          </w:tcPr>
          <w:p>
            <w:pPr>
              <w:ind w:firstLine="0" w:firstLineChars="0"/>
              <w:jc w:val="center"/>
              <w:rPr>
                <w:color w:val="000000"/>
                <w:sz w:val="21"/>
                <w:szCs w:val="21"/>
              </w:rPr>
            </w:pPr>
            <w:r>
              <w:rPr>
                <w:rFonts w:hint="eastAsia"/>
                <w:color w:val="000000"/>
                <w:sz w:val="21"/>
                <w:szCs w:val="21"/>
              </w:rPr>
              <w:t>环境风险潜势</w:t>
            </w:r>
          </w:p>
        </w:tc>
        <w:tc>
          <w:tcPr>
            <w:tcW w:w="1547" w:type="dxa"/>
            <w:vAlign w:val="center"/>
          </w:tcPr>
          <w:p>
            <w:pPr>
              <w:ind w:firstLine="0" w:firstLineChars="0"/>
              <w:jc w:val="center"/>
              <w:rPr>
                <w:color w:val="000000"/>
                <w:sz w:val="21"/>
                <w:szCs w:val="21"/>
              </w:rPr>
            </w:pPr>
            <w:r>
              <w:rPr>
                <w:rFonts w:hint="eastAsia"/>
                <w:color w:val="000000"/>
                <w:sz w:val="21"/>
                <w:szCs w:val="21"/>
              </w:rPr>
              <w:t>I</w:t>
            </w:r>
            <w:r>
              <w:rPr>
                <w:color w:val="000000"/>
                <w:sz w:val="21"/>
                <w:szCs w:val="21"/>
              </w:rPr>
              <w:t>V</w:t>
            </w:r>
            <w:r>
              <w:rPr>
                <w:rFonts w:hint="eastAsia"/>
                <w:color w:val="000000"/>
                <w:sz w:val="21"/>
                <w:szCs w:val="21"/>
              </w:rPr>
              <w:t>、</w:t>
            </w:r>
            <w:r>
              <w:rPr>
                <w:color w:val="000000"/>
                <w:sz w:val="21"/>
                <w:szCs w:val="21"/>
              </w:rPr>
              <w:t>IV+</w:t>
            </w:r>
          </w:p>
        </w:tc>
        <w:tc>
          <w:tcPr>
            <w:tcW w:w="1964" w:type="dxa"/>
            <w:vAlign w:val="center"/>
          </w:tcPr>
          <w:p>
            <w:pPr>
              <w:ind w:firstLine="0" w:firstLineChars="0"/>
              <w:jc w:val="center"/>
              <w:rPr>
                <w:color w:val="000000"/>
                <w:sz w:val="21"/>
                <w:szCs w:val="21"/>
              </w:rPr>
            </w:pPr>
            <w:r>
              <w:rPr>
                <w:rFonts w:hint="eastAsia"/>
                <w:color w:val="000000"/>
                <w:sz w:val="21"/>
                <w:szCs w:val="21"/>
              </w:rPr>
              <w:t>I</w:t>
            </w:r>
            <w:r>
              <w:rPr>
                <w:color w:val="000000"/>
                <w:sz w:val="21"/>
                <w:szCs w:val="21"/>
              </w:rPr>
              <w:t>II</w:t>
            </w:r>
          </w:p>
        </w:tc>
        <w:tc>
          <w:tcPr>
            <w:tcW w:w="1705" w:type="dxa"/>
            <w:vAlign w:val="center"/>
          </w:tcPr>
          <w:p>
            <w:pPr>
              <w:ind w:firstLine="0" w:firstLineChars="0"/>
              <w:jc w:val="center"/>
              <w:rPr>
                <w:color w:val="000000"/>
                <w:sz w:val="21"/>
                <w:szCs w:val="21"/>
              </w:rPr>
            </w:pPr>
            <w:r>
              <w:rPr>
                <w:rFonts w:hint="eastAsia"/>
                <w:color w:val="000000"/>
                <w:sz w:val="21"/>
                <w:szCs w:val="21"/>
              </w:rPr>
              <w:t>I</w:t>
            </w:r>
            <w:r>
              <w:rPr>
                <w:color w:val="000000"/>
                <w:sz w:val="21"/>
                <w:szCs w:val="21"/>
              </w:rPr>
              <w:t>I</w:t>
            </w:r>
          </w:p>
        </w:tc>
        <w:tc>
          <w:tcPr>
            <w:tcW w:w="1705" w:type="dxa"/>
            <w:vAlign w:val="center"/>
          </w:tcPr>
          <w:p>
            <w:pPr>
              <w:ind w:firstLine="0" w:firstLineChars="0"/>
              <w:jc w:val="center"/>
              <w:rPr>
                <w:color w:val="000000"/>
                <w:sz w:val="21"/>
                <w:szCs w:val="21"/>
              </w:rPr>
            </w:pPr>
            <w:r>
              <w:rPr>
                <w:rFonts w:hint="eastAsia"/>
                <w:color w:val="000000"/>
                <w:sz w:val="21"/>
                <w:szCs w:val="21"/>
              </w:rP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1" w:hRule="atLeast"/>
          <w:jc w:val="center"/>
        </w:trPr>
        <w:tc>
          <w:tcPr>
            <w:tcW w:w="1601" w:type="dxa"/>
            <w:vAlign w:val="center"/>
          </w:tcPr>
          <w:p>
            <w:pPr>
              <w:ind w:firstLine="0" w:firstLineChars="0"/>
              <w:jc w:val="center"/>
              <w:rPr>
                <w:color w:val="000000"/>
                <w:sz w:val="21"/>
                <w:szCs w:val="21"/>
              </w:rPr>
            </w:pPr>
            <w:r>
              <w:rPr>
                <w:rFonts w:hint="eastAsia"/>
                <w:color w:val="000000"/>
                <w:sz w:val="21"/>
                <w:szCs w:val="21"/>
              </w:rPr>
              <w:t>评价工作等级</w:t>
            </w:r>
          </w:p>
        </w:tc>
        <w:tc>
          <w:tcPr>
            <w:tcW w:w="1547" w:type="dxa"/>
            <w:vAlign w:val="center"/>
          </w:tcPr>
          <w:p>
            <w:pPr>
              <w:ind w:firstLine="0" w:firstLineChars="0"/>
              <w:jc w:val="center"/>
              <w:rPr>
                <w:color w:val="000000"/>
                <w:sz w:val="21"/>
                <w:szCs w:val="21"/>
              </w:rPr>
            </w:pPr>
            <w:r>
              <w:rPr>
                <w:rFonts w:hint="eastAsia"/>
                <w:color w:val="000000"/>
                <w:sz w:val="21"/>
                <w:szCs w:val="21"/>
              </w:rPr>
              <w:t>一</w:t>
            </w:r>
          </w:p>
        </w:tc>
        <w:tc>
          <w:tcPr>
            <w:tcW w:w="1964" w:type="dxa"/>
            <w:vAlign w:val="center"/>
          </w:tcPr>
          <w:p>
            <w:pPr>
              <w:ind w:firstLine="0" w:firstLineChars="0"/>
              <w:jc w:val="center"/>
              <w:rPr>
                <w:color w:val="000000"/>
                <w:sz w:val="21"/>
                <w:szCs w:val="21"/>
              </w:rPr>
            </w:pPr>
            <w:r>
              <w:rPr>
                <w:color w:val="000000"/>
                <w:sz w:val="21"/>
                <w:szCs w:val="21"/>
              </w:rPr>
              <w:t>二</w:t>
            </w:r>
          </w:p>
        </w:tc>
        <w:tc>
          <w:tcPr>
            <w:tcW w:w="1705" w:type="dxa"/>
            <w:vAlign w:val="center"/>
          </w:tcPr>
          <w:p>
            <w:pPr>
              <w:ind w:firstLine="0" w:firstLineChars="0"/>
              <w:jc w:val="center"/>
              <w:rPr>
                <w:color w:val="000000"/>
                <w:sz w:val="21"/>
                <w:szCs w:val="21"/>
              </w:rPr>
            </w:pPr>
            <w:r>
              <w:rPr>
                <w:rFonts w:hint="eastAsia"/>
                <w:color w:val="000000"/>
                <w:sz w:val="21"/>
                <w:szCs w:val="21"/>
              </w:rPr>
              <w:t>三</w:t>
            </w:r>
          </w:p>
        </w:tc>
        <w:tc>
          <w:tcPr>
            <w:tcW w:w="1705" w:type="dxa"/>
            <w:vAlign w:val="center"/>
          </w:tcPr>
          <w:p>
            <w:pPr>
              <w:ind w:firstLine="0" w:firstLineChars="0"/>
              <w:jc w:val="center"/>
              <w:rPr>
                <w:color w:val="000000"/>
                <w:sz w:val="21"/>
                <w:szCs w:val="21"/>
              </w:rPr>
            </w:pPr>
            <w:r>
              <w:rPr>
                <w:rFonts w:hint="eastAsia"/>
                <w:color w:val="000000"/>
                <w:sz w:val="21"/>
                <w:szCs w:val="21"/>
              </w:rPr>
              <w:t>简单分析</w:t>
            </w:r>
          </w:p>
        </w:tc>
      </w:tr>
    </w:tbl>
    <w:p>
      <w:pPr>
        <w:spacing w:line="480" w:lineRule="exact"/>
        <w:ind w:firstLine="480"/>
        <w:rPr>
          <w:color w:val="000000"/>
        </w:rPr>
      </w:pPr>
      <w:r>
        <w:rPr>
          <w:rFonts w:hint="eastAsia"/>
          <w:color w:val="000000"/>
        </w:rPr>
        <w:t>（1）环境风险潜势划分</w:t>
      </w:r>
    </w:p>
    <w:p>
      <w:pPr>
        <w:spacing w:line="480" w:lineRule="exact"/>
        <w:ind w:firstLine="480"/>
        <w:rPr>
          <w:color w:val="000000"/>
        </w:rPr>
      </w:pPr>
      <w:r>
        <w:rPr>
          <w:rFonts w:hint="eastAsia"/>
          <w:color w:val="000000"/>
        </w:rPr>
        <w:t>建目环境风险势划分为</w:t>
      </w:r>
      <w:r>
        <w:rPr>
          <w:color w:val="000000"/>
        </w:rPr>
        <w:t>I</w:t>
      </w:r>
      <w:r>
        <w:rPr>
          <w:rFonts w:hint="eastAsia"/>
          <w:color w:val="000000"/>
        </w:rPr>
        <w:t>、I</w:t>
      </w:r>
      <w:r>
        <w:rPr>
          <w:color w:val="000000"/>
        </w:rPr>
        <w:t>I</w:t>
      </w:r>
      <w:r>
        <w:rPr>
          <w:rFonts w:hint="eastAsia"/>
          <w:color w:val="000000"/>
        </w:rPr>
        <w:t>、I</w:t>
      </w:r>
      <w:r>
        <w:rPr>
          <w:color w:val="000000"/>
        </w:rPr>
        <w:t>II</w:t>
      </w:r>
      <w:r>
        <w:rPr>
          <w:rFonts w:hint="eastAsia"/>
          <w:color w:val="000000"/>
        </w:rPr>
        <w:t>、I</w:t>
      </w:r>
      <w:r>
        <w:rPr>
          <w:color w:val="000000"/>
        </w:rPr>
        <w:t>V/IV</w:t>
      </w:r>
      <w:r>
        <w:rPr>
          <w:rFonts w:hint="eastAsia"/>
          <w:color w:val="000000"/>
        </w:rPr>
        <w:t>+级</w:t>
      </w:r>
    </w:p>
    <w:p>
      <w:pPr>
        <w:spacing w:line="480" w:lineRule="exact"/>
        <w:ind w:firstLine="480"/>
        <w:rPr>
          <w:color w:val="000000"/>
        </w:rPr>
      </w:pPr>
      <w:r>
        <w:rPr>
          <w:rFonts w:hint="eastAsia"/>
          <w:color w:val="000000"/>
        </w:rPr>
        <w:t>根据建设项目涉及的物质和工艺系统的危险性及其所在地的环境敏感程度，结合事故情形环境影响途径，对建设项目潜在环境危害程度进行概化分析，按照表确定环境风险潜势表</w:t>
      </w:r>
      <w:r>
        <w:rPr>
          <w:color w:val="000000"/>
        </w:rPr>
        <w:t>1.5</w:t>
      </w:r>
      <w:r>
        <w:rPr>
          <w:rFonts w:hint="eastAsia"/>
          <w:color w:val="000000"/>
        </w:rPr>
        <w:t>-</w:t>
      </w:r>
      <w:r>
        <w:rPr>
          <w:color w:val="000000"/>
        </w:rPr>
        <w:t>11</w:t>
      </w:r>
      <w:r>
        <w:rPr>
          <w:rFonts w:hint="eastAsia"/>
          <w:color w:val="000000"/>
        </w:rPr>
        <w:t>建设项目环境风险潜势划分</w:t>
      </w:r>
    </w:p>
    <w:p>
      <w:pPr>
        <w:spacing w:line="480" w:lineRule="exact"/>
        <w:ind w:firstLine="3132" w:firstLineChars="1300"/>
        <w:rPr>
          <w:b/>
          <w:color w:val="000000"/>
        </w:rPr>
      </w:pPr>
      <w:r>
        <w:rPr>
          <w:rFonts w:hint="eastAsia"/>
          <w:b/>
          <w:color w:val="000000"/>
        </w:rPr>
        <w:t>表 1</w:t>
      </w:r>
      <w:r>
        <w:rPr>
          <w:b/>
          <w:color w:val="000000"/>
        </w:rPr>
        <w:t>.5</w:t>
      </w:r>
      <w:r>
        <w:rPr>
          <w:rFonts w:hint="eastAsia"/>
          <w:b/>
          <w:color w:val="000000"/>
        </w:rPr>
        <w:t>-</w:t>
      </w:r>
      <w:r>
        <w:rPr>
          <w:b/>
          <w:color w:val="000000"/>
        </w:rPr>
        <w:t>11</w:t>
      </w:r>
      <w:r>
        <w:rPr>
          <w:rFonts w:hint="eastAsia"/>
          <w:b/>
          <w:color w:val="000000"/>
        </w:rPr>
        <w:t>风险潜势划分一览表</w:t>
      </w:r>
    </w:p>
    <w:tbl>
      <w:tblPr>
        <w:tblStyle w:val="56"/>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1"/>
        <w:gridCol w:w="1547"/>
        <w:gridCol w:w="196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9" w:hRule="atLeast"/>
          <w:jc w:val="center"/>
        </w:trPr>
        <w:tc>
          <w:tcPr>
            <w:tcW w:w="1601" w:type="dxa"/>
            <w:vMerge w:val="restart"/>
            <w:vAlign w:val="center"/>
          </w:tcPr>
          <w:p>
            <w:pPr>
              <w:ind w:firstLine="0" w:firstLineChars="0"/>
              <w:rPr>
                <w:color w:val="000000"/>
                <w:sz w:val="21"/>
                <w:szCs w:val="21"/>
              </w:rPr>
            </w:pPr>
            <w:r>
              <w:rPr>
                <w:rFonts w:hint="eastAsia"/>
                <w:color w:val="000000"/>
                <w:sz w:val="21"/>
                <w:szCs w:val="21"/>
              </w:rPr>
              <w:t>环境敏感程度（E）</w:t>
            </w:r>
          </w:p>
        </w:tc>
        <w:tc>
          <w:tcPr>
            <w:tcW w:w="6921" w:type="dxa"/>
            <w:gridSpan w:val="4"/>
            <w:vAlign w:val="center"/>
          </w:tcPr>
          <w:p>
            <w:pPr>
              <w:ind w:firstLine="420"/>
              <w:jc w:val="center"/>
              <w:rPr>
                <w:color w:val="000000"/>
                <w:sz w:val="21"/>
                <w:szCs w:val="21"/>
              </w:rPr>
            </w:pPr>
            <w:r>
              <w:rPr>
                <w:rFonts w:hint="eastAsia"/>
                <w:color w:val="000000"/>
                <w:sz w:val="21"/>
                <w:szCs w:val="21"/>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9" w:hRule="atLeast"/>
          <w:jc w:val="center"/>
        </w:trPr>
        <w:tc>
          <w:tcPr>
            <w:tcW w:w="1601" w:type="dxa"/>
            <w:vMerge w:val="continue"/>
            <w:vAlign w:val="center"/>
          </w:tcPr>
          <w:p>
            <w:pPr>
              <w:ind w:firstLine="420"/>
              <w:jc w:val="center"/>
              <w:rPr>
                <w:color w:val="000000"/>
                <w:sz w:val="21"/>
                <w:szCs w:val="21"/>
              </w:rPr>
            </w:pPr>
          </w:p>
        </w:tc>
        <w:tc>
          <w:tcPr>
            <w:tcW w:w="1547" w:type="dxa"/>
            <w:vAlign w:val="center"/>
          </w:tcPr>
          <w:p>
            <w:pPr>
              <w:ind w:firstLine="0" w:firstLineChars="0"/>
              <w:rPr>
                <w:color w:val="000000"/>
                <w:sz w:val="21"/>
                <w:szCs w:val="21"/>
              </w:rPr>
            </w:pPr>
            <w:r>
              <w:rPr>
                <w:rFonts w:hint="eastAsia"/>
                <w:color w:val="000000"/>
                <w:sz w:val="21"/>
                <w:szCs w:val="21"/>
              </w:rPr>
              <w:t>极高危害（P</w:t>
            </w:r>
            <w:r>
              <w:rPr>
                <w:color w:val="000000"/>
                <w:sz w:val="21"/>
                <w:szCs w:val="21"/>
              </w:rPr>
              <w:t>1</w:t>
            </w:r>
            <w:r>
              <w:rPr>
                <w:rFonts w:hint="eastAsia"/>
                <w:color w:val="000000"/>
                <w:sz w:val="21"/>
                <w:szCs w:val="21"/>
              </w:rPr>
              <w:t>）</w:t>
            </w:r>
          </w:p>
        </w:tc>
        <w:tc>
          <w:tcPr>
            <w:tcW w:w="1964" w:type="dxa"/>
            <w:vAlign w:val="center"/>
          </w:tcPr>
          <w:p>
            <w:pPr>
              <w:ind w:firstLine="0" w:firstLineChars="0"/>
              <w:rPr>
                <w:color w:val="000000"/>
                <w:sz w:val="21"/>
                <w:szCs w:val="21"/>
              </w:rPr>
            </w:pPr>
            <w:r>
              <w:rPr>
                <w:rFonts w:hint="eastAsia"/>
                <w:color w:val="000000"/>
                <w:sz w:val="21"/>
                <w:szCs w:val="21"/>
              </w:rPr>
              <w:t>高度危害（P</w:t>
            </w:r>
            <w:r>
              <w:rPr>
                <w:color w:val="000000"/>
                <w:sz w:val="21"/>
                <w:szCs w:val="21"/>
              </w:rPr>
              <w:t>2</w:t>
            </w:r>
            <w:r>
              <w:rPr>
                <w:rFonts w:hint="eastAsia"/>
                <w:color w:val="000000"/>
                <w:sz w:val="21"/>
                <w:szCs w:val="21"/>
              </w:rPr>
              <w:t>）</w:t>
            </w:r>
          </w:p>
        </w:tc>
        <w:tc>
          <w:tcPr>
            <w:tcW w:w="1705" w:type="dxa"/>
            <w:vAlign w:val="center"/>
          </w:tcPr>
          <w:p>
            <w:pPr>
              <w:ind w:firstLine="0" w:firstLineChars="0"/>
              <w:rPr>
                <w:color w:val="000000"/>
                <w:sz w:val="21"/>
                <w:szCs w:val="21"/>
              </w:rPr>
            </w:pPr>
            <w:r>
              <w:rPr>
                <w:rFonts w:hint="eastAsia"/>
                <w:color w:val="000000"/>
                <w:sz w:val="21"/>
                <w:szCs w:val="21"/>
              </w:rPr>
              <w:t>中度危害（P</w:t>
            </w:r>
            <w:r>
              <w:rPr>
                <w:color w:val="000000"/>
                <w:sz w:val="21"/>
                <w:szCs w:val="21"/>
              </w:rPr>
              <w:t>3</w:t>
            </w:r>
            <w:r>
              <w:rPr>
                <w:rFonts w:hint="eastAsia"/>
                <w:color w:val="000000"/>
                <w:sz w:val="21"/>
                <w:szCs w:val="21"/>
              </w:rPr>
              <w:t>）</w:t>
            </w:r>
          </w:p>
        </w:tc>
        <w:tc>
          <w:tcPr>
            <w:tcW w:w="1705" w:type="dxa"/>
            <w:vAlign w:val="center"/>
          </w:tcPr>
          <w:p>
            <w:pPr>
              <w:ind w:firstLine="0" w:firstLineChars="0"/>
              <w:rPr>
                <w:color w:val="000000"/>
                <w:sz w:val="21"/>
                <w:szCs w:val="21"/>
              </w:rPr>
            </w:pPr>
            <w:r>
              <w:rPr>
                <w:rFonts w:hint="eastAsia"/>
                <w:color w:val="000000"/>
                <w:sz w:val="21"/>
                <w:szCs w:val="21"/>
              </w:rPr>
              <w:t>轻度危害（P</w:t>
            </w:r>
            <w:r>
              <w:rPr>
                <w:color w:val="000000"/>
                <w:sz w:val="21"/>
                <w:szCs w:val="21"/>
              </w:rPr>
              <w:t>4</w:t>
            </w:r>
            <w:r>
              <w:rPr>
                <w:rFonts w:hint="eastAsia"/>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9" w:hRule="atLeast"/>
          <w:jc w:val="center"/>
        </w:trPr>
        <w:tc>
          <w:tcPr>
            <w:tcW w:w="1601" w:type="dxa"/>
            <w:vAlign w:val="center"/>
          </w:tcPr>
          <w:p>
            <w:pPr>
              <w:spacing w:line="240" w:lineRule="auto"/>
              <w:ind w:firstLine="0" w:firstLineChars="0"/>
              <w:rPr>
                <w:color w:val="000000"/>
                <w:sz w:val="21"/>
                <w:szCs w:val="21"/>
              </w:rPr>
            </w:pPr>
            <w:r>
              <w:rPr>
                <w:rFonts w:hint="eastAsia"/>
                <w:color w:val="000000"/>
                <w:sz w:val="21"/>
                <w:szCs w:val="21"/>
              </w:rPr>
              <w:t>环境高度敏感区（E</w:t>
            </w:r>
            <w:r>
              <w:rPr>
                <w:color w:val="000000"/>
                <w:sz w:val="21"/>
                <w:szCs w:val="21"/>
              </w:rPr>
              <w:t>1</w:t>
            </w:r>
            <w:r>
              <w:rPr>
                <w:rFonts w:hint="eastAsia"/>
                <w:color w:val="000000"/>
                <w:sz w:val="21"/>
                <w:szCs w:val="21"/>
              </w:rPr>
              <w:t>）</w:t>
            </w:r>
          </w:p>
        </w:tc>
        <w:tc>
          <w:tcPr>
            <w:tcW w:w="1547" w:type="dxa"/>
            <w:vAlign w:val="center"/>
          </w:tcPr>
          <w:p>
            <w:pPr>
              <w:ind w:firstLine="420"/>
              <w:jc w:val="center"/>
              <w:rPr>
                <w:color w:val="000000"/>
                <w:sz w:val="21"/>
                <w:szCs w:val="21"/>
              </w:rPr>
            </w:pPr>
            <w:r>
              <w:rPr>
                <w:color w:val="000000"/>
                <w:sz w:val="21"/>
                <w:szCs w:val="21"/>
              </w:rPr>
              <w:t>IV+</w:t>
            </w:r>
          </w:p>
        </w:tc>
        <w:tc>
          <w:tcPr>
            <w:tcW w:w="1964" w:type="dxa"/>
            <w:vAlign w:val="center"/>
          </w:tcPr>
          <w:p>
            <w:pPr>
              <w:ind w:firstLine="0" w:firstLineChars="0"/>
              <w:jc w:val="center"/>
              <w:rPr>
                <w:color w:val="000000"/>
                <w:sz w:val="21"/>
                <w:szCs w:val="21"/>
              </w:rPr>
            </w:pPr>
            <w:r>
              <w:rPr>
                <w:color w:val="000000"/>
                <w:sz w:val="21"/>
                <w:szCs w:val="21"/>
              </w:rPr>
              <w:t>IV</w:t>
            </w:r>
          </w:p>
        </w:tc>
        <w:tc>
          <w:tcPr>
            <w:tcW w:w="1705" w:type="dxa"/>
            <w:vAlign w:val="center"/>
          </w:tcPr>
          <w:p>
            <w:pPr>
              <w:ind w:firstLine="0" w:firstLineChars="0"/>
              <w:jc w:val="center"/>
              <w:rPr>
                <w:color w:val="000000"/>
                <w:sz w:val="21"/>
                <w:szCs w:val="21"/>
              </w:rPr>
            </w:pPr>
            <w:r>
              <w:rPr>
                <w:rFonts w:hint="eastAsia"/>
                <w:color w:val="000000"/>
                <w:sz w:val="21"/>
                <w:szCs w:val="21"/>
              </w:rPr>
              <w:t>I</w:t>
            </w:r>
            <w:r>
              <w:rPr>
                <w:color w:val="000000"/>
                <w:sz w:val="21"/>
                <w:szCs w:val="21"/>
              </w:rPr>
              <w:t>II</w:t>
            </w:r>
          </w:p>
        </w:tc>
        <w:tc>
          <w:tcPr>
            <w:tcW w:w="1705" w:type="dxa"/>
            <w:vAlign w:val="center"/>
          </w:tcPr>
          <w:p>
            <w:pPr>
              <w:ind w:firstLine="0" w:firstLineChars="0"/>
              <w:jc w:val="center"/>
              <w:rPr>
                <w:color w:val="000000"/>
                <w:sz w:val="21"/>
                <w:szCs w:val="21"/>
              </w:rPr>
            </w:pPr>
            <w:r>
              <w:rPr>
                <w:rFonts w:hint="eastAsia"/>
                <w:color w:val="000000"/>
                <w:sz w:val="21"/>
                <w:szCs w:val="21"/>
              </w:rPr>
              <w:t>I</w:t>
            </w:r>
            <w:r>
              <w:rPr>
                <w:color w:val="000000"/>
                <w:sz w:val="21"/>
                <w:szCs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9" w:hRule="atLeast"/>
          <w:jc w:val="center"/>
        </w:trPr>
        <w:tc>
          <w:tcPr>
            <w:tcW w:w="1601" w:type="dxa"/>
            <w:vAlign w:val="center"/>
          </w:tcPr>
          <w:p>
            <w:pPr>
              <w:spacing w:line="240" w:lineRule="auto"/>
              <w:ind w:firstLine="0" w:firstLineChars="0"/>
              <w:rPr>
                <w:color w:val="000000"/>
                <w:sz w:val="21"/>
                <w:szCs w:val="21"/>
              </w:rPr>
            </w:pPr>
            <w:r>
              <w:rPr>
                <w:rFonts w:hint="eastAsia"/>
                <w:color w:val="000000"/>
                <w:sz w:val="21"/>
                <w:szCs w:val="21"/>
              </w:rPr>
              <w:t>环境高度敏感区（E</w:t>
            </w:r>
            <w:r>
              <w:rPr>
                <w:color w:val="000000"/>
                <w:sz w:val="21"/>
                <w:szCs w:val="21"/>
              </w:rPr>
              <w:t>2</w:t>
            </w:r>
            <w:r>
              <w:rPr>
                <w:rFonts w:hint="eastAsia"/>
                <w:color w:val="000000"/>
                <w:sz w:val="21"/>
                <w:szCs w:val="21"/>
              </w:rPr>
              <w:t>）</w:t>
            </w:r>
          </w:p>
        </w:tc>
        <w:tc>
          <w:tcPr>
            <w:tcW w:w="1547" w:type="dxa"/>
            <w:vAlign w:val="center"/>
          </w:tcPr>
          <w:p>
            <w:pPr>
              <w:ind w:firstLine="420"/>
              <w:jc w:val="center"/>
              <w:rPr>
                <w:color w:val="000000"/>
                <w:sz w:val="21"/>
                <w:szCs w:val="21"/>
              </w:rPr>
            </w:pPr>
            <w:r>
              <w:rPr>
                <w:rFonts w:hint="eastAsia"/>
                <w:color w:val="000000"/>
                <w:sz w:val="21"/>
                <w:szCs w:val="21"/>
              </w:rPr>
              <w:t>I</w:t>
            </w:r>
            <w:r>
              <w:rPr>
                <w:color w:val="000000"/>
                <w:sz w:val="21"/>
                <w:szCs w:val="21"/>
              </w:rPr>
              <w:t>V</w:t>
            </w:r>
          </w:p>
        </w:tc>
        <w:tc>
          <w:tcPr>
            <w:tcW w:w="1964" w:type="dxa"/>
            <w:vAlign w:val="center"/>
          </w:tcPr>
          <w:p>
            <w:pPr>
              <w:ind w:firstLine="0" w:firstLineChars="0"/>
              <w:jc w:val="center"/>
              <w:rPr>
                <w:color w:val="000000"/>
                <w:sz w:val="21"/>
                <w:szCs w:val="21"/>
              </w:rPr>
            </w:pPr>
            <w:r>
              <w:rPr>
                <w:rFonts w:hint="eastAsia"/>
                <w:color w:val="000000"/>
                <w:sz w:val="21"/>
                <w:szCs w:val="21"/>
              </w:rPr>
              <w:t>I</w:t>
            </w:r>
            <w:r>
              <w:rPr>
                <w:color w:val="000000"/>
                <w:sz w:val="21"/>
                <w:szCs w:val="21"/>
              </w:rPr>
              <w:t>II</w:t>
            </w:r>
          </w:p>
        </w:tc>
        <w:tc>
          <w:tcPr>
            <w:tcW w:w="1705" w:type="dxa"/>
            <w:vAlign w:val="center"/>
          </w:tcPr>
          <w:p>
            <w:pPr>
              <w:ind w:firstLine="0" w:firstLineChars="0"/>
              <w:jc w:val="center"/>
              <w:rPr>
                <w:color w:val="000000"/>
                <w:sz w:val="21"/>
                <w:szCs w:val="21"/>
              </w:rPr>
            </w:pPr>
            <w:r>
              <w:rPr>
                <w:rFonts w:hint="eastAsia"/>
                <w:color w:val="000000"/>
                <w:sz w:val="21"/>
                <w:szCs w:val="21"/>
              </w:rPr>
              <w:t>I</w:t>
            </w:r>
            <w:r>
              <w:rPr>
                <w:color w:val="000000"/>
                <w:sz w:val="21"/>
                <w:szCs w:val="21"/>
              </w:rPr>
              <w:t>II</w:t>
            </w:r>
          </w:p>
        </w:tc>
        <w:tc>
          <w:tcPr>
            <w:tcW w:w="1705" w:type="dxa"/>
            <w:vAlign w:val="center"/>
          </w:tcPr>
          <w:p>
            <w:pPr>
              <w:ind w:firstLine="0" w:firstLineChars="0"/>
              <w:jc w:val="center"/>
              <w:rPr>
                <w:color w:val="000000"/>
                <w:sz w:val="21"/>
                <w:szCs w:val="21"/>
              </w:rPr>
            </w:pPr>
            <w:r>
              <w:rPr>
                <w:rFonts w:hint="eastAsia"/>
                <w:color w:val="000000"/>
                <w:sz w:val="21"/>
                <w:szCs w:val="21"/>
              </w:rPr>
              <w:t>I</w:t>
            </w:r>
            <w:r>
              <w:rPr>
                <w:color w:val="000000"/>
                <w:sz w:val="21"/>
                <w:szCs w:val="21"/>
              </w:rP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1" w:hRule="atLeast"/>
          <w:jc w:val="center"/>
        </w:trPr>
        <w:tc>
          <w:tcPr>
            <w:tcW w:w="1601" w:type="dxa"/>
            <w:vAlign w:val="center"/>
          </w:tcPr>
          <w:p>
            <w:pPr>
              <w:spacing w:line="240" w:lineRule="auto"/>
              <w:ind w:firstLine="0" w:firstLineChars="0"/>
              <w:rPr>
                <w:color w:val="000000"/>
                <w:sz w:val="21"/>
                <w:szCs w:val="21"/>
              </w:rPr>
            </w:pPr>
            <w:r>
              <w:rPr>
                <w:rFonts w:hint="eastAsia"/>
                <w:color w:val="000000"/>
                <w:sz w:val="21"/>
                <w:szCs w:val="21"/>
              </w:rPr>
              <w:t>环境高度敏感区（E</w:t>
            </w:r>
            <w:r>
              <w:rPr>
                <w:color w:val="000000"/>
                <w:sz w:val="21"/>
                <w:szCs w:val="21"/>
              </w:rPr>
              <w:t>3</w:t>
            </w:r>
            <w:r>
              <w:rPr>
                <w:rFonts w:hint="eastAsia"/>
                <w:color w:val="000000"/>
                <w:sz w:val="21"/>
                <w:szCs w:val="21"/>
              </w:rPr>
              <w:t>）</w:t>
            </w:r>
          </w:p>
        </w:tc>
        <w:tc>
          <w:tcPr>
            <w:tcW w:w="1547" w:type="dxa"/>
            <w:vAlign w:val="center"/>
          </w:tcPr>
          <w:p>
            <w:pPr>
              <w:ind w:firstLine="420"/>
              <w:jc w:val="center"/>
              <w:rPr>
                <w:color w:val="000000"/>
                <w:sz w:val="21"/>
                <w:szCs w:val="21"/>
              </w:rPr>
            </w:pPr>
            <w:r>
              <w:rPr>
                <w:rFonts w:hint="eastAsia"/>
                <w:color w:val="000000"/>
                <w:sz w:val="21"/>
                <w:szCs w:val="21"/>
              </w:rPr>
              <w:t>I</w:t>
            </w:r>
            <w:r>
              <w:rPr>
                <w:color w:val="000000"/>
                <w:sz w:val="21"/>
                <w:szCs w:val="21"/>
              </w:rPr>
              <w:t>II</w:t>
            </w:r>
          </w:p>
        </w:tc>
        <w:tc>
          <w:tcPr>
            <w:tcW w:w="1964" w:type="dxa"/>
            <w:vAlign w:val="center"/>
          </w:tcPr>
          <w:p>
            <w:pPr>
              <w:ind w:firstLine="0" w:firstLineChars="0"/>
              <w:jc w:val="center"/>
              <w:rPr>
                <w:color w:val="000000"/>
                <w:sz w:val="21"/>
                <w:szCs w:val="21"/>
              </w:rPr>
            </w:pPr>
            <w:r>
              <w:rPr>
                <w:rFonts w:hint="eastAsia"/>
                <w:color w:val="000000"/>
                <w:sz w:val="21"/>
                <w:szCs w:val="21"/>
              </w:rPr>
              <w:t>I</w:t>
            </w:r>
            <w:r>
              <w:rPr>
                <w:color w:val="000000"/>
                <w:sz w:val="21"/>
                <w:szCs w:val="21"/>
              </w:rPr>
              <w:t>II</w:t>
            </w:r>
          </w:p>
        </w:tc>
        <w:tc>
          <w:tcPr>
            <w:tcW w:w="1705" w:type="dxa"/>
            <w:vAlign w:val="center"/>
          </w:tcPr>
          <w:p>
            <w:pPr>
              <w:ind w:firstLine="0" w:firstLineChars="0"/>
              <w:jc w:val="center"/>
              <w:rPr>
                <w:color w:val="000000"/>
                <w:sz w:val="21"/>
                <w:szCs w:val="21"/>
              </w:rPr>
            </w:pPr>
            <w:r>
              <w:rPr>
                <w:rFonts w:hint="eastAsia"/>
                <w:color w:val="000000"/>
                <w:sz w:val="21"/>
                <w:szCs w:val="21"/>
              </w:rPr>
              <w:t>I</w:t>
            </w:r>
            <w:r>
              <w:rPr>
                <w:color w:val="000000"/>
                <w:sz w:val="21"/>
                <w:szCs w:val="21"/>
              </w:rPr>
              <w:t>I</w:t>
            </w:r>
          </w:p>
        </w:tc>
        <w:tc>
          <w:tcPr>
            <w:tcW w:w="1705" w:type="dxa"/>
            <w:vAlign w:val="center"/>
          </w:tcPr>
          <w:p>
            <w:pPr>
              <w:ind w:firstLine="0" w:firstLineChars="0"/>
              <w:jc w:val="center"/>
              <w:rPr>
                <w:color w:val="000000"/>
                <w:sz w:val="21"/>
                <w:szCs w:val="21"/>
              </w:rPr>
            </w:pPr>
            <w:r>
              <w:rPr>
                <w:rFonts w:hint="eastAsia"/>
                <w:color w:val="000000"/>
                <w:sz w:val="21"/>
                <w:szCs w:val="21"/>
              </w:rPr>
              <w:t>I</w:t>
            </w:r>
          </w:p>
        </w:tc>
      </w:tr>
    </w:tbl>
    <w:p>
      <w:pPr>
        <w:spacing w:line="480" w:lineRule="exact"/>
        <w:ind w:firstLine="480"/>
        <w:rPr>
          <w:color w:val="000000"/>
        </w:rPr>
      </w:pPr>
      <w:r>
        <w:rPr>
          <w:rFonts w:hint="eastAsia"/>
          <w:color w:val="000000"/>
        </w:rPr>
        <w:t>本项目潜在的环境风险主要包括：</w:t>
      </w:r>
      <w:r>
        <w:t>本项目在生产过程中使用到危险品主要是</w:t>
      </w:r>
      <w:r>
        <w:rPr>
          <w:rFonts w:hint="eastAsia"/>
        </w:rPr>
        <w:t>硫磺粉</w:t>
      </w:r>
      <w:r>
        <w:t>属于易燃物质</w:t>
      </w:r>
      <w:r>
        <w:rPr>
          <w:rFonts w:hint="eastAsia"/>
        </w:rPr>
        <w:t>，</w:t>
      </w:r>
      <w:r>
        <w:t>厂区内</w:t>
      </w:r>
      <w:r>
        <w:rPr>
          <w:rFonts w:hint="eastAsia"/>
        </w:rPr>
        <w:t>最大</w:t>
      </w:r>
      <w:r>
        <w:t>储存</w:t>
      </w:r>
      <w:r>
        <w:rPr>
          <w:rFonts w:hint="eastAsia"/>
        </w:rPr>
        <w:t>量为0</w:t>
      </w:r>
      <w:r>
        <w:t>.5</w:t>
      </w:r>
      <w:r>
        <w:rPr>
          <w:rFonts w:hint="eastAsia"/>
        </w:rPr>
        <w:t>t</w:t>
      </w:r>
      <w:r>
        <w:t>。经识别，</w:t>
      </w:r>
      <w:r>
        <w:rPr>
          <w:rFonts w:hint="eastAsia"/>
        </w:rPr>
        <w:t>硫磺粉</w:t>
      </w:r>
      <w:r>
        <w:t>的临界量及其加权值均小于《危险化学品重大危险源辨识》（GB18218-2009）中的临界量，不属于重大危险源</w:t>
      </w:r>
      <w:r>
        <w:rPr>
          <w:rFonts w:hint="eastAsia"/>
          <w:color w:val="000000"/>
        </w:rPr>
        <w:t>。按照《建设项目环境风险评价技术导则》 （HJ169-2018）附录B 中重点关注的危险物质及临界量判别结果，项目不存在重大危险源且项目所在区域不是环境敏感地区。环境风险潜势为Ⅰ，因此，评价等级为简单分析。</w:t>
      </w:r>
    </w:p>
    <w:p>
      <w:pPr>
        <w:ind w:firstLine="480"/>
      </w:pPr>
    </w:p>
    <w:p>
      <w:pPr>
        <w:pStyle w:val="18"/>
      </w:pPr>
      <w:bookmarkStart w:id="129" w:name="_Ref523576310"/>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12</w:t>
      </w:r>
      <w:r>
        <w:fldChar w:fldCharType="end"/>
      </w:r>
      <w:bookmarkEnd w:id="129"/>
      <w:r>
        <w:rPr>
          <w:rFonts w:hint="eastAsia"/>
        </w:rPr>
        <w:t>危险化学品重大危险源辨识情况</w:t>
      </w:r>
    </w:p>
    <w:tbl>
      <w:tblPr>
        <w:tblStyle w:val="56"/>
        <w:tblW w:w="9060" w:type="dxa"/>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1210"/>
        <w:gridCol w:w="1174"/>
        <w:gridCol w:w="3253"/>
        <w:gridCol w:w="1410"/>
        <w:gridCol w:w="1049"/>
        <w:gridCol w:w="964"/>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1210" w:type="dxa"/>
            <w:tcBorders>
              <w:tl2br w:val="nil"/>
              <w:tr2bl w:val="nil"/>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物质名称</w:t>
            </w:r>
          </w:p>
        </w:tc>
        <w:tc>
          <w:tcPr>
            <w:tcW w:w="1174" w:type="dxa"/>
            <w:tcBorders>
              <w:tl2br w:val="nil"/>
              <w:tr2bl w:val="nil"/>
            </w:tcBorders>
            <w:vAlign w:val="center"/>
          </w:tcPr>
          <w:p>
            <w:pPr>
              <w:spacing w:line="240" w:lineRule="auto"/>
              <w:ind w:firstLine="0" w:firstLineChars="0"/>
              <w:jc w:val="center"/>
              <w:rPr>
                <w:rFonts w:cs="Times New Roman" w:eastAsiaTheme="minorEastAsia"/>
                <w:b/>
                <w:sz w:val="21"/>
                <w:szCs w:val="21"/>
              </w:rPr>
            </w:pPr>
            <w:r>
              <w:rPr>
                <w:rFonts w:hint="eastAsia" w:cs="Times New Roman" w:eastAsiaTheme="minorEastAsia"/>
                <w:b/>
                <w:sz w:val="21"/>
                <w:szCs w:val="21"/>
              </w:rPr>
              <w:t>C</w:t>
            </w:r>
            <w:r>
              <w:rPr>
                <w:rFonts w:cs="Times New Roman" w:eastAsiaTheme="minorEastAsia"/>
                <w:b/>
                <w:sz w:val="21"/>
                <w:szCs w:val="21"/>
              </w:rPr>
              <w:t>AS</w:t>
            </w:r>
            <w:r>
              <w:rPr>
                <w:rFonts w:hint="eastAsia" w:cs="Times New Roman" w:eastAsiaTheme="minorEastAsia"/>
                <w:b/>
                <w:sz w:val="21"/>
                <w:szCs w:val="21"/>
              </w:rPr>
              <w:t>号</w:t>
            </w:r>
          </w:p>
        </w:tc>
        <w:tc>
          <w:tcPr>
            <w:tcW w:w="3253" w:type="dxa"/>
            <w:tcBorders>
              <w:tl2br w:val="nil"/>
              <w:tr2bl w:val="nil"/>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危险性</w:t>
            </w:r>
            <w:r>
              <w:rPr>
                <w:rFonts w:hint="eastAsia" w:cs="Times New Roman" w:eastAsiaTheme="minorEastAsia"/>
                <w:b/>
                <w:sz w:val="21"/>
                <w:szCs w:val="21"/>
              </w:rPr>
              <w:t>类别</w:t>
            </w:r>
          </w:p>
        </w:tc>
        <w:tc>
          <w:tcPr>
            <w:tcW w:w="1410" w:type="dxa"/>
            <w:tcBorders>
              <w:tl2br w:val="nil"/>
              <w:tr2bl w:val="nil"/>
            </w:tcBorders>
            <w:vAlign w:val="center"/>
          </w:tcPr>
          <w:p>
            <w:pPr>
              <w:spacing w:line="240" w:lineRule="auto"/>
              <w:ind w:firstLine="0" w:firstLineChars="0"/>
              <w:jc w:val="center"/>
              <w:rPr>
                <w:rFonts w:cs="Times New Roman" w:eastAsiaTheme="minorEastAsia"/>
                <w:b/>
                <w:sz w:val="21"/>
                <w:szCs w:val="21"/>
              </w:rPr>
            </w:pPr>
            <w:r>
              <w:rPr>
                <w:rFonts w:hint="eastAsia" w:cs="Times New Roman" w:eastAsiaTheme="minorEastAsia"/>
                <w:b/>
                <w:sz w:val="21"/>
                <w:szCs w:val="21"/>
              </w:rPr>
              <w:t>厂内存在</w:t>
            </w:r>
            <w:r>
              <w:rPr>
                <w:rFonts w:cs="Times New Roman" w:eastAsiaTheme="minorEastAsia"/>
                <w:b/>
                <w:sz w:val="21"/>
                <w:szCs w:val="21"/>
              </w:rPr>
              <w:t>量（t）</w:t>
            </w:r>
          </w:p>
        </w:tc>
        <w:tc>
          <w:tcPr>
            <w:tcW w:w="1049" w:type="dxa"/>
            <w:tcBorders>
              <w:tl2br w:val="nil"/>
              <w:tr2bl w:val="nil"/>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临界量</w:t>
            </w:r>
            <w:r>
              <w:rPr>
                <w:rFonts w:hint="eastAsia" w:cs="Times New Roman" w:eastAsiaTheme="minorEastAsia"/>
                <w:b/>
                <w:sz w:val="21"/>
                <w:szCs w:val="21"/>
              </w:rPr>
              <w:t>（</w:t>
            </w:r>
            <w:r>
              <w:rPr>
                <w:rFonts w:cs="Times New Roman" w:eastAsiaTheme="minorEastAsia"/>
                <w:b/>
                <w:sz w:val="21"/>
                <w:szCs w:val="21"/>
              </w:rPr>
              <w:t>t</w:t>
            </w:r>
            <w:r>
              <w:rPr>
                <w:rFonts w:hint="eastAsia" w:cs="Times New Roman" w:eastAsiaTheme="minorEastAsia"/>
                <w:b/>
                <w:sz w:val="21"/>
                <w:szCs w:val="21"/>
              </w:rPr>
              <w:t>）</w:t>
            </w:r>
          </w:p>
        </w:tc>
        <w:tc>
          <w:tcPr>
            <w:tcW w:w="964" w:type="dxa"/>
            <w:tcBorders>
              <w:tl2br w:val="nil"/>
              <w:tr2bl w:val="nil"/>
            </w:tcBorders>
            <w:shd w:val="clear" w:color="auto" w:fill="auto"/>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q/Q</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1210"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硫磺粉</w:t>
            </w:r>
          </w:p>
        </w:tc>
        <w:tc>
          <w:tcPr>
            <w:tcW w:w="1174" w:type="dxa"/>
            <w:tcBorders>
              <w:tl2br w:val="nil"/>
              <w:tr2bl w:val="nil"/>
            </w:tcBorders>
            <w:vAlign w:val="center"/>
          </w:tcPr>
          <w:p>
            <w:pPr>
              <w:pStyle w:val="107"/>
            </w:pPr>
            <w:r>
              <w:rPr>
                <w:rFonts w:hint="eastAsia"/>
              </w:rPr>
              <w:t>7704-34-9</w:t>
            </w:r>
          </w:p>
        </w:tc>
        <w:tc>
          <w:tcPr>
            <w:tcW w:w="3253" w:type="dxa"/>
            <w:tcBorders>
              <w:tl2br w:val="nil"/>
              <w:tr2bl w:val="nil"/>
            </w:tcBorders>
            <w:vAlign w:val="center"/>
          </w:tcPr>
          <w:p>
            <w:pPr>
              <w:pStyle w:val="107"/>
            </w:pPr>
            <w:r>
              <w:rPr>
                <w:rFonts w:hint="eastAsia"/>
              </w:rPr>
              <w:t>易燃固体，类别2</w:t>
            </w:r>
          </w:p>
        </w:tc>
        <w:tc>
          <w:tcPr>
            <w:tcW w:w="1410"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0.5</w:t>
            </w:r>
          </w:p>
        </w:tc>
        <w:tc>
          <w:tcPr>
            <w:tcW w:w="1049"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200</w:t>
            </w:r>
          </w:p>
        </w:tc>
        <w:tc>
          <w:tcPr>
            <w:tcW w:w="964" w:type="dxa"/>
            <w:tcBorders>
              <w:tl2br w:val="nil"/>
              <w:tr2bl w:val="nil"/>
            </w:tcBorders>
            <w:vAlign w:val="center"/>
          </w:tcPr>
          <w:p>
            <w:pPr>
              <w:spacing w:line="240" w:lineRule="auto"/>
              <w:ind w:firstLine="0" w:firstLineChars="0"/>
              <w:jc w:val="center"/>
              <w:textAlignment w:val="center"/>
              <w:rPr>
                <w:rFonts w:cs="Times New Roman" w:eastAsiaTheme="minorEastAsia"/>
                <w:sz w:val="21"/>
                <w:szCs w:val="21"/>
              </w:rPr>
            </w:pPr>
            <w:r>
              <w:rPr>
                <w:rFonts w:cs="Times New Roman" w:eastAsiaTheme="minorEastAsia"/>
                <w:sz w:val="22"/>
                <w:szCs w:val="22"/>
                <w:lang w:bidi="ar"/>
              </w:rPr>
              <w:t>0.0025</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9060" w:type="dxa"/>
            <w:gridSpan w:val="6"/>
            <w:tcBorders>
              <w:tl2br w:val="nil"/>
              <w:tr2bl w:val="nil"/>
            </w:tcBorders>
            <w:vAlign w:val="center"/>
          </w:tcPr>
          <w:p>
            <w:pPr>
              <w:spacing w:line="240" w:lineRule="auto"/>
              <w:ind w:firstLine="0" w:firstLineChars="0"/>
              <w:jc w:val="center"/>
              <w:textAlignment w:val="center"/>
              <w:rPr>
                <w:rFonts w:cs="Times New Roman" w:eastAsiaTheme="minorEastAsia"/>
                <w:sz w:val="22"/>
                <w:szCs w:val="22"/>
                <w:lang w:bidi="ar"/>
              </w:rPr>
            </w:pPr>
            <w:r>
              <w:rPr>
                <w:rFonts w:cs="Times New Roman" w:eastAsiaTheme="minorEastAsia"/>
                <w:sz w:val="21"/>
                <w:szCs w:val="21"/>
              </w:rPr>
              <w:t>∑q/Q=0.0025&lt;1</w:t>
            </w:r>
            <w:r>
              <w:rPr>
                <w:rFonts w:hint="eastAsia" w:cs="Times New Roman" w:eastAsiaTheme="minorEastAsia"/>
                <w:sz w:val="21"/>
                <w:szCs w:val="21"/>
              </w:rPr>
              <w:t>，</w:t>
            </w:r>
            <w:r>
              <w:rPr>
                <w:rFonts w:hint="eastAsia"/>
                <w:color w:val="000000"/>
                <w:sz w:val="21"/>
                <w:szCs w:val="21"/>
              </w:rPr>
              <w:t>环境风险潜势为Ⅰ</w:t>
            </w:r>
          </w:p>
        </w:tc>
      </w:tr>
    </w:tbl>
    <w:p>
      <w:pPr>
        <w:spacing w:line="336" w:lineRule="auto"/>
        <w:ind w:firstLine="482"/>
        <w:rPr>
          <w:rFonts w:eastAsiaTheme="minorEastAsia"/>
        </w:rPr>
      </w:pPr>
      <w:bookmarkStart w:id="130" w:name="_Toc306606125"/>
      <w:bookmarkStart w:id="131" w:name="_Toc331536095"/>
      <w:bookmarkStart w:id="132" w:name="_Toc297650730"/>
      <w:bookmarkStart w:id="133" w:name="_Toc293409814"/>
      <w:bookmarkStart w:id="134" w:name="_Toc29081"/>
      <w:bookmarkStart w:id="135" w:name="_Toc293409678"/>
      <w:bookmarkStart w:id="136" w:name="_Toc329784183"/>
      <w:bookmarkStart w:id="137" w:name="_Toc10239"/>
      <w:bookmarkStart w:id="138" w:name="_Toc293410066"/>
      <w:r>
        <w:rPr>
          <w:rStyle w:val="59"/>
          <w:rFonts w:hint="eastAsia"/>
        </w:rPr>
        <w:t>评价范围</w:t>
      </w:r>
      <w:r>
        <w:rPr>
          <w:rFonts w:hint="eastAsia" w:eastAsiaTheme="minorEastAsia"/>
        </w:rPr>
        <w:t>：本项目大气风险评价范围为以本项目为中心，半径为3km的范围，具体见</w:t>
      </w:r>
      <w:r>
        <w:rPr>
          <w:rFonts w:eastAsiaTheme="minorEastAsia"/>
          <w:highlight w:val="yellow"/>
        </w:rPr>
        <w:fldChar w:fldCharType="begin"/>
      </w:r>
      <w:r>
        <w:rPr>
          <w:rFonts w:eastAsiaTheme="minorEastAsia"/>
        </w:rPr>
        <w:instrText xml:space="preserve"> </w:instrText>
      </w:r>
      <w:r>
        <w:rPr>
          <w:rFonts w:hint="eastAsia" w:eastAsiaTheme="minorEastAsia"/>
        </w:rPr>
        <w:instrText xml:space="preserve">REF _Ref524468399 \h</w:instrText>
      </w:r>
      <w:r>
        <w:rPr>
          <w:rFonts w:eastAsiaTheme="minorEastAsia"/>
        </w:rPr>
        <w:instrText xml:space="preserve"> </w:instrText>
      </w:r>
      <w:r>
        <w:rPr>
          <w:rFonts w:eastAsiaTheme="minorEastAsia"/>
          <w:highlight w:val="yellow"/>
        </w:rPr>
        <w:instrText xml:space="preserve"> \* MERGEFORMAT </w:instrText>
      </w:r>
      <w:r>
        <w:rPr>
          <w:rFonts w:eastAsiaTheme="minorEastAsia"/>
          <w:highlight w:val="yellow"/>
        </w:rPr>
        <w:fldChar w:fldCharType="separate"/>
      </w:r>
      <w:r>
        <w:rPr>
          <w:rFonts w:hint="eastAsia" w:eastAsiaTheme="minorEastAsia"/>
        </w:rPr>
        <w:t xml:space="preserve">图 </w:t>
      </w:r>
      <w:r>
        <w:rPr>
          <w:rFonts w:eastAsiaTheme="minorEastAsia"/>
        </w:rPr>
        <w:t>1.5</w:t>
      </w:r>
      <w:r>
        <w:rPr>
          <w:rFonts w:eastAsiaTheme="minorEastAsia"/>
        </w:rPr>
        <w:noBreakHyphen/>
      </w:r>
      <w:r>
        <w:rPr>
          <w:rFonts w:eastAsiaTheme="minorEastAsia"/>
        </w:rPr>
        <w:t>1</w:t>
      </w:r>
      <w:r>
        <w:rPr>
          <w:rFonts w:eastAsiaTheme="minorEastAsia"/>
          <w:highlight w:val="yellow"/>
        </w:rPr>
        <w:fldChar w:fldCharType="end"/>
      </w:r>
      <w:r>
        <w:rPr>
          <w:rFonts w:hint="eastAsia" w:eastAsiaTheme="minorEastAsia"/>
        </w:rPr>
        <w:t>。</w:t>
      </w:r>
    </w:p>
    <w:p>
      <w:pPr>
        <w:pStyle w:val="5"/>
      </w:pPr>
      <w:r>
        <w:rPr>
          <w:rFonts w:hint="eastAsia"/>
        </w:rPr>
        <w:t>评价工作等级和评价范围一览表</w:t>
      </w:r>
    </w:p>
    <w:p>
      <w:pPr>
        <w:ind w:firstLine="480"/>
        <w:rPr>
          <w:rFonts w:eastAsiaTheme="minorEastAsia"/>
        </w:rPr>
      </w:pPr>
      <w:r>
        <w:rPr>
          <w:rFonts w:hint="eastAsia" w:eastAsiaTheme="minorEastAsia"/>
        </w:rPr>
        <w:t>综上所述，各环境要素或专题单项评价工作等级和评价范围划分情况见</w:t>
      </w:r>
      <w:r>
        <w:rPr>
          <w:rFonts w:eastAsiaTheme="minorEastAsia"/>
        </w:rPr>
        <w:fldChar w:fldCharType="begin"/>
      </w:r>
      <w:r>
        <w:rPr>
          <w:rFonts w:eastAsiaTheme="minorEastAsia"/>
        </w:rPr>
        <w:instrText xml:space="preserve"> </w:instrText>
      </w:r>
      <w:r>
        <w:rPr>
          <w:rFonts w:hint="eastAsia" w:eastAsiaTheme="minorEastAsia"/>
        </w:rPr>
        <w:instrText xml:space="preserve">REF _Ref522698134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1.5</w:t>
      </w:r>
      <w:r>
        <w:rPr>
          <w:rFonts w:eastAsiaTheme="minorEastAsia"/>
        </w:rPr>
        <w:noBreakHyphen/>
      </w:r>
      <w:r>
        <w:rPr>
          <w:rFonts w:eastAsiaTheme="minorEastAsia"/>
        </w:rPr>
        <w:t>12</w:t>
      </w:r>
      <w:r>
        <w:rPr>
          <w:rFonts w:eastAsiaTheme="minorEastAsia"/>
        </w:rPr>
        <w:fldChar w:fldCharType="end"/>
      </w:r>
      <w:r>
        <w:rPr>
          <w:rFonts w:hint="eastAsia" w:eastAsiaTheme="minorEastAsia"/>
        </w:rPr>
        <w:t>。</w:t>
      </w:r>
    </w:p>
    <w:p>
      <w:pPr>
        <w:pStyle w:val="18"/>
      </w:pPr>
      <w:bookmarkStart w:id="139" w:name="_Ref522698134"/>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12</w:t>
      </w:r>
      <w:r>
        <w:fldChar w:fldCharType="end"/>
      </w:r>
      <w:bookmarkEnd w:id="139"/>
      <w:r>
        <w:t xml:space="preserve"> </w:t>
      </w:r>
      <w:r>
        <w:rPr>
          <w:rFonts w:hint="eastAsia"/>
        </w:rPr>
        <w:t>评价工作等级和评价范围一览表</w:t>
      </w:r>
    </w:p>
    <w:tbl>
      <w:tblPr>
        <w:tblStyle w:val="57"/>
        <w:tblW w:w="9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3"/>
        <w:gridCol w:w="883"/>
        <w:gridCol w:w="2835"/>
        <w:gridCol w:w="1530"/>
        <w:gridCol w:w="299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atLeast"/>
          <w:tblHeader/>
        </w:trPr>
        <w:tc>
          <w:tcPr>
            <w:tcW w:w="813" w:type="dxa"/>
            <w:shd w:val="clear" w:color="auto" w:fill="D8D8D8" w:themeFill="background1" w:themeFillShade="D9"/>
            <w:vAlign w:val="center"/>
          </w:tcPr>
          <w:p>
            <w:pPr>
              <w:pStyle w:val="107"/>
              <w:rPr>
                <w:b/>
              </w:rPr>
            </w:pPr>
            <w:r>
              <w:rPr>
                <w:rFonts w:hint="eastAsia"/>
                <w:b/>
              </w:rPr>
              <w:t>评价内容</w:t>
            </w:r>
          </w:p>
        </w:tc>
        <w:tc>
          <w:tcPr>
            <w:tcW w:w="883" w:type="dxa"/>
            <w:shd w:val="clear" w:color="auto" w:fill="D8D8D8" w:themeFill="background1" w:themeFillShade="D9"/>
            <w:vAlign w:val="center"/>
          </w:tcPr>
          <w:p>
            <w:pPr>
              <w:pStyle w:val="107"/>
              <w:rPr>
                <w:b/>
              </w:rPr>
            </w:pPr>
            <w:r>
              <w:rPr>
                <w:rFonts w:hint="eastAsia"/>
                <w:b/>
              </w:rPr>
              <w:t>评价工作等级</w:t>
            </w:r>
          </w:p>
        </w:tc>
        <w:tc>
          <w:tcPr>
            <w:tcW w:w="2835" w:type="dxa"/>
            <w:shd w:val="clear" w:color="auto" w:fill="D8D8D8" w:themeFill="background1" w:themeFillShade="D9"/>
            <w:vAlign w:val="center"/>
          </w:tcPr>
          <w:p>
            <w:pPr>
              <w:pStyle w:val="107"/>
              <w:rPr>
                <w:b/>
              </w:rPr>
            </w:pPr>
            <w:r>
              <w:rPr>
                <w:rFonts w:hint="eastAsia"/>
                <w:b/>
              </w:rPr>
              <w:t>现状评价范围</w:t>
            </w:r>
          </w:p>
        </w:tc>
        <w:tc>
          <w:tcPr>
            <w:tcW w:w="1530" w:type="dxa"/>
            <w:shd w:val="clear" w:color="auto" w:fill="D8D8D8" w:themeFill="background1" w:themeFillShade="D9"/>
            <w:vAlign w:val="center"/>
          </w:tcPr>
          <w:p>
            <w:pPr>
              <w:pStyle w:val="107"/>
              <w:rPr>
                <w:b/>
              </w:rPr>
            </w:pPr>
            <w:r>
              <w:rPr>
                <w:rFonts w:hint="eastAsia"/>
                <w:b/>
              </w:rPr>
              <w:t>预测评价范围</w:t>
            </w:r>
          </w:p>
        </w:tc>
        <w:tc>
          <w:tcPr>
            <w:tcW w:w="2999" w:type="dxa"/>
            <w:shd w:val="clear" w:color="auto" w:fill="D8D8D8" w:themeFill="background1" w:themeFillShade="D9"/>
            <w:vAlign w:val="center"/>
          </w:tcPr>
          <w:p>
            <w:pPr>
              <w:pStyle w:val="107"/>
              <w:rPr>
                <w:b/>
              </w:rPr>
            </w:pPr>
            <w:r>
              <w:rPr>
                <w:rFonts w:hint="eastAsia"/>
                <w:b/>
              </w:rPr>
              <w:t>判据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13" w:type="dxa"/>
            <w:vAlign w:val="center"/>
          </w:tcPr>
          <w:p>
            <w:pPr>
              <w:pStyle w:val="107"/>
            </w:pPr>
            <w:r>
              <w:rPr>
                <w:rFonts w:hint="eastAsia"/>
              </w:rPr>
              <w:t>地表水环境</w:t>
            </w:r>
          </w:p>
        </w:tc>
        <w:tc>
          <w:tcPr>
            <w:tcW w:w="883" w:type="dxa"/>
            <w:vAlign w:val="center"/>
          </w:tcPr>
          <w:p>
            <w:pPr>
              <w:pStyle w:val="107"/>
            </w:pPr>
            <w:r>
              <w:rPr>
                <w:rFonts w:hint="eastAsia"/>
              </w:rPr>
              <w:t>三级B</w:t>
            </w:r>
          </w:p>
        </w:tc>
        <w:tc>
          <w:tcPr>
            <w:tcW w:w="2835" w:type="dxa"/>
            <w:vAlign w:val="center"/>
          </w:tcPr>
          <w:p>
            <w:pPr>
              <w:pStyle w:val="107"/>
              <w:jc w:val="left"/>
            </w:pPr>
            <w:r>
              <w:rPr>
                <w:rFonts w:hint="eastAsia"/>
              </w:rPr>
              <w:t>镇海水污水厂排放口上游500m至下游</w:t>
            </w:r>
            <w:r>
              <w:t>5</w:t>
            </w:r>
            <w:r>
              <w:rPr>
                <w:rFonts w:hint="eastAsia"/>
              </w:rPr>
              <w:t>00m处河段</w:t>
            </w:r>
            <w:r>
              <w:t xml:space="preserve"> </w:t>
            </w:r>
          </w:p>
        </w:tc>
        <w:tc>
          <w:tcPr>
            <w:tcW w:w="1530" w:type="dxa"/>
            <w:vAlign w:val="center"/>
          </w:tcPr>
          <w:p>
            <w:pPr>
              <w:pStyle w:val="107"/>
            </w:pPr>
            <w:r>
              <w:rPr>
                <w:rFonts w:hint="eastAsia"/>
              </w:rPr>
              <w:t>从简分析，不设预测评价范围</w:t>
            </w:r>
          </w:p>
        </w:tc>
        <w:tc>
          <w:tcPr>
            <w:tcW w:w="2999" w:type="dxa"/>
            <w:vAlign w:val="center"/>
          </w:tcPr>
          <w:p>
            <w:pPr>
              <w:pStyle w:val="107"/>
              <w:jc w:val="left"/>
              <w:rPr>
                <w:highlight w:val="yellow"/>
              </w:rPr>
            </w:pPr>
            <w:r>
              <w:t>HJ2.3-2018</w:t>
            </w:r>
            <w:r>
              <w:rPr>
                <w:rFonts w:hint="eastAsia"/>
              </w:rPr>
              <w:t>，项目生活污水排入苍城污水处理厂，属于间接排放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13" w:type="dxa"/>
            <w:vAlign w:val="center"/>
          </w:tcPr>
          <w:p>
            <w:pPr>
              <w:pStyle w:val="107"/>
            </w:pPr>
            <w:r>
              <w:rPr>
                <w:rFonts w:hint="eastAsia"/>
              </w:rPr>
              <w:t>地下水环境</w:t>
            </w:r>
          </w:p>
        </w:tc>
        <w:tc>
          <w:tcPr>
            <w:tcW w:w="883" w:type="dxa"/>
            <w:vAlign w:val="center"/>
          </w:tcPr>
          <w:p>
            <w:pPr>
              <w:pStyle w:val="107"/>
            </w:pPr>
            <w:r>
              <w:rPr>
                <w:rFonts w:hint="eastAsia"/>
              </w:rPr>
              <w:t>三级</w:t>
            </w:r>
          </w:p>
        </w:tc>
        <w:tc>
          <w:tcPr>
            <w:tcW w:w="4365" w:type="dxa"/>
            <w:gridSpan w:val="2"/>
            <w:vAlign w:val="center"/>
          </w:tcPr>
          <w:p>
            <w:pPr>
              <w:pStyle w:val="107"/>
              <w:jc w:val="left"/>
            </w:pPr>
            <w:r>
              <w:rPr>
                <w:rFonts w:hint="eastAsia"/>
              </w:rPr>
              <w:t>以同一地下水水文地质单元为调查评价范围，调查范围≤6km</w:t>
            </w:r>
            <w:r>
              <w:rPr>
                <w:rFonts w:hint="eastAsia"/>
                <w:vertAlign w:val="superscript"/>
              </w:rPr>
              <w:t>2</w:t>
            </w:r>
            <w:r>
              <w:rPr>
                <w:rFonts w:hint="eastAsia"/>
              </w:rPr>
              <w:t>，评价重点为本项目场地浅层地下水含水层</w:t>
            </w:r>
          </w:p>
        </w:tc>
        <w:tc>
          <w:tcPr>
            <w:tcW w:w="2999" w:type="dxa"/>
            <w:vAlign w:val="center"/>
          </w:tcPr>
          <w:p>
            <w:pPr>
              <w:pStyle w:val="107"/>
              <w:jc w:val="left"/>
            </w:pPr>
            <w:r>
              <w:rPr>
                <w:rFonts w:hint="eastAsia"/>
              </w:rPr>
              <w:t>HJ 610-2016，项目行业类别为其附录A中II类建设项目，所在区域地下水环境敏感程度为“不敏感”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13" w:type="dxa"/>
            <w:vAlign w:val="center"/>
          </w:tcPr>
          <w:p>
            <w:pPr>
              <w:pStyle w:val="107"/>
            </w:pPr>
            <w:r>
              <w:rPr>
                <w:rFonts w:hint="eastAsia"/>
              </w:rPr>
              <w:t>大气环境</w:t>
            </w:r>
          </w:p>
        </w:tc>
        <w:tc>
          <w:tcPr>
            <w:tcW w:w="883" w:type="dxa"/>
            <w:vAlign w:val="center"/>
          </w:tcPr>
          <w:p>
            <w:pPr>
              <w:pStyle w:val="107"/>
            </w:pPr>
            <w:r>
              <w:rPr>
                <w:rFonts w:hint="eastAsia"/>
              </w:rPr>
              <w:t>二级</w:t>
            </w:r>
          </w:p>
        </w:tc>
        <w:tc>
          <w:tcPr>
            <w:tcW w:w="4365" w:type="dxa"/>
            <w:gridSpan w:val="2"/>
            <w:vAlign w:val="center"/>
          </w:tcPr>
          <w:p>
            <w:pPr>
              <w:pStyle w:val="107"/>
            </w:pPr>
            <w:r>
              <w:rPr>
                <w:rFonts w:hint="eastAsia"/>
              </w:rPr>
              <w:t>以项目厂区中心为中心、边长为5km的矩形范围</w:t>
            </w:r>
          </w:p>
        </w:tc>
        <w:tc>
          <w:tcPr>
            <w:tcW w:w="2999" w:type="dxa"/>
            <w:vAlign w:val="center"/>
          </w:tcPr>
          <w:p>
            <w:pPr>
              <w:pStyle w:val="107"/>
              <w:jc w:val="left"/>
            </w:pPr>
            <w:r>
              <w:rPr>
                <w:rFonts w:hint="eastAsia"/>
              </w:rPr>
              <w:t>根据</w:t>
            </w:r>
            <w:r>
              <w:t>HJ 2.2-2018</w:t>
            </w:r>
            <w:r>
              <w:rPr>
                <w:rFonts w:hint="eastAsia"/>
              </w:rPr>
              <w:t>推荐模式中的估算模式</w:t>
            </w:r>
            <w:r>
              <w:t>AERSCREEN</w:t>
            </w:r>
            <w:r>
              <w:rPr>
                <w:rFonts w:hint="eastAsia"/>
              </w:rPr>
              <w:t>来确定。结果见</w:t>
            </w:r>
            <w:r>
              <w:rPr>
                <w:highlight w:val="yellow"/>
              </w:rPr>
              <w:fldChar w:fldCharType="begin"/>
            </w:r>
            <w:r>
              <w:instrText xml:space="preserve"> </w:instrText>
            </w:r>
            <w:r>
              <w:rPr>
                <w:rFonts w:hint="eastAsia"/>
              </w:rPr>
              <w:instrText xml:space="preserve">REF _Ref529797028 \r \h</w:instrText>
            </w:r>
            <w:r>
              <w:instrText xml:space="preserve"> </w:instrText>
            </w:r>
            <w:r>
              <w:rPr>
                <w:highlight w:val="yellow"/>
              </w:rPr>
              <w:instrText xml:space="preserve"> \* MERGEFORMAT </w:instrText>
            </w:r>
            <w:r>
              <w:rPr>
                <w:highlight w:val="yellow"/>
              </w:rPr>
              <w:fldChar w:fldCharType="separate"/>
            </w:r>
            <w:r>
              <w:t>1.5.3</w:t>
            </w:r>
            <w:r>
              <w:rPr>
                <w:highlight w:val="yellow"/>
              </w:rPr>
              <w:fldChar w:fldCharType="end"/>
            </w:r>
            <w:r>
              <w:rPr>
                <w:rFonts w:hint="eastAsia"/>
              </w:rPr>
              <w:t>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13" w:type="dxa"/>
            <w:vAlign w:val="center"/>
          </w:tcPr>
          <w:p>
            <w:pPr>
              <w:pStyle w:val="107"/>
            </w:pPr>
            <w:r>
              <w:rPr>
                <w:rFonts w:hint="eastAsia"/>
              </w:rPr>
              <w:t>声环境</w:t>
            </w:r>
          </w:p>
        </w:tc>
        <w:tc>
          <w:tcPr>
            <w:tcW w:w="883" w:type="dxa"/>
            <w:vAlign w:val="center"/>
          </w:tcPr>
          <w:p>
            <w:pPr>
              <w:pStyle w:val="107"/>
            </w:pPr>
            <w:r>
              <w:rPr>
                <w:rFonts w:hint="eastAsia"/>
              </w:rPr>
              <w:t>二级</w:t>
            </w:r>
          </w:p>
        </w:tc>
        <w:tc>
          <w:tcPr>
            <w:tcW w:w="4365" w:type="dxa"/>
            <w:gridSpan w:val="2"/>
            <w:vAlign w:val="center"/>
          </w:tcPr>
          <w:p>
            <w:pPr>
              <w:pStyle w:val="107"/>
            </w:pPr>
            <w:r>
              <w:rPr>
                <w:rFonts w:hint="eastAsia"/>
              </w:rPr>
              <w:t>项目厂区用地边界向外2</w:t>
            </w:r>
            <w:r>
              <w:t>00</w:t>
            </w:r>
            <w:r>
              <w:rPr>
                <w:rFonts w:hint="eastAsia"/>
              </w:rPr>
              <w:t>m包络线范围内区域</w:t>
            </w:r>
          </w:p>
        </w:tc>
        <w:tc>
          <w:tcPr>
            <w:tcW w:w="2999" w:type="dxa"/>
            <w:vAlign w:val="center"/>
          </w:tcPr>
          <w:p>
            <w:pPr>
              <w:pStyle w:val="107"/>
              <w:jc w:val="left"/>
            </w:pPr>
            <w:r>
              <w:t>HJ 2.4-2009，</w:t>
            </w:r>
            <w:r>
              <w:rPr>
                <w:rFonts w:hint="eastAsia"/>
              </w:rPr>
              <w:t>项目所在区域位于GB 3096规定的声环境功能2类区，噪声级增高量＜</w:t>
            </w:r>
            <w:r>
              <w:t>3dB</w:t>
            </w:r>
            <w:r>
              <w:rPr>
                <w:rFonts w:hint="eastAsia"/>
              </w:rPr>
              <w:t>（</w:t>
            </w:r>
            <w:r>
              <w:t>A</w:t>
            </w:r>
            <w:r>
              <w:rPr>
                <w:rFonts w:hint="eastAsia"/>
              </w:rPr>
              <w:t>），受噪声影响人口数变化不大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13" w:type="dxa"/>
            <w:vAlign w:val="center"/>
          </w:tcPr>
          <w:p>
            <w:pPr>
              <w:pStyle w:val="107"/>
            </w:pPr>
            <w:r>
              <w:rPr>
                <w:rFonts w:hint="eastAsia"/>
              </w:rPr>
              <w:t>生态影响</w:t>
            </w:r>
          </w:p>
        </w:tc>
        <w:tc>
          <w:tcPr>
            <w:tcW w:w="883" w:type="dxa"/>
            <w:vAlign w:val="center"/>
          </w:tcPr>
          <w:p>
            <w:pPr>
              <w:pStyle w:val="107"/>
            </w:pPr>
            <w:r>
              <w:rPr>
                <w:rFonts w:hint="eastAsia"/>
              </w:rPr>
              <w:t>三级</w:t>
            </w:r>
          </w:p>
        </w:tc>
        <w:tc>
          <w:tcPr>
            <w:tcW w:w="2835" w:type="dxa"/>
            <w:vAlign w:val="center"/>
          </w:tcPr>
          <w:p>
            <w:pPr>
              <w:pStyle w:val="107"/>
              <w:jc w:val="left"/>
            </w:pPr>
            <w:r>
              <w:rPr>
                <w:rFonts w:hint="eastAsia"/>
              </w:rPr>
              <w:t>项目厂区用地边界向外2</w:t>
            </w:r>
            <w:r>
              <w:t>00</w:t>
            </w:r>
            <w:r>
              <w:rPr>
                <w:rFonts w:hint="eastAsia"/>
              </w:rPr>
              <w:t>m包络线范围内区域</w:t>
            </w:r>
          </w:p>
        </w:tc>
        <w:tc>
          <w:tcPr>
            <w:tcW w:w="1530" w:type="dxa"/>
            <w:vAlign w:val="center"/>
          </w:tcPr>
          <w:p>
            <w:pPr>
              <w:pStyle w:val="107"/>
            </w:pPr>
            <w:r>
              <w:rPr>
                <w:rFonts w:hint="eastAsia"/>
              </w:rPr>
              <w:t>借鉴已有资料进行说明，不进行预测</w:t>
            </w:r>
          </w:p>
        </w:tc>
        <w:tc>
          <w:tcPr>
            <w:tcW w:w="2999" w:type="dxa"/>
            <w:vAlign w:val="center"/>
          </w:tcPr>
          <w:p>
            <w:pPr>
              <w:pStyle w:val="107"/>
              <w:jc w:val="left"/>
            </w:pPr>
            <w:r>
              <w:t>HJ 19-2011</w:t>
            </w:r>
            <w:r>
              <w:rPr>
                <w:rFonts w:hint="eastAsia"/>
              </w:rPr>
              <w:t>，总占地面积1266.7</w:t>
            </w:r>
            <w:r>
              <w:t>m</w:t>
            </w:r>
            <w:r>
              <w:rPr>
                <w:vertAlign w:val="superscript"/>
              </w:rPr>
              <w:t>2</w:t>
            </w:r>
            <w:r>
              <w:rPr>
                <w:rFonts w:hint="eastAsia"/>
              </w:rPr>
              <w:t>，选址不涉及生态敏感区，属一般区域。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13" w:type="dxa"/>
            <w:vAlign w:val="center"/>
          </w:tcPr>
          <w:p>
            <w:pPr>
              <w:pStyle w:val="107"/>
            </w:pPr>
            <w:r>
              <w:t>环境风险</w:t>
            </w:r>
          </w:p>
        </w:tc>
        <w:tc>
          <w:tcPr>
            <w:tcW w:w="883" w:type="dxa"/>
            <w:vAlign w:val="center"/>
          </w:tcPr>
          <w:p>
            <w:pPr>
              <w:pStyle w:val="107"/>
            </w:pPr>
            <w:r>
              <w:rPr>
                <w:rFonts w:hint="eastAsia"/>
              </w:rPr>
              <w:t>简单分析</w:t>
            </w:r>
          </w:p>
        </w:tc>
        <w:tc>
          <w:tcPr>
            <w:tcW w:w="4365" w:type="dxa"/>
            <w:gridSpan w:val="2"/>
            <w:vAlign w:val="center"/>
          </w:tcPr>
          <w:p>
            <w:pPr>
              <w:pStyle w:val="107"/>
              <w:jc w:val="both"/>
            </w:pPr>
            <w:r>
              <w:rPr>
                <w:rFonts w:hint="eastAsia"/>
              </w:rPr>
              <w:t>大气风险评价范围为以项目厂区为中心，半径为3km的范围</w:t>
            </w:r>
          </w:p>
        </w:tc>
        <w:tc>
          <w:tcPr>
            <w:tcW w:w="2999" w:type="dxa"/>
            <w:vAlign w:val="center"/>
          </w:tcPr>
          <w:p>
            <w:pPr>
              <w:pStyle w:val="107"/>
              <w:jc w:val="left"/>
            </w:pPr>
            <w:r>
              <w:t>HJ169-2018</w:t>
            </w:r>
            <w:r>
              <w:rPr>
                <w:rFonts w:hint="eastAsia"/>
              </w:rPr>
              <w:t>，</w:t>
            </w:r>
            <w:r>
              <w:t>GB18218-2018，</w:t>
            </w:r>
            <w:r>
              <w:rPr>
                <w:rFonts w:hint="eastAsia"/>
              </w:rPr>
              <w:t>主要危险化学品为硫磺粉，项目不存在重大危险源，所处区域不属于敏感地区</w:t>
            </w:r>
          </w:p>
        </w:tc>
      </w:tr>
      <w:bookmarkEnd w:id="130"/>
      <w:bookmarkEnd w:id="131"/>
      <w:bookmarkEnd w:id="132"/>
      <w:bookmarkEnd w:id="133"/>
      <w:bookmarkEnd w:id="134"/>
      <w:bookmarkEnd w:id="135"/>
      <w:bookmarkEnd w:id="136"/>
      <w:bookmarkEnd w:id="137"/>
      <w:bookmarkEnd w:id="138"/>
    </w:tbl>
    <w:p>
      <w:pPr>
        <w:adjustRightInd w:val="0"/>
        <w:snapToGrid w:val="0"/>
        <w:ind w:firstLine="480"/>
        <w:rPr>
          <w:rFonts w:eastAsiaTheme="minorEastAsia"/>
        </w:rPr>
      </w:pPr>
    </w:p>
    <w:p>
      <w:pPr>
        <w:adjustRightInd w:val="0"/>
        <w:snapToGrid w:val="0"/>
        <w:ind w:firstLine="480"/>
        <w:rPr>
          <w:rFonts w:eastAsiaTheme="minorEastAsia"/>
        </w:rPr>
      </w:pPr>
    </w:p>
    <w:p>
      <w:pPr>
        <w:adjustRightInd w:val="0"/>
        <w:snapToGrid w:val="0"/>
        <w:ind w:firstLine="480"/>
        <w:rPr>
          <w:rFonts w:eastAsiaTheme="minorEastAsia"/>
        </w:rPr>
        <w:sectPr>
          <w:footerReference r:id="rId16" w:type="default"/>
          <w:pgSz w:w="11906" w:h="16838"/>
          <w:pgMar w:top="1418" w:right="1418" w:bottom="1418" w:left="1418" w:header="851" w:footer="992" w:gutter="0"/>
          <w:cols w:space="0" w:num="1"/>
          <w:docGrid w:linePitch="326" w:charSpace="0"/>
        </w:sectPr>
      </w:pPr>
    </w:p>
    <w:p>
      <w:pPr>
        <w:pStyle w:val="107"/>
      </w:pPr>
      <w:r>
        <w:drawing>
          <wp:inline distT="0" distB="0" distL="0" distR="0">
            <wp:extent cx="8891270" cy="4429760"/>
            <wp:effectExtent l="0" t="0" r="5080" b="889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38"/>
                    <a:stretch>
                      <a:fillRect/>
                    </a:stretch>
                  </pic:blipFill>
                  <pic:spPr>
                    <a:xfrm>
                      <a:off x="0" y="0"/>
                      <a:ext cx="8891270" cy="4429760"/>
                    </a:xfrm>
                    <a:prstGeom prst="rect">
                      <a:avLst/>
                    </a:prstGeom>
                  </pic:spPr>
                </pic:pic>
              </a:graphicData>
            </a:graphic>
          </wp:inline>
        </w:drawing>
      </w:r>
      <w:r>
        <mc:AlternateContent>
          <mc:Choice Requires="wps">
            <w:drawing>
              <wp:anchor distT="0" distB="0" distL="114300" distR="114300" simplePos="0" relativeHeight="251422720" behindDoc="0" locked="0" layoutInCell="1" allowOverlap="1">
                <wp:simplePos x="0" y="0"/>
                <wp:positionH relativeFrom="margin">
                  <wp:align>right</wp:align>
                </wp:positionH>
                <wp:positionV relativeFrom="paragraph">
                  <wp:posOffset>13970</wp:posOffset>
                </wp:positionV>
                <wp:extent cx="1228090" cy="1359535"/>
                <wp:effectExtent l="0" t="0" r="10160" b="12065"/>
                <wp:wrapNone/>
                <wp:docPr id="105" name="文本框 168"/>
                <wp:cNvGraphicFramePr/>
                <a:graphic xmlns:a="http://schemas.openxmlformats.org/drawingml/2006/main">
                  <a:graphicData uri="http://schemas.microsoft.com/office/word/2010/wordprocessingShape">
                    <wps:wsp>
                      <wps:cNvSpPr txBox="1"/>
                      <wps:spPr>
                        <a:xfrm>
                          <a:off x="0" y="0"/>
                          <a:ext cx="1228090" cy="13595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pPr>
                            <w:r>
                              <w:drawing>
                                <wp:inline distT="0" distB="0" distL="114300" distR="114300">
                                  <wp:extent cx="1104265" cy="1179195"/>
                                  <wp:effectExtent l="0" t="0" r="635" b="1905"/>
                                  <wp:docPr id="51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8"/>
                                          <pic:cNvPicPr>
                                            <a:picLocks noChangeAspect="1"/>
                                          </pic:cNvPicPr>
                                        </pic:nvPicPr>
                                        <pic:blipFill>
                                          <a:blip r:embed="rId26"/>
                                          <a:stretch>
                                            <a:fillRect/>
                                          </a:stretch>
                                        </pic:blipFill>
                                        <pic:spPr>
                                          <a:xfrm>
                                            <a:off x="0" y="0"/>
                                            <a:ext cx="1104265" cy="1179195"/>
                                          </a:xfrm>
                                          <a:prstGeom prst="rect">
                                            <a:avLst/>
                                          </a:prstGeom>
                                          <a:noFill/>
                                          <a:ln w="9525">
                                            <a:noFill/>
                                          </a:ln>
                                        </pic:spPr>
                                      </pic:pic>
                                    </a:graphicData>
                                  </a:graphic>
                                </wp:inline>
                              </w:drawing>
                            </w:r>
                          </w:p>
                        </w:txbxContent>
                      </wps:txbx>
                      <wps:bodyPr upright="1"/>
                    </wps:wsp>
                  </a:graphicData>
                </a:graphic>
              </wp:anchor>
            </w:drawing>
          </mc:Choice>
          <mc:Fallback>
            <w:pict>
              <v:shape id="文本框 168" o:spid="_x0000_s1026" o:spt="202" type="#_x0000_t202" style="position:absolute;left:0pt;margin-top:1.1pt;height:107.05pt;width:96.7pt;mso-position-horizontal:right;mso-position-horizontal-relative:margin;z-index:251422720;mso-width-relative:page;mso-height-relative:page;" fillcolor="#FFFFFF" filled="t" stroked="t" coordsize="21600,21600" o:gfxdata="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ihn0N1gAAAAYBAAAPAAAAAAAAAAEAIAAAACIAAABkcnMvZG93bnJldi54bWxQSwECFAAU&#10;AAAACACHTuJArbq5jvMBAADtAwAADgAAAAAAAAABACAAAAAlAQAAZHJzL2Uyb0RvYy54bWxQSwUG&#10;AAAAAAYABgBZAQAAigUAAAAA&#10;">
                <v:fill on="t" focussize="0,0"/>
                <v:stroke color="#000000" joinstyle="miter"/>
                <v:imagedata o:title=""/>
                <o:lock v:ext="edit" aspectratio="f"/>
                <v:textbox>
                  <w:txbxContent>
                    <w:p>
                      <w:pPr>
                        <w:spacing w:line="240" w:lineRule="auto"/>
                        <w:ind w:firstLine="0" w:firstLineChars="0"/>
                      </w:pPr>
                      <w:r>
                        <w:drawing>
                          <wp:inline distT="0" distB="0" distL="114300" distR="114300">
                            <wp:extent cx="1104265" cy="1179195"/>
                            <wp:effectExtent l="0" t="0" r="635" b="1905"/>
                            <wp:docPr id="51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8"/>
                                    <pic:cNvPicPr>
                                      <a:picLocks noChangeAspect="1"/>
                                    </pic:cNvPicPr>
                                  </pic:nvPicPr>
                                  <pic:blipFill>
                                    <a:blip r:embed="rId26"/>
                                    <a:stretch>
                                      <a:fillRect/>
                                    </a:stretch>
                                  </pic:blipFill>
                                  <pic:spPr>
                                    <a:xfrm>
                                      <a:off x="0" y="0"/>
                                      <a:ext cx="1104265" cy="1179195"/>
                                    </a:xfrm>
                                    <a:prstGeom prst="rect">
                                      <a:avLst/>
                                    </a:prstGeom>
                                    <a:noFill/>
                                    <a:ln w="9525">
                                      <a:noFill/>
                                    </a:ln>
                                  </pic:spPr>
                                </pic:pic>
                              </a:graphicData>
                            </a:graphic>
                          </wp:inline>
                        </w:drawing>
                      </w:r>
                    </w:p>
                  </w:txbxContent>
                </v:textbox>
              </v:shape>
            </w:pict>
          </mc:Fallback>
        </mc:AlternateContent>
      </w:r>
    </w:p>
    <w:p>
      <w:pPr>
        <w:pStyle w:val="18"/>
      </w:pPr>
      <w:bookmarkStart w:id="140" w:name="_Ref524468399"/>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1.5</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bookmarkEnd w:id="140"/>
      <w:r>
        <w:t xml:space="preserve"> </w:t>
      </w:r>
      <w:r>
        <w:rPr>
          <w:rFonts w:hint="eastAsia"/>
        </w:rPr>
        <w:t>建设项目评价范围图</w:t>
      </w:r>
    </w:p>
    <w:p>
      <w:pPr>
        <w:adjustRightInd w:val="0"/>
        <w:snapToGrid w:val="0"/>
        <w:ind w:firstLine="480"/>
        <w:rPr>
          <w:rFonts w:eastAsiaTheme="minorEastAsia"/>
        </w:rPr>
      </w:pPr>
    </w:p>
    <w:p>
      <w:pPr>
        <w:adjustRightInd w:val="0"/>
        <w:snapToGrid w:val="0"/>
        <w:ind w:firstLine="480"/>
        <w:rPr>
          <w:rFonts w:eastAsiaTheme="minorEastAsia"/>
        </w:rPr>
        <w:sectPr>
          <w:pgSz w:w="16838" w:h="11906" w:orient="landscape"/>
          <w:pgMar w:top="1418" w:right="1418" w:bottom="1418" w:left="1418" w:header="851" w:footer="992" w:gutter="0"/>
          <w:cols w:space="0" w:num="1"/>
          <w:docGrid w:linePitch="326" w:charSpace="0"/>
        </w:sectPr>
      </w:pPr>
    </w:p>
    <w:p>
      <w:pPr>
        <w:pStyle w:val="4"/>
      </w:pPr>
      <w:bookmarkStart w:id="141" w:name="_Toc3538776"/>
      <w:bookmarkStart w:id="142" w:name="_Ref528244116"/>
      <w:r>
        <w:rPr>
          <w:rFonts w:hint="eastAsia"/>
        </w:rPr>
        <w:t>污染控制与环境保护目标</w:t>
      </w:r>
      <w:bookmarkEnd w:id="141"/>
      <w:bookmarkEnd w:id="142"/>
    </w:p>
    <w:p>
      <w:pPr>
        <w:pStyle w:val="5"/>
      </w:pPr>
      <w:r>
        <w:t>污染控制目标</w:t>
      </w:r>
    </w:p>
    <w:p>
      <w:pPr>
        <w:ind w:firstLine="480"/>
        <w:rPr>
          <w:rFonts w:eastAsiaTheme="minorEastAsia"/>
        </w:rPr>
      </w:pPr>
      <w:r>
        <w:rPr>
          <w:rFonts w:eastAsiaTheme="minorEastAsia"/>
        </w:rPr>
        <w:t>（1）做好本项目运营期的环境污染控制工作，所有的污染源均应得到有效和妥善的控制，研究项目拟采取的防治措施可行性，提出先进的技术措施和管理措施，将项目运营活动对环境的影响降低到最小程度。</w:t>
      </w:r>
    </w:p>
    <w:p>
      <w:pPr>
        <w:ind w:firstLine="480"/>
        <w:rPr>
          <w:rFonts w:eastAsiaTheme="minorEastAsia"/>
        </w:rPr>
      </w:pPr>
      <w:r>
        <w:rPr>
          <w:rFonts w:eastAsiaTheme="minorEastAsia"/>
        </w:rPr>
        <w:t>（2）本项目环境保护设施与主体工程实现</w:t>
      </w:r>
      <w:r>
        <w:rPr>
          <w:rFonts w:hint="eastAsia" w:eastAsiaTheme="minorEastAsia"/>
        </w:rPr>
        <w:t>“三同时”</w:t>
      </w:r>
      <w:r>
        <w:rPr>
          <w:rFonts w:eastAsiaTheme="minorEastAsia"/>
        </w:rPr>
        <w:t>。</w:t>
      </w:r>
    </w:p>
    <w:p>
      <w:pPr>
        <w:ind w:firstLine="480"/>
        <w:rPr>
          <w:rFonts w:eastAsiaTheme="minorEastAsia"/>
        </w:rPr>
      </w:pPr>
      <w:r>
        <w:rPr>
          <w:rFonts w:eastAsiaTheme="minorEastAsia"/>
        </w:rPr>
        <w:t>（3）采取先进的生产工艺和设备，并确保技术的先进性和可靠性。</w:t>
      </w:r>
    </w:p>
    <w:p>
      <w:pPr>
        <w:ind w:firstLine="480"/>
        <w:rPr>
          <w:rFonts w:eastAsiaTheme="minorEastAsia"/>
        </w:rPr>
      </w:pPr>
      <w:r>
        <w:rPr>
          <w:rFonts w:eastAsiaTheme="minorEastAsia"/>
        </w:rPr>
        <w:t>（</w:t>
      </w:r>
      <w:r>
        <w:rPr>
          <w:rFonts w:hint="eastAsia" w:eastAsiaTheme="minorEastAsia"/>
        </w:rPr>
        <w:t>4</w:t>
      </w:r>
      <w:r>
        <w:rPr>
          <w:rFonts w:eastAsiaTheme="minorEastAsia"/>
        </w:rPr>
        <w:t>）采取有效措施控制本项目的环境风险。</w:t>
      </w:r>
    </w:p>
    <w:p>
      <w:pPr>
        <w:pStyle w:val="5"/>
      </w:pPr>
      <w:r>
        <w:rPr>
          <w:rFonts w:hint="eastAsia"/>
        </w:rPr>
        <w:t>环境保护目标</w:t>
      </w:r>
    </w:p>
    <w:p>
      <w:pPr>
        <w:ind w:firstLine="480"/>
        <w:rPr>
          <w:rFonts w:eastAsiaTheme="minorEastAsia"/>
        </w:rPr>
      </w:pPr>
      <w:r>
        <w:rPr>
          <w:rFonts w:hint="eastAsia" w:eastAsiaTheme="minorEastAsia"/>
        </w:rPr>
        <w:t>本项目主要控制目标是保护项目所在区域的整体环境质量，确保项目周围环境质量不因项目的建设投产而发生显著改变。</w:t>
      </w:r>
    </w:p>
    <w:p>
      <w:pPr>
        <w:pStyle w:val="6"/>
      </w:pPr>
      <w:r>
        <w:rPr>
          <w:rFonts w:hint="eastAsia"/>
        </w:rPr>
        <w:t>水污染控制及保护目标</w:t>
      </w:r>
    </w:p>
    <w:p>
      <w:pPr>
        <w:ind w:firstLine="480"/>
        <w:rPr>
          <w:rFonts w:eastAsiaTheme="minorEastAsia"/>
        </w:rPr>
      </w:pPr>
      <w:r>
        <w:rPr>
          <w:rFonts w:hint="eastAsia" w:eastAsiaTheme="minorEastAsia"/>
        </w:rPr>
        <w:t>控制项目污（废）水达标排放，使本项目对地表水环境的影响控制在允许的范围之内，保护周围水体环境质量不会因为本项目的实施而发生显著改变，其中</w:t>
      </w:r>
      <w:r>
        <w:rPr>
          <w:rFonts w:eastAsiaTheme="minorEastAsia"/>
        </w:rPr>
        <w:t>项目</w:t>
      </w:r>
      <w:r>
        <w:rPr>
          <w:rFonts w:hint="eastAsia" w:eastAsiaTheme="minorEastAsia"/>
        </w:rPr>
        <w:t>污水直接</w:t>
      </w:r>
      <w:r>
        <w:rPr>
          <w:rFonts w:eastAsiaTheme="minorEastAsia"/>
        </w:rPr>
        <w:t>受纳水体为</w:t>
      </w:r>
      <w:r>
        <w:rPr>
          <w:rFonts w:hint="eastAsia" w:eastAsiaTheme="minorEastAsia"/>
        </w:rPr>
        <w:t>镇海水，</w:t>
      </w:r>
      <w:r>
        <w:rPr>
          <w:rFonts w:eastAsiaTheme="minorEastAsia"/>
        </w:rPr>
        <w:t>水质目标</w:t>
      </w:r>
      <w:r>
        <w:rPr>
          <w:rFonts w:hint="eastAsia" w:eastAsiaTheme="minorEastAsia"/>
        </w:rPr>
        <w:t>均</w:t>
      </w:r>
      <w:r>
        <w:rPr>
          <w:rFonts w:eastAsiaTheme="minorEastAsia"/>
        </w:rPr>
        <w:t>为</w:t>
      </w:r>
      <w:r>
        <w:rPr>
          <w:rFonts w:hint="eastAsia" w:cs="微软雅黑" w:eastAsiaTheme="minorEastAsia"/>
        </w:rPr>
        <w:t>III</w:t>
      </w:r>
      <w:r>
        <w:rPr>
          <w:rFonts w:eastAsiaTheme="minorEastAsia"/>
        </w:rPr>
        <w:t>类。</w:t>
      </w:r>
    </w:p>
    <w:p>
      <w:pPr>
        <w:ind w:firstLine="480"/>
        <w:rPr>
          <w:rFonts w:eastAsiaTheme="minorEastAsia"/>
        </w:rPr>
      </w:pPr>
      <w:r>
        <w:rPr>
          <w:rFonts w:eastAsiaTheme="minorEastAsia"/>
        </w:rPr>
        <w:t>本项目的地下水环境保护目标为控制本项目生活污水污染物的排放，保证评价范围地下水不因本项目的建设而受到明显的影响，水质目标维持现状。</w:t>
      </w:r>
    </w:p>
    <w:p>
      <w:pPr>
        <w:pStyle w:val="6"/>
      </w:pPr>
      <w:bookmarkStart w:id="143" w:name="_Toc293409680"/>
      <w:r>
        <w:rPr>
          <w:rFonts w:hint="eastAsia"/>
        </w:rPr>
        <w:t>噪声污染控制及保护目标</w:t>
      </w:r>
    </w:p>
    <w:p>
      <w:pPr>
        <w:ind w:firstLine="480"/>
        <w:rPr>
          <w:rFonts w:eastAsiaTheme="minorEastAsia"/>
        </w:rPr>
      </w:pPr>
      <w:r>
        <w:rPr>
          <w:rFonts w:eastAsiaTheme="minorEastAsia"/>
        </w:rPr>
        <w:t>控制项目</w:t>
      </w:r>
      <w:r>
        <w:rPr>
          <w:rFonts w:hint="eastAsia" w:eastAsiaTheme="minorEastAsia"/>
        </w:rPr>
        <w:t>各生产设备、风机、水泵</w:t>
      </w:r>
      <w:r>
        <w:rPr>
          <w:rFonts w:eastAsiaTheme="minorEastAsia"/>
        </w:rPr>
        <w:t>等噪声源，以保护项目所在地声环境质量，使其厂界声环境质量达到《声环境质量标准》（GB 3096-2008）中的</w:t>
      </w:r>
      <w:r>
        <w:rPr>
          <w:rFonts w:hint="eastAsia" w:eastAsiaTheme="minorEastAsia"/>
        </w:rPr>
        <w:t>2</w:t>
      </w:r>
      <w:r>
        <w:rPr>
          <w:rFonts w:eastAsiaTheme="minorEastAsia"/>
        </w:rPr>
        <w:t>类标准的要求。</w:t>
      </w:r>
      <w:r>
        <w:rPr>
          <w:rFonts w:hint="eastAsia" w:eastAsiaTheme="minorEastAsia"/>
        </w:rPr>
        <w:t>本项目声环境影响评价范围内无声环境敏感点。</w:t>
      </w:r>
    </w:p>
    <w:p>
      <w:pPr>
        <w:pStyle w:val="6"/>
      </w:pPr>
      <w:r>
        <w:rPr>
          <w:rFonts w:hint="eastAsia"/>
        </w:rPr>
        <w:t>大气污染控制及保护</w:t>
      </w:r>
      <w:r>
        <w:t>目标</w:t>
      </w:r>
      <w:bookmarkEnd w:id="143"/>
    </w:p>
    <w:p>
      <w:pPr>
        <w:ind w:firstLine="480"/>
        <w:rPr>
          <w:rFonts w:eastAsiaTheme="minorEastAsia"/>
        </w:rPr>
      </w:pPr>
      <w:r>
        <w:rPr>
          <w:rFonts w:hint="eastAsia" w:eastAsiaTheme="minorEastAsia"/>
        </w:rPr>
        <w:t>控制项目工艺废气等大气污染物排放，以保护项目所在地环境空气质量，使其达到《环境空气质量标准》（GB</w:t>
      </w:r>
      <w:r>
        <w:rPr>
          <w:rFonts w:eastAsiaTheme="minorEastAsia"/>
        </w:rPr>
        <w:t xml:space="preserve"> </w:t>
      </w:r>
      <w:r>
        <w:rPr>
          <w:rFonts w:hint="eastAsia" w:eastAsiaTheme="minorEastAsia"/>
        </w:rPr>
        <w:t>3095-2012）中二级标准的要求。</w:t>
      </w:r>
    </w:p>
    <w:p>
      <w:pPr>
        <w:pStyle w:val="6"/>
      </w:pPr>
      <w:bookmarkStart w:id="144" w:name="_Hlk3508275"/>
      <w:r>
        <w:rPr>
          <w:rFonts w:hint="eastAsia"/>
        </w:rPr>
        <w:t>主要环境敏感点及保护目标</w:t>
      </w:r>
    </w:p>
    <w:bookmarkEnd w:id="144"/>
    <w:p>
      <w:pPr>
        <w:ind w:firstLine="480"/>
        <w:rPr>
          <w:rFonts w:eastAsiaTheme="minorEastAsia"/>
        </w:rPr>
      </w:pPr>
      <w:r>
        <w:rPr>
          <w:rFonts w:eastAsiaTheme="minorEastAsia"/>
        </w:rPr>
        <w:t>本项目评价范围内主要环境敏感点见</w:t>
      </w:r>
      <w:r>
        <w:rPr>
          <w:rFonts w:eastAsiaTheme="minorEastAsia"/>
        </w:rPr>
        <w:fldChar w:fldCharType="begin"/>
      </w:r>
      <w:r>
        <w:rPr>
          <w:rFonts w:eastAsiaTheme="minorEastAsia"/>
        </w:rPr>
        <w:instrText xml:space="preserve"> REF _Ref526860881 \h  \* MERGEFORMAT </w:instrText>
      </w:r>
      <w:r>
        <w:rPr>
          <w:rFonts w:eastAsiaTheme="minorEastAsia"/>
        </w:rPr>
        <w:fldChar w:fldCharType="separate"/>
      </w:r>
      <w:r>
        <w:rPr>
          <w:rFonts w:hint="eastAsia" w:eastAsiaTheme="minorEastAsia"/>
        </w:rPr>
        <w:t xml:space="preserve">图 </w:t>
      </w:r>
      <w:r>
        <w:rPr>
          <w:rFonts w:eastAsiaTheme="minorEastAsia"/>
        </w:rPr>
        <w:t>1.6</w:t>
      </w:r>
      <w:r>
        <w:rPr>
          <w:rFonts w:eastAsiaTheme="minorEastAsia"/>
        </w:rPr>
        <w:noBreakHyphen/>
      </w:r>
      <w:r>
        <w:rPr>
          <w:rFonts w:eastAsiaTheme="minorEastAsia"/>
        </w:rPr>
        <w:t>1</w:t>
      </w:r>
      <w:r>
        <w:rPr>
          <w:rFonts w:eastAsiaTheme="minorEastAsia"/>
        </w:rPr>
        <w:fldChar w:fldCharType="end"/>
      </w:r>
      <w:r>
        <w:rPr>
          <w:rFonts w:eastAsiaTheme="minorEastAsia"/>
        </w:rPr>
        <w:t>，具体情况见</w:t>
      </w:r>
      <w:r>
        <w:rPr>
          <w:rFonts w:eastAsiaTheme="minorEastAsia"/>
        </w:rPr>
        <w:fldChar w:fldCharType="begin"/>
      </w:r>
      <w:r>
        <w:rPr>
          <w:rFonts w:eastAsiaTheme="minorEastAsia"/>
        </w:rPr>
        <w:instrText xml:space="preserve"> REF _Ref526860808 \h  \* MERGEFORMAT </w:instrText>
      </w:r>
      <w:r>
        <w:rPr>
          <w:rFonts w:eastAsiaTheme="minorEastAsia"/>
        </w:rPr>
        <w:fldChar w:fldCharType="separate"/>
      </w:r>
      <w:r>
        <w:rPr>
          <w:rFonts w:hint="eastAsia" w:eastAsiaTheme="minorEastAsia"/>
        </w:rPr>
        <w:t xml:space="preserve">表 </w:t>
      </w:r>
      <w:r>
        <w:rPr>
          <w:rFonts w:eastAsiaTheme="minorEastAsia"/>
        </w:rPr>
        <w:t>1.6</w:t>
      </w:r>
      <w:r>
        <w:rPr>
          <w:rFonts w:eastAsiaTheme="minorEastAsia"/>
        </w:rPr>
        <w:noBreakHyphen/>
      </w:r>
      <w:r>
        <w:rPr>
          <w:rFonts w:eastAsiaTheme="minorEastAsia"/>
        </w:rPr>
        <w:t>1</w:t>
      </w:r>
      <w:r>
        <w:rPr>
          <w:rFonts w:eastAsiaTheme="minorEastAsia"/>
        </w:rPr>
        <w:fldChar w:fldCharType="end"/>
      </w:r>
      <w:r>
        <w:rPr>
          <w:rFonts w:eastAsiaTheme="minorEastAsia"/>
        </w:rPr>
        <w:t>。</w:t>
      </w:r>
    </w:p>
    <w:p>
      <w:pPr>
        <w:spacing w:line="240" w:lineRule="auto"/>
        <w:ind w:firstLine="0" w:firstLineChars="0"/>
        <w:rPr>
          <w:rFonts w:eastAsiaTheme="minorEastAsia"/>
        </w:rPr>
      </w:pPr>
      <w:r>
        <w:rPr>
          <w:rFonts w:eastAsiaTheme="minorEastAsia"/>
        </w:rPr>
        <w:br w:type="page"/>
      </w:r>
    </w:p>
    <w:p>
      <w:pPr>
        <w:pStyle w:val="18"/>
      </w:pPr>
      <w:bookmarkStart w:id="145" w:name="_Ref526860808"/>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1.6</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bookmarkEnd w:id="145"/>
      <w:r>
        <w:rPr>
          <w:rFonts w:hint="eastAsia"/>
        </w:rPr>
        <w:t>项目评价范围内主要环境敏感点及保护目标</w:t>
      </w:r>
    </w:p>
    <w:tbl>
      <w:tblPr>
        <w:tblStyle w:val="56"/>
        <w:tblW w:w="96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
        <w:gridCol w:w="1259"/>
        <w:gridCol w:w="1427"/>
        <w:gridCol w:w="1559"/>
        <w:gridCol w:w="992"/>
        <w:gridCol w:w="945"/>
        <w:gridCol w:w="766"/>
        <w:gridCol w:w="784"/>
        <w:gridCol w:w="679"/>
        <w:gridCol w:w="8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blHeader/>
        </w:trPr>
        <w:tc>
          <w:tcPr>
            <w:tcW w:w="428"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序号</w:t>
            </w:r>
          </w:p>
        </w:tc>
        <w:tc>
          <w:tcPr>
            <w:tcW w:w="1259" w:type="dxa"/>
            <w:vMerge w:val="restart"/>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名称</w:t>
            </w:r>
          </w:p>
        </w:tc>
        <w:tc>
          <w:tcPr>
            <w:tcW w:w="2986" w:type="dxa"/>
            <w:gridSpan w:val="2"/>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坐标/m</w:t>
            </w:r>
          </w:p>
        </w:tc>
        <w:tc>
          <w:tcPr>
            <w:tcW w:w="992" w:type="dxa"/>
            <w:vMerge w:val="restart"/>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保护对象</w:t>
            </w:r>
          </w:p>
        </w:tc>
        <w:tc>
          <w:tcPr>
            <w:tcW w:w="945" w:type="dxa"/>
            <w:vMerge w:val="restart"/>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保护内容</w:t>
            </w:r>
          </w:p>
        </w:tc>
        <w:tc>
          <w:tcPr>
            <w:tcW w:w="766" w:type="dxa"/>
            <w:vMerge w:val="restart"/>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环境功能区</w:t>
            </w:r>
          </w:p>
        </w:tc>
        <w:tc>
          <w:tcPr>
            <w:tcW w:w="784" w:type="dxa"/>
            <w:vMerge w:val="restart"/>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相对厂址方位</w:t>
            </w:r>
          </w:p>
        </w:tc>
        <w:tc>
          <w:tcPr>
            <w:tcW w:w="679" w:type="dxa"/>
            <w:vMerge w:val="restart"/>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相对厂界距离/m</w:t>
            </w:r>
          </w:p>
        </w:tc>
        <w:tc>
          <w:tcPr>
            <w:tcW w:w="848" w:type="dxa"/>
            <w:vMerge w:val="restart"/>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影响规模（人）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tblHeader/>
        </w:trPr>
        <w:tc>
          <w:tcPr>
            <w:tcW w:w="428" w:type="dxa"/>
            <w:vMerge w:val="continue"/>
            <w:vAlign w:val="center"/>
          </w:tcPr>
          <w:p>
            <w:pPr>
              <w:pStyle w:val="107"/>
              <w:rPr>
                <w:rStyle w:val="63"/>
                <w:color w:val="000000" w:themeColor="text1"/>
                <w14:textFill>
                  <w14:solidFill>
                    <w14:schemeClr w14:val="tx1"/>
                  </w14:solidFill>
                </w14:textFill>
              </w:rPr>
            </w:pPr>
          </w:p>
        </w:tc>
        <w:tc>
          <w:tcPr>
            <w:tcW w:w="1259" w:type="dxa"/>
            <w:vMerge w:val="continue"/>
            <w:vAlign w:val="center"/>
          </w:tcPr>
          <w:p>
            <w:pPr>
              <w:pStyle w:val="107"/>
              <w:rPr>
                <w:rStyle w:val="63"/>
                <w:color w:val="000000" w:themeColor="text1"/>
                <w14:textFill>
                  <w14:solidFill>
                    <w14:schemeClr w14:val="tx1"/>
                  </w14:solidFill>
                </w14:textFill>
              </w:rPr>
            </w:pPr>
          </w:p>
        </w:tc>
        <w:tc>
          <w:tcPr>
            <w:tcW w:w="142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x</w:t>
            </w:r>
          </w:p>
        </w:tc>
        <w:tc>
          <w:tcPr>
            <w:tcW w:w="15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y</w:t>
            </w:r>
          </w:p>
        </w:tc>
        <w:tc>
          <w:tcPr>
            <w:tcW w:w="992" w:type="dxa"/>
            <w:vMerge w:val="continue"/>
            <w:vAlign w:val="center"/>
          </w:tcPr>
          <w:p>
            <w:pPr>
              <w:pStyle w:val="107"/>
              <w:rPr>
                <w:rStyle w:val="63"/>
                <w:color w:val="000000" w:themeColor="text1"/>
                <w14:textFill>
                  <w14:solidFill>
                    <w14:schemeClr w14:val="tx1"/>
                  </w14:solidFill>
                </w14:textFill>
              </w:rPr>
            </w:pPr>
          </w:p>
        </w:tc>
        <w:tc>
          <w:tcPr>
            <w:tcW w:w="945" w:type="dxa"/>
            <w:vMerge w:val="continue"/>
            <w:vAlign w:val="center"/>
          </w:tcPr>
          <w:p>
            <w:pPr>
              <w:pStyle w:val="107"/>
              <w:rPr>
                <w:rStyle w:val="63"/>
                <w:color w:val="000000" w:themeColor="text1"/>
                <w14:textFill>
                  <w14:solidFill>
                    <w14:schemeClr w14:val="tx1"/>
                  </w14:solidFill>
                </w14:textFill>
              </w:rPr>
            </w:pPr>
          </w:p>
        </w:tc>
        <w:tc>
          <w:tcPr>
            <w:tcW w:w="766" w:type="dxa"/>
            <w:vMerge w:val="continue"/>
            <w:vAlign w:val="center"/>
          </w:tcPr>
          <w:p>
            <w:pPr>
              <w:pStyle w:val="107"/>
              <w:rPr>
                <w:rStyle w:val="63"/>
                <w:color w:val="000000" w:themeColor="text1"/>
                <w14:textFill>
                  <w14:solidFill>
                    <w14:schemeClr w14:val="tx1"/>
                  </w14:solidFill>
                </w14:textFill>
              </w:rPr>
            </w:pPr>
          </w:p>
        </w:tc>
        <w:tc>
          <w:tcPr>
            <w:tcW w:w="784" w:type="dxa"/>
            <w:vMerge w:val="continue"/>
            <w:vAlign w:val="center"/>
          </w:tcPr>
          <w:p>
            <w:pPr>
              <w:pStyle w:val="107"/>
              <w:rPr>
                <w:rStyle w:val="63"/>
                <w:color w:val="000000" w:themeColor="text1"/>
                <w14:textFill>
                  <w14:solidFill>
                    <w14:schemeClr w14:val="tx1"/>
                  </w14:solidFill>
                </w14:textFill>
              </w:rPr>
            </w:pPr>
          </w:p>
        </w:tc>
        <w:tc>
          <w:tcPr>
            <w:tcW w:w="679" w:type="dxa"/>
            <w:vMerge w:val="continue"/>
            <w:vAlign w:val="center"/>
          </w:tcPr>
          <w:p>
            <w:pPr>
              <w:pStyle w:val="107"/>
              <w:rPr>
                <w:rStyle w:val="63"/>
                <w:color w:val="000000" w:themeColor="text1"/>
                <w14:textFill>
                  <w14:solidFill>
                    <w14:schemeClr w14:val="tx1"/>
                  </w14:solidFill>
                </w14:textFill>
              </w:rPr>
            </w:pPr>
          </w:p>
        </w:tc>
        <w:tc>
          <w:tcPr>
            <w:tcW w:w="848" w:type="dxa"/>
            <w:vMerge w:val="continue"/>
            <w:vAlign w:val="center"/>
          </w:tcPr>
          <w:p>
            <w:pPr>
              <w:pStyle w:val="107"/>
              <w:rPr>
                <w:rStyle w:val="63"/>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下莲塘</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22.477030</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112.545018</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SW</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320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上莲塘</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22.474334</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112.541971</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SW</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920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田心村</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22.471875</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112.532573</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SW</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4800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潮湾</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22.470487</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112.545962</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SW</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2700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同龙</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22.467909</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112.540340</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SW</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3950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龙池</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22.465768</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112.542229</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SW</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4400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7</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下湾新</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22.467790</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112.551541</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SE</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3855</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下湾村</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22.472391</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112.558193</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SE</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3990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9</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上湾</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22.475603</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112.552958</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SE</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915</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三村</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22.477943</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112.552614</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E</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910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西阳里</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22.479410</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112.554846</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SE</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1100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12</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苍城镇</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22.475206</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112.557249</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SE</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2367</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13</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东仁里</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22.479251</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112.557850</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NE</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2100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14</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岗凹</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22.481036</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112.560253</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NE</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3500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15</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旺岗村</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22.480520</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112.557120</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NE</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2520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16</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西堡</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22.483058</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112.557635</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NE</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2450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17</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荣兴</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22.485318</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112.550511</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2100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18</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床元</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22.488451</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112.553344</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3500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19</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铜鼓村</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22.488649</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112.553172</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4950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7</w:t>
            </w:r>
            <w:r>
              <w:rPr>
                <w:rStyle w:val="63"/>
                <w:color w:val="000000" w:themeColor="text1"/>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0</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东明</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22.488292</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112.544332</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w:t>
            </w:r>
            <w:r>
              <w:rPr>
                <w:rStyle w:val="63"/>
                <w:rFonts w:hint="eastAsia"/>
                <w:color w:val="000000" w:themeColor="text1"/>
                <w14:textFill>
                  <w14:solidFill>
                    <w14:schemeClr w14:val="tx1"/>
                  </w14:solidFill>
                </w14:textFill>
              </w:rPr>
              <w:t>W</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4</w:t>
            </w:r>
            <w:r>
              <w:rPr>
                <w:rStyle w:val="63"/>
                <w:color w:val="000000" w:themeColor="text1"/>
                <w14:textFill>
                  <w14:solidFill>
                    <w14:schemeClr w14:val="tx1"/>
                  </w14:solidFill>
                </w14:textFill>
              </w:rPr>
              <w:t>010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8</w:t>
            </w:r>
            <w:r>
              <w:rPr>
                <w:rStyle w:val="63"/>
                <w:color w:val="000000" w:themeColor="text1"/>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1</w:t>
            </w:r>
          </w:p>
        </w:tc>
        <w:tc>
          <w:tcPr>
            <w:tcW w:w="12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龙塘村</w:t>
            </w:r>
          </w:p>
        </w:tc>
        <w:tc>
          <w:tcPr>
            <w:tcW w:w="142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22.476039</w:t>
            </w:r>
            <w:r>
              <w:rPr>
                <w:rStyle w:val="63"/>
                <w:rFonts w:hint="eastAsia"/>
                <w:color w:val="000000" w:themeColor="text1"/>
                <w14:textFill>
                  <w14:solidFill>
                    <w14:schemeClr w14:val="tx1"/>
                  </w14:solidFill>
                </w14:textFill>
              </w:rPr>
              <w:t>°</w:t>
            </w:r>
          </w:p>
        </w:tc>
        <w:tc>
          <w:tcPr>
            <w:tcW w:w="155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112.529354</w:t>
            </w: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居住区</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空气质量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大气二类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S</w:t>
            </w:r>
            <w:r>
              <w:rPr>
                <w:rStyle w:val="63"/>
                <w:rFonts w:hint="eastAsia"/>
                <w:color w:val="000000" w:themeColor="text1"/>
                <w14:textFill>
                  <w14:solidFill>
                    <w14:schemeClr w14:val="tx1"/>
                  </w14:solidFill>
                </w14:textFill>
              </w:rPr>
              <w:t>W</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4</w:t>
            </w:r>
            <w:r>
              <w:rPr>
                <w:rStyle w:val="63"/>
                <w:color w:val="000000" w:themeColor="text1"/>
                <w14:textFill>
                  <w14:solidFill>
                    <w14:schemeClr w14:val="tx1"/>
                  </w14:solidFill>
                </w14:textFill>
              </w:rPr>
              <w:t>980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2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p>
        </w:tc>
        <w:tc>
          <w:tcPr>
            <w:tcW w:w="1259" w:type="dxa"/>
            <w:shd w:val="clear" w:color="auto" w:fill="auto"/>
            <w:vAlign w:val="center"/>
          </w:tcPr>
          <w:p>
            <w:pPr>
              <w:pStyle w:val="107"/>
              <w:rPr>
                <w:rStyle w:val="63"/>
                <w:color w:val="000000" w:themeColor="text1"/>
                <w:highlight w:val="yellow"/>
                <w14:textFill>
                  <w14:solidFill>
                    <w14:schemeClr w14:val="tx1"/>
                  </w14:solidFill>
                </w14:textFill>
              </w:rPr>
            </w:pPr>
            <w:r>
              <w:rPr>
                <w:rStyle w:val="63"/>
                <w:rFonts w:hint="eastAsia"/>
                <w:color w:val="000000" w:themeColor="text1"/>
                <w14:textFill>
                  <w14:solidFill>
                    <w14:schemeClr w14:val="tx1"/>
                  </w14:solidFill>
                </w14:textFill>
              </w:rPr>
              <w:t>镇海水</w:t>
            </w:r>
          </w:p>
        </w:tc>
        <w:tc>
          <w:tcPr>
            <w:tcW w:w="142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55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地表水</w:t>
            </w:r>
          </w:p>
        </w:tc>
        <w:tc>
          <w:tcPr>
            <w:tcW w:w="9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水体质量</w:t>
            </w:r>
          </w:p>
        </w:tc>
        <w:tc>
          <w:tcPr>
            <w:tcW w:w="76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水III类</w:t>
            </w:r>
          </w:p>
        </w:tc>
        <w:tc>
          <w:tcPr>
            <w:tcW w:w="78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E</w:t>
            </w:r>
          </w:p>
        </w:tc>
        <w:tc>
          <w:tcPr>
            <w:tcW w:w="67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4000</w:t>
            </w:r>
          </w:p>
        </w:tc>
        <w:tc>
          <w:tcPr>
            <w:tcW w:w="84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bl>
    <w:p>
      <w:pPr>
        <w:adjustRightInd w:val="0"/>
        <w:snapToGrid w:val="0"/>
        <w:ind w:firstLine="480"/>
        <w:rPr>
          <w:rFonts w:eastAsiaTheme="minorEastAsia"/>
        </w:rPr>
        <w:sectPr>
          <w:pgSz w:w="11906" w:h="16838"/>
          <w:pgMar w:top="1418" w:right="1418" w:bottom="1418" w:left="1418" w:header="851" w:footer="992" w:gutter="0"/>
          <w:cols w:space="0" w:num="1"/>
          <w:docGrid w:linePitch="326" w:charSpace="0"/>
        </w:sectPr>
      </w:pPr>
    </w:p>
    <w:p>
      <w:pPr>
        <w:pStyle w:val="107"/>
      </w:pPr>
      <w:r>
        <w:drawing>
          <wp:inline distT="0" distB="0" distL="0" distR="0">
            <wp:extent cx="8891270" cy="4474210"/>
            <wp:effectExtent l="0" t="0" r="5080" b="254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9"/>
                    <a:stretch>
                      <a:fillRect/>
                    </a:stretch>
                  </pic:blipFill>
                  <pic:spPr>
                    <a:xfrm>
                      <a:off x="0" y="0"/>
                      <a:ext cx="8891270" cy="4474210"/>
                    </a:xfrm>
                    <a:prstGeom prst="rect">
                      <a:avLst/>
                    </a:prstGeom>
                  </pic:spPr>
                </pic:pic>
              </a:graphicData>
            </a:graphic>
          </wp:inline>
        </w:drawing>
      </w:r>
    </w:p>
    <w:p>
      <w:pPr>
        <w:pStyle w:val="18"/>
      </w:pPr>
      <w:bookmarkStart w:id="146" w:name="_Ref526860881"/>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1.6</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bookmarkEnd w:id="146"/>
      <w:r>
        <w:t xml:space="preserve"> </w:t>
      </w:r>
      <w:r>
        <w:rPr>
          <w:rFonts w:hint="eastAsia"/>
        </w:rPr>
        <w:t>项目敏感点分布图</w:t>
      </w:r>
    </w:p>
    <w:p>
      <w:pPr>
        <w:adjustRightInd w:val="0"/>
        <w:snapToGrid w:val="0"/>
        <w:ind w:firstLine="480"/>
        <w:rPr>
          <w:rFonts w:eastAsiaTheme="minorEastAsia"/>
        </w:rPr>
      </w:pPr>
    </w:p>
    <w:p>
      <w:pPr>
        <w:ind w:left="480" w:firstLine="0" w:firstLineChars="0"/>
        <w:rPr>
          <w:rFonts w:eastAsiaTheme="minorEastAsia"/>
        </w:rPr>
        <w:sectPr>
          <w:pgSz w:w="16838" w:h="11906" w:orient="landscape"/>
          <w:pgMar w:top="1418" w:right="1418" w:bottom="1418" w:left="1418" w:header="851" w:footer="992" w:gutter="0"/>
          <w:cols w:space="0" w:num="1"/>
          <w:docGrid w:linePitch="326" w:charSpace="0"/>
        </w:sectPr>
      </w:pPr>
    </w:p>
    <w:p>
      <w:pPr>
        <w:pStyle w:val="3"/>
        <w:rPr>
          <w:rFonts w:eastAsiaTheme="minorEastAsia"/>
        </w:rPr>
      </w:pPr>
      <w:bookmarkStart w:id="147" w:name="_Toc3538777"/>
      <w:bookmarkStart w:id="148" w:name="_Hlk530409140"/>
      <w:r>
        <w:rPr>
          <w:rFonts w:hint="eastAsia" w:eastAsiaTheme="minorEastAsia"/>
        </w:rPr>
        <w:t>建设项目工程分析</w:t>
      </w:r>
      <w:bookmarkEnd w:id="147"/>
    </w:p>
    <w:p>
      <w:pPr>
        <w:pStyle w:val="4"/>
      </w:pPr>
      <w:bookmarkStart w:id="149" w:name="_Toc3538778"/>
      <w:r>
        <w:rPr>
          <w:rFonts w:hint="eastAsia"/>
        </w:rPr>
        <w:t>建设项目概况</w:t>
      </w:r>
      <w:bookmarkEnd w:id="149"/>
    </w:p>
    <w:p>
      <w:pPr>
        <w:pStyle w:val="5"/>
      </w:pPr>
      <w:r>
        <w:rPr>
          <w:rFonts w:hint="eastAsia"/>
        </w:rPr>
        <w:t>项目基本情况</w:t>
      </w:r>
    </w:p>
    <w:p>
      <w:pPr>
        <w:ind w:firstLine="480"/>
        <w:rPr>
          <w:rFonts w:cs="Times New Roman" w:eastAsiaTheme="minorEastAsia"/>
        </w:rPr>
      </w:pPr>
      <w:r>
        <w:rPr>
          <w:rFonts w:cs="Times New Roman" w:eastAsiaTheme="minorEastAsia"/>
        </w:rPr>
        <w:t>项目名称：</w:t>
      </w:r>
      <w:bookmarkStart w:id="150" w:name="_Hlk12277249"/>
      <w:r>
        <w:rPr>
          <w:rFonts w:hint="eastAsia" w:cs="Times New Roman" w:eastAsiaTheme="minorEastAsia"/>
        </w:rPr>
        <w:t>开平市骑达橡胶制品厂年产</w:t>
      </w:r>
      <w:r>
        <w:rPr>
          <w:rFonts w:cs="Times New Roman" w:eastAsiaTheme="minorEastAsia"/>
        </w:rPr>
        <w:t>8</w:t>
      </w:r>
      <w:r>
        <w:rPr>
          <w:rFonts w:hint="eastAsia" w:cs="Times New Roman" w:eastAsiaTheme="minorEastAsia"/>
        </w:rPr>
        <w:t>00万个橡胶制品项目</w:t>
      </w:r>
      <w:bookmarkEnd w:id="150"/>
    </w:p>
    <w:p>
      <w:pPr>
        <w:ind w:firstLine="480"/>
        <w:rPr>
          <w:rFonts w:cs="Times New Roman" w:eastAsiaTheme="minorEastAsia"/>
        </w:rPr>
      </w:pPr>
      <w:r>
        <w:rPr>
          <w:rFonts w:cs="Times New Roman" w:eastAsiaTheme="minorEastAsia"/>
        </w:rPr>
        <w:t>建设单位：</w:t>
      </w:r>
      <w:r>
        <w:rPr>
          <w:rFonts w:hint="eastAsia" w:cs="Times New Roman" w:eastAsiaTheme="minorEastAsia"/>
        </w:rPr>
        <w:t>开平市骑达橡胶制品厂</w:t>
      </w:r>
    </w:p>
    <w:p>
      <w:pPr>
        <w:ind w:firstLine="480"/>
        <w:rPr>
          <w:rFonts w:cs="Times New Roman" w:eastAsiaTheme="minorEastAsia"/>
        </w:rPr>
      </w:pPr>
      <w:r>
        <w:rPr>
          <w:rFonts w:hint="eastAsia" w:cs="Times New Roman" w:eastAsiaTheme="minorEastAsia"/>
        </w:rPr>
        <w:t>建设</w:t>
      </w:r>
      <w:r>
        <w:rPr>
          <w:rFonts w:cs="Times New Roman" w:eastAsiaTheme="minorEastAsia"/>
        </w:rPr>
        <w:t>性质：新建</w:t>
      </w:r>
      <w:r>
        <w:rPr>
          <w:rFonts w:hint="eastAsia" w:cs="Times New Roman" w:eastAsiaTheme="minorEastAsia"/>
        </w:rPr>
        <w:t>（已投产，补办环评手续）</w:t>
      </w:r>
    </w:p>
    <w:p>
      <w:pPr>
        <w:ind w:firstLine="480"/>
        <w:rPr>
          <w:rFonts w:cs="Times New Roman" w:eastAsiaTheme="minorEastAsia"/>
        </w:rPr>
      </w:pPr>
      <w:r>
        <w:rPr>
          <w:rFonts w:cs="Times New Roman" w:eastAsiaTheme="minorEastAsia"/>
        </w:rPr>
        <w:t>建设地点：</w:t>
      </w:r>
      <w:bookmarkStart w:id="151" w:name="_Hlk12277269"/>
      <w:r>
        <w:rPr>
          <w:rFonts w:hint="eastAsia" w:cs="Times New Roman" w:eastAsiaTheme="minorEastAsia"/>
        </w:rPr>
        <w:t>开平市苍城镇西郊工业园三区7号</w:t>
      </w:r>
      <w:bookmarkEnd w:id="151"/>
      <w:r>
        <w:rPr>
          <w:rFonts w:cs="Times New Roman" w:eastAsiaTheme="minorEastAsia"/>
        </w:rPr>
        <w:t>，中心地理坐标</w:t>
      </w:r>
      <w:r>
        <w:rPr>
          <w:rFonts w:hint="eastAsia" w:cs="Times New Roman" w:eastAsiaTheme="minorEastAsia"/>
        </w:rPr>
        <w:t>为：N</w:t>
      </w:r>
      <w:r>
        <w:rPr>
          <w:rFonts w:cs="Times New Roman" w:eastAsiaTheme="minorEastAsia"/>
        </w:rPr>
        <w:t>22.478245</w:t>
      </w:r>
      <w:r>
        <w:rPr>
          <w:rFonts w:hint="eastAsia" w:cs="Times New Roman" w:eastAsiaTheme="minorEastAsia"/>
        </w:rPr>
        <w:t>，E</w:t>
      </w:r>
      <w:r>
        <w:rPr>
          <w:rFonts w:cs="Times New Roman" w:eastAsiaTheme="minorEastAsia"/>
        </w:rPr>
        <w:t>112.546917</w:t>
      </w:r>
      <w:r>
        <w:rPr>
          <w:rFonts w:hint="eastAsia" w:cs="Times New Roman" w:eastAsiaTheme="minorEastAsia"/>
        </w:rPr>
        <w:t>（北纬</w:t>
      </w:r>
      <w:r>
        <w:rPr>
          <w:rFonts w:cs="Times New Roman" w:eastAsiaTheme="minorEastAsia"/>
        </w:rPr>
        <w:t>22°28'41.68"</w:t>
      </w:r>
      <w:r>
        <w:rPr>
          <w:rFonts w:cs="Arial" w:eastAsiaTheme="minorEastAsia"/>
        </w:rPr>
        <w:t>，东经</w:t>
      </w:r>
      <w:r>
        <w:rPr>
          <w:rFonts w:hint="eastAsia" w:cs="Arial" w:eastAsiaTheme="minorEastAsia"/>
        </w:rPr>
        <w:t xml:space="preserve"> </w:t>
      </w:r>
      <w:r>
        <w:rPr>
          <w:rFonts w:cs="Arial" w:eastAsiaTheme="minorEastAsia"/>
        </w:rPr>
        <w:t>112°32'48.90"</w:t>
      </w:r>
      <w:r>
        <w:rPr>
          <w:rFonts w:hint="eastAsia" w:cs="Times New Roman" w:eastAsiaTheme="minorEastAsia"/>
        </w:rPr>
        <w:t>）。</w:t>
      </w:r>
    </w:p>
    <w:p>
      <w:pPr>
        <w:ind w:firstLine="480"/>
        <w:rPr>
          <w:rFonts w:cs="Times New Roman" w:eastAsiaTheme="minorEastAsia"/>
        </w:rPr>
      </w:pPr>
      <w:r>
        <w:rPr>
          <w:rFonts w:cs="Times New Roman" w:eastAsiaTheme="minorEastAsia"/>
        </w:rPr>
        <w:t>行业类别：C2913</w:t>
      </w:r>
      <w:r>
        <w:rPr>
          <w:rFonts w:hint="eastAsia" w:cs="Times New Roman" w:eastAsiaTheme="minorEastAsia"/>
        </w:rPr>
        <w:t>橡胶零件制造</w:t>
      </w:r>
    </w:p>
    <w:p>
      <w:pPr>
        <w:ind w:firstLine="480"/>
        <w:rPr>
          <w:rFonts w:cs="Times New Roman" w:eastAsiaTheme="minorEastAsia"/>
        </w:rPr>
      </w:pPr>
      <w:r>
        <w:rPr>
          <w:rFonts w:cs="Times New Roman" w:eastAsiaTheme="minorEastAsia"/>
        </w:rPr>
        <w:t>法人代表：</w:t>
      </w:r>
      <w:r>
        <w:rPr>
          <w:rFonts w:hint="eastAsia"/>
        </w:rPr>
        <w:t>戚焕渠</w:t>
      </w:r>
    </w:p>
    <w:p>
      <w:pPr>
        <w:adjustRightInd w:val="0"/>
        <w:snapToGrid w:val="0"/>
        <w:ind w:firstLine="480"/>
        <w:rPr>
          <w:rFonts w:cs="Times New Roman" w:eastAsiaTheme="minorEastAsia"/>
        </w:rPr>
      </w:pPr>
      <w:r>
        <w:rPr>
          <w:rFonts w:cs="Times New Roman" w:eastAsiaTheme="minorEastAsia"/>
        </w:rPr>
        <w:t>工程规模：</w:t>
      </w:r>
      <w:bookmarkStart w:id="152" w:name="_Hlk12277300"/>
      <w:r>
        <w:rPr>
          <w:rFonts w:cs="Times New Roman" w:eastAsiaTheme="minorEastAsia"/>
        </w:rPr>
        <w:t>项目总占地面积</w:t>
      </w:r>
      <w:bookmarkStart w:id="153" w:name="_Hlk10715126"/>
      <w:r>
        <w:rPr>
          <w:rFonts w:hint="eastAsia"/>
        </w:rPr>
        <w:t>1266.7</w:t>
      </w:r>
      <w:bookmarkEnd w:id="153"/>
      <w:r>
        <w:rPr>
          <w:rFonts w:hint="eastAsia" w:cs="Times New Roman" w:eastAsiaTheme="minorEastAsia"/>
        </w:rPr>
        <w:t>m</w:t>
      </w:r>
      <w:r>
        <w:rPr>
          <w:rFonts w:hint="eastAsia" w:cs="Times New Roman" w:eastAsiaTheme="minorEastAsia"/>
          <w:vertAlign w:val="superscript"/>
        </w:rPr>
        <w:t>2</w:t>
      </w:r>
      <w:r>
        <w:rPr>
          <w:rFonts w:hint="eastAsia" w:cs="Times New Roman" w:eastAsiaTheme="minorEastAsia"/>
        </w:rPr>
        <w:t>，建筑面积</w:t>
      </w:r>
      <w:r>
        <w:rPr>
          <w:rFonts w:hint="eastAsia"/>
        </w:rPr>
        <w:t>1040</w:t>
      </w:r>
      <w:r>
        <w:rPr>
          <w:rFonts w:hint="eastAsia" w:cs="Times New Roman" w:eastAsiaTheme="minorEastAsia"/>
        </w:rPr>
        <w:t>m</w:t>
      </w:r>
      <w:r>
        <w:rPr>
          <w:rFonts w:cs="Times New Roman" w:eastAsiaTheme="minorEastAsia"/>
          <w:vertAlign w:val="superscript"/>
        </w:rPr>
        <w:t>2</w:t>
      </w:r>
      <w:bookmarkEnd w:id="152"/>
      <w:r>
        <w:rPr>
          <w:rFonts w:hint="eastAsia" w:cs="Times New Roman" w:eastAsiaTheme="minorEastAsia"/>
        </w:rPr>
        <w:t>。</w:t>
      </w:r>
    </w:p>
    <w:p>
      <w:pPr>
        <w:ind w:firstLine="480"/>
        <w:rPr>
          <w:rFonts w:cs="Times New Roman" w:eastAsiaTheme="minorEastAsia"/>
        </w:rPr>
      </w:pPr>
      <w:r>
        <w:rPr>
          <w:rFonts w:hint="eastAsia" w:cs="Times New Roman" w:eastAsiaTheme="minorEastAsia"/>
        </w:rPr>
        <w:t>生产规模：</w:t>
      </w:r>
      <w:r>
        <w:rPr>
          <w:rFonts w:cs="Times New Roman" w:eastAsiaTheme="minorEastAsia"/>
        </w:rPr>
        <w:t>年产</w:t>
      </w:r>
      <w:r>
        <w:rPr>
          <w:rFonts w:hint="eastAsia" w:cs="Times New Roman" w:eastAsiaTheme="minorEastAsia"/>
        </w:rPr>
        <w:t>橡胶脚轮</w:t>
      </w:r>
      <w:r>
        <w:rPr>
          <w:rFonts w:cs="Times New Roman" w:eastAsiaTheme="minorEastAsia"/>
        </w:rPr>
        <w:t>800</w:t>
      </w:r>
      <w:r>
        <w:rPr>
          <w:rFonts w:hint="eastAsia" w:cs="Times New Roman" w:eastAsiaTheme="minorEastAsia"/>
        </w:rPr>
        <w:t>万个</w:t>
      </w:r>
      <w:r>
        <w:rPr>
          <w:rFonts w:cs="Times New Roman" w:eastAsiaTheme="minorEastAsia"/>
        </w:rPr>
        <w:t>。</w:t>
      </w:r>
    </w:p>
    <w:p>
      <w:pPr>
        <w:ind w:firstLine="480"/>
        <w:rPr>
          <w:rFonts w:cs="Times New Roman" w:eastAsiaTheme="minorEastAsia"/>
        </w:rPr>
      </w:pPr>
      <w:r>
        <w:rPr>
          <w:rFonts w:hint="eastAsia" w:cs="Times New Roman" w:eastAsiaTheme="minorEastAsia"/>
        </w:rPr>
        <w:t>劳动定员：全厂共有员工</w:t>
      </w:r>
      <w:r>
        <w:rPr>
          <w:rFonts w:cs="Times New Roman" w:eastAsiaTheme="minorEastAsia"/>
        </w:rPr>
        <w:t>30</w:t>
      </w:r>
      <w:r>
        <w:rPr>
          <w:rFonts w:hint="eastAsia" w:cs="Times New Roman" w:eastAsiaTheme="minorEastAsia"/>
        </w:rPr>
        <w:t>人</w:t>
      </w:r>
      <w:r>
        <w:rPr>
          <w:rFonts w:eastAsiaTheme="minorEastAsia"/>
        </w:rPr>
        <w:t>，</w:t>
      </w:r>
      <w:r>
        <w:rPr>
          <w:rFonts w:hint="eastAsia" w:eastAsiaTheme="minorEastAsia"/>
        </w:rPr>
        <w:t>均不在厂内食宿</w:t>
      </w:r>
      <w:r>
        <w:rPr>
          <w:rFonts w:eastAsiaTheme="minorEastAsia"/>
        </w:rPr>
        <w:t>。</w:t>
      </w:r>
    </w:p>
    <w:p>
      <w:pPr>
        <w:ind w:firstLine="480"/>
        <w:rPr>
          <w:rFonts w:eastAsiaTheme="minorEastAsia"/>
        </w:rPr>
      </w:pPr>
      <w:r>
        <w:rPr>
          <w:rFonts w:hint="eastAsia" w:eastAsiaTheme="minorEastAsia"/>
        </w:rPr>
        <w:t>生产制度：正常生产为一班制，每班8小时，全年有效工作日约</w:t>
      </w:r>
      <w:r>
        <w:rPr>
          <w:rFonts w:eastAsiaTheme="minorEastAsia"/>
        </w:rPr>
        <w:t>30</w:t>
      </w:r>
      <w:r>
        <w:rPr>
          <w:rFonts w:hint="eastAsia" w:eastAsiaTheme="minorEastAsia"/>
        </w:rPr>
        <w:t>0天。</w:t>
      </w:r>
    </w:p>
    <w:p>
      <w:pPr>
        <w:ind w:firstLine="480"/>
        <w:rPr>
          <w:rFonts w:cs="Times New Roman" w:eastAsiaTheme="minorEastAsia"/>
        </w:rPr>
      </w:pPr>
      <w:r>
        <w:rPr>
          <w:rFonts w:cs="Times New Roman" w:eastAsiaTheme="minorEastAsia"/>
        </w:rPr>
        <w:t>投资总额：200</w:t>
      </w:r>
      <w:r>
        <w:rPr>
          <w:rFonts w:hint="eastAsia" w:cs="Times New Roman" w:eastAsiaTheme="minorEastAsia"/>
        </w:rPr>
        <w:t>万元</w:t>
      </w:r>
      <w:r>
        <w:rPr>
          <w:rFonts w:cs="Times New Roman" w:eastAsiaTheme="minorEastAsia"/>
        </w:rPr>
        <w:t>人民币，其中环保投资30万元</w:t>
      </w:r>
      <w:r>
        <w:rPr>
          <w:rFonts w:hint="eastAsia" w:cs="Times New Roman" w:eastAsiaTheme="minorEastAsia"/>
        </w:rPr>
        <w:t>，环保投资比例为</w:t>
      </w:r>
      <w:r>
        <w:rPr>
          <w:rFonts w:cs="Times New Roman" w:eastAsiaTheme="minorEastAsia"/>
        </w:rPr>
        <w:t>15%。</w:t>
      </w:r>
    </w:p>
    <w:p>
      <w:pPr>
        <w:ind w:firstLine="480"/>
        <w:rPr>
          <w:rFonts w:cs="Times New Roman" w:eastAsiaTheme="minorEastAsia"/>
        </w:rPr>
      </w:pPr>
      <w:r>
        <w:rPr>
          <w:rFonts w:hint="eastAsia" w:cs="Times New Roman" w:eastAsiaTheme="minorEastAsia"/>
        </w:rPr>
        <w:t>建设周期：厂房及配套设备设施已建成，不另外新建厂房。</w:t>
      </w:r>
    </w:p>
    <w:p>
      <w:pPr>
        <w:ind w:firstLine="480"/>
        <w:rPr>
          <w:rFonts w:eastAsiaTheme="minorEastAsia"/>
        </w:rPr>
      </w:pPr>
      <w:bookmarkStart w:id="154" w:name="_Toc331536127"/>
      <w:r>
        <w:rPr>
          <w:rFonts w:hint="eastAsia" w:cs="Times New Roman" w:eastAsiaTheme="minorEastAsia"/>
        </w:rPr>
        <w:t>项目四至情况：厂区用地西北面42</w:t>
      </w:r>
      <w:r>
        <w:rPr>
          <w:rFonts w:cs="Times New Roman" w:eastAsiaTheme="minorEastAsia"/>
        </w:rPr>
        <w:t>0</w:t>
      </w:r>
      <w:r>
        <w:rPr>
          <w:rFonts w:hint="eastAsia" w:cs="Times New Roman" w:eastAsiaTheme="minorEastAsia"/>
        </w:rPr>
        <w:t>m处为</w:t>
      </w:r>
      <w:r>
        <w:rPr>
          <w:rFonts w:cs="Times New Roman" w:eastAsiaTheme="minorEastAsia"/>
        </w:rPr>
        <w:t>X561</w:t>
      </w:r>
      <w:r>
        <w:rPr>
          <w:rFonts w:hint="eastAsia" w:cs="Times New Roman" w:eastAsiaTheme="minorEastAsia"/>
        </w:rPr>
        <w:t>县道，北面为空地，西面为联丰路，西面隔联丰路为</w:t>
      </w:r>
      <w:r>
        <w:rPr>
          <w:rFonts w:hint="eastAsia"/>
          <w:szCs w:val="21"/>
        </w:rPr>
        <w:t>开平市苍城镇永高五金橡胶制品厂</w:t>
      </w:r>
      <w:r>
        <w:rPr>
          <w:rFonts w:hint="eastAsia" w:cs="Times New Roman" w:eastAsiaTheme="minorEastAsia"/>
        </w:rPr>
        <w:t>，南面为成业路，南面隔着成业路为空置厂房和空地、农田，东面为空置厂房，隔空置厂房为</w:t>
      </w:r>
      <w:r>
        <w:rPr>
          <w:rFonts w:hint="eastAsia"/>
          <w:szCs w:val="21"/>
        </w:rPr>
        <w:t>富邦木业</w:t>
      </w:r>
      <w:r>
        <w:rPr>
          <w:rFonts w:hint="eastAsia" w:cs="Times New Roman" w:eastAsiaTheme="minorEastAsia"/>
        </w:rPr>
        <w:t>。</w:t>
      </w:r>
      <w:r>
        <w:rPr>
          <w:rFonts w:eastAsiaTheme="minorEastAsia"/>
        </w:rPr>
        <w:t>距离</w:t>
      </w:r>
      <w:r>
        <w:rPr>
          <w:rFonts w:hint="eastAsia" w:eastAsiaTheme="minorEastAsia"/>
        </w:rPr>
        <w:t>项目</w:t>
      </w:r>
      <w:r>
        <w:rPr>
          <w:rFonts w:eastAsiaTheme="minorEastAsia"/>
        </w:rPr>
        <w:t>最近</w:t>
      </w:r>
      <w:r>
        <w:rPr>
          <w:rFonts w:hint="eastAsia" w:eastAsiaTheme="minorEastAsia"/>
        </w:rPr>
        <w:t>的居住集中区为</w:t>
      </w:r>
      <w:r>
        <w:rPr>
          <w:rFonts w:hint="eastAsia"/>
        </w:rPr>
        <w:t>下莲塘（厂区西南侧约</w:t>
      </w:r>
      <w:r>
        <w:t>320</w:t>
      </w:r>
      <w:r>
        <w:rPr>
          <w:rFonts w:hint="eastAsia"/>
        </w:rPr>
        <w:t>m）、上莲塘（厂区西南侧约</w:t>
      </w:r>
      <w:r>
        <w:t>920</w:t>
      </w:r>
      <w:r>
        <w:rPr>
          <w:rFonts w:hint="eastAsia"/>
        </w:rPr>
        <w:t>m）和三村（厂区东侧约</w:t>
      </w:r>
      <w:r>
        <w:t>910</w:t>
      </w:r>
      <w:r>
        <w:rPr>
          <w:rFonts w:hint="eastAsia"/>
        </w:rPr>
        <w:t>m）、上湾（厂区东侧约</w:t>
      </w:r>
      <w:r>
        <w:t>915</w:t>
      </w:r>
      <w:r>
        <w:rPr>
          <w:rFonts w:hint="eastAsia"/>
        </w:rPr>
        <w:t>m）</w:t>
      </w:r>
      <w:r>
        <w:rPr>
          <w:rFonts w:hint="eastAsia" w:eastAsiaTheme="minorEastAsia"/>
        </w:rPr>
        <w:t>。项目所在区域为开平市苍城污水处理厂纳污范围，目前该污水处理厂及配套管网已经投产运行。</w:t>
      </w:r>
    </w:p>
    <w:p>
      <w:pPr>
        <w:ind w:firstLine="480"/>
        <w:rPr>
          <w:rFonts w:eastAsiaTheme="minorEastAsia"/>
        </w:rPr>
      </w:pPr>
      <w:r>
        <w:rPr>
          <w:rFonts w:hint="eastAsia" w:eastAsiaTheme="minorEastAsia"/>
        </w:rPr>
        <w:t>项目</w:t>
      </w:r>
      <w:r>
        <w:rPr>
          <w:rFonts w:cs="Times New Roman" w:eastAsiaTheme="minorEastAsia"/>
        </w:rPr>
        <w:t>地理位置见</w:t>
      </w:r>
      <w:r>
        <w:rPr>
          <w:rFonts w:cs="Times New Roman" w:eastAsiaTheme="minorEastAsia"/>
        </w:rPr>
        <w:fldChar w:fldCharType="begin"/>
      </w:r>
      <w:r>
        <w:rPr>
          <w:rFonts w:cs="Times New Roman" w:eastAsiaTheme="minorEastAsia"/>
        </w:rPr>
        <w:instrText xml:space="preserve"> REF _Ref529743729 \h  \* MERGEFORMAT </w:instrText>
      </w:r>
      <w:r>
        <w:rPr>
          <w:rFonts w:cs="Times New Roman" w:eastAsiaTheme="minorEastAsia"/>
        </w:rPr>
        <w:fldChar w:fldCharType="separate"/>
      </w:r>
      <w:r>
        <w:rPr>
          <w:rFonts w:hint="eastAsia"/>
        </w:rPr>
        <w:t xml:space="preserve">图 </w:t>
      </w:r>
      <w:r>
        <w:t>1</w:t>
      </w:r>
      <w:r>
        <w:rPr>
          <w:rFonts w:cs="Times New Roman" w:eastAsiaTheme="minorEastAsia"/>
        </w:rPr>
        <w:fldChar w:fldCharType="end"/>
      </w:r>
      <w:r>
        <w:rPr>
          <w:rFonts w:hint="eastAsia" w:eastAsiaTheme="minorEastAsia"/>
        </w:rPr>
        <w:t>，四至情况见</w:t>
      </w:r>
      <w:r>
        <w:rPr>
          <w:rFonts w:eastAsiaTheme="minorEastAsia"/>
        </w:rPr>
        <w:fldChar w:fldCharType="begin"/>
      </w:r>
      <w:r>
        <w:rPr>
          <w:rFonts w:eastAsiaTheme="minorEastAsia"/>
        </w:rPr>
        <w:instrText xml:space="preserve"> </w:instrText>
      </w:r>
      <w:r>
        <w:rPr>
          <w:rFonts w:hint="eastAsia" w:eastAsiaTheme="minorEastAsia"/>
        </w:rPr>
        <w:instrText xml:space="preserve">REF _Ref522453827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2.1</w:t>
      </w:r>
      <w:r>
        <w:rPr>
          <w:rFonts w:eastAsiaTheme="minorEastAsia"/>
        </w:rPr>
        <w:noBreakHyphen/>
      </w:r>
      <w:r>
        <w:rPr>
          <w:rFonts w:eastAsiaTheme="minorEastAsia"/>
        </w:rPr>
        <w:t>1</w:t>
      </w:r>
      <w:r>
        <w:rPr>
          <w:rFonts w:eastAsiaTheme="minorEastAsia"/>
        </w:rPr>
        <w:fldChar w:fldCharType="end"/>
      </w:r>
      <w:r>
        <w:rPr>
          <w:rFonts w:hint="eastAsia" w:eastAsiaTheme="minorEastAsia"/>
        </w:rPr>
        <w:t>，现场勘察照片见</w:t>
      </w:r>
      <w:r>
        <w:rPr>
          <w:rFonts w:eastAsiaTheme="minorEastAsia"/>
        </w:rPr>
        <w:fldChar w:fldCharType="begin"/>
      </w:r>
      <w:r>
        <w:rPr>
          <w:rFonts w:eastAsiaTheme="minorEastAsia"/>
        </w:rPr>
        <w:instrText xml:space="preserve"> </w:instrText>
      </w:r>
      <w:r>
        <w:rPr>
          <w:rFonts w:hint="eastAsia" w:eastAsiaTheme="minorEastAsia"/>
        </w:rPr>
        <w:instrText xml:space="preserve">REF _Ref522699646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2.1</w:t>
      </w:r>
      <w:r>
        <w:rPr>
          <w:rFonts w:eastAsiaTheme="minorEastAsia"/>
        </w:rPr>
        <w:noBreakHyphen/>
      </w:r>
      <w:r>
        <w:rPr>
          <w:rFonts w:eastAsiaTheme="minorEastAsia"/>
        </w:rPr>
        <w:t>2</w:t>
      </w:r>
      <w:r>
        <w:rPr>
          <w:rFonts w:eastAsiaTheme="minorEastAsia"/>
        </w:rPr>
        <w:fldChar w:fldCharType="end"/>
      </w:r>
      <w:r>
        <w:rPr>
          <w:rFonts w:hint="eastAsia" w:eastAsiaTheme="minorEastAsia"/>
        </w:rPr>
        <w:t>。</w:t>
      </w:r>
    </w:p>
    <w:p>
      <w:pPr>
        <w:pStyle w:val="107"/>
      </w:pPr>
    </w:p>
    <w:bookmarkEnd w:id="154"/>
    <w:p>
      <w:pPr>
        <w:pStyle w:val="8"/>
        <w:rPr>
          <w:rFonts w:eastAsiaTheme="minorEastAsia"/>
        </w:rPr>
        <w:sectPr>
          <w:pgSz w:w="11906" w:h="16838"/>
          <w:pgMar w:top="1418" w:right="1418" w:bottom="1418" w:left="1418" w:header="851" w:footer="992" w:gutter="0"/>
          <w:cols w:space="0" w:num="1"/>
          <w:docGrid w:linePitch="326" w:charSpace="0"/>
        </w:sectPr>
      </w:pPr>
    </w:p>
    <w:p>
      <w:pPr>
        <w:pStyle w:val="107"/>
      </w:pPr>
      <w:r>
        <w:drawing>
          <wp:inline distT="0" distB="0" distL="0" distR="0">
            <wp:extent cx="8891270" cy="4404360"/>
            <wp:effectExtent l="0" t="0" r="508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40"/>
                    <a:stretch>
                      <a:fillRect/>
                    </a:stretch>
                  </pic:blipFill>
                  <pic:spPr>
                    <a:xfrm>
                      <a:off x="0" y="0"/>
                      <a:ext cx="8891270" cy="4404360"/>
                    </a:xfrm>
                    <a:prstGeom prst="rect">
                      <a:avLst/>
                    </a:prstGeom>
                  </pic:spPr>
                </pic:pic>
              </a:graphicData>
            </a:graphic>
          </wp:inline>
        </w:drawing>
      </w:r>
      <w:r>
        <mc:AlternateContent>
          <mc:Choice Requires="wps">
            <w:drawing>
              <wp:anchor distT="0" distB="0" distL="114300" distR="114300" simplePos="0" relativeHeight="251470848" behindDoc="0" locked="0" layoutInCell="1" allowOverlap="1">
                <wp:simplePos x="0" y="0"/>
                <wp:positionH relativeFrom="column">
                  <wp:posOffset>7680960</wp:posOffset>
                </wp:positionH>
                <wp:positionV relativeFrom="paragraph">
                  <wp:posOffset>4445</wp:posOffset>
                </wp:positionV>
                <wp:extent cx="1228090" cy="1359535"/>
                <wp:effectExtent l="4445" t="4445" r="5715" b="7620"/>
                <wp:wrapNone/>
                <wp:docPr id="538" name="文本框 168"/>
                <wp:cNvGraphicFramePr/>
                <a:graphic xmlns:a="http://schemas.openxmlformats.org/drawingml/2006/main">
                  <a:graphicData uri="http://schemas.microsoft.com/office/word/2010/wordprocessingShape">
                    <wps:wsp>
                      <wps:cNvSpPr txBox="1"/>
                      <wps:spPr>
                        <a:xfrm>
                          <a:off x="0" y="0"/>
                          <a:ext cx="1228090" cy="13595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pPr>
                            <w:r>
                              <w:drawing>
                                <wp:inline distT="0" distB="0" distL="114300" distR="114300">
                                  <wp:extent cx="1104265" cy="1179195"/>
                                  <wp:effectExtent l="0" t="0" r="635" b="1905"/>
                                  <wp:docPr id="52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8"/>
                                          <pic:cNvPicPr>
                                            <a:picLocks noChangeAspect="1"/>
                                          </pic:cNvPicPr>
                                        </pic:nvPicPr>
                                        <pic:blipFill>
                                          <a:blip r:embed="rId26"/>
                                          <a:stretch>
                                            <a:fillRect/>
                                          </a:stretch>
                                        </pic:blipFill>
                                        <pic:spPr>
                                          <a:xfrm>
                                            <a:off x="0" y="0"/>
                                            <a:ext cx="1104265" cy="1179195"/>
                                          </a:xfrm>
                                          <a:prstGeom prst="rect">
                                            <a:avLst/>
                                          </a:prstGeom>
                                          <a:noFill/>
                                          <a:ln w="9525">
                                            <a:noFill/>
                                          </a:ln>
                                        </pic:spPr>
                                      </pic:pic>
                                    </a:graphicData>
                                  </a:graphic>
                                </wp:inline>
                              </w:drawing>
                            </w:r>
                          </w:p>
                        </w:txbxContent>
                      </wps:txbx>
                      <wps:bodyPr upright="1"/>
                    </wps:wsp>
                  </a:graphicData>
                </a:graphic>
              </wp:anchor>
            </w:drawing>
          </mc:Choice>
          <mc:Fallback>
            <w:pict>
              <v:shape id="文本框 168" o:spid="_x0000_s1026" o:spt="202" type="#_x0000_t202" style="position:absolute;left:0pt;margin-left:604.8pt;margin-top:0.35pt;height:107.05pt;width:96.7pt;z-index:251470848;mso-width-relative:page;mso-height-relative:page;" fillcolor="#FFFFFF" filled="t" stroked="t" coordsize="21600,21600" o:gfxdata="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ro2bI2AAAAAoBAAAPAAAAAAAAAAEAIAAAACIAAABkcnMvZG93bnJldi54bWxQSwEC&#10;FAAUAAAACACHTuJAoxbIcvQBAADtAwAADgAAAAAAAAABACAAAAAnAQAAZHJzL2Uyb0RvYy54bWxQ&#10;SwUGAAAAAAYABgBZAQAAjQUAAAAA&#10;">
                <v:fill on="t" focussize="0,0"/>
                <v:stroke color="#000000" joinstyle="miter"/>
                <v:imagedata o:title=""/>
                <o:lock v:ext="edit" aspectratio="f"/>
                <v:textbox>
                  <w:txbxContent>
                    <w:p>
                      <w:pPr>
                        <w:spacing w:line="240" w:lineRule="auto"/>
                        <w:ind w:firstLine="0" w:firstLineChars="0"/>
                      </w:pPr>
                      <w:r>
                        <w:drawing>
                          <wp:inline distT="0" distB="0" distL="114300" distR="114300">
                            <wp:extent cx="1104265" cy="1179195"/>
                            <wp:effectExtent l="0" t="0" r="635" b="1905"/>
                            <wp:docPr id="52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8"/>
                                    <pic:cNvPicPr>
                                      <a:picLocks noChangeAspect="1"/>
                                    </pic:cNvPicPr>
                                  </pic:nvPicPr>
                                  <pic:blipFill>
                                    <a:blip r:embed="rId26"/>
                                    <a:stretch>
                                      <a:fillRect/>
                                    </a:stretch>
                                  </pic:blipFill>
                                  <pic:spPr>
                                    <a:xfrm>
                                      <a:off x="0" y="0"/>
                                      <a:ext cx="1104265" cy="1179195"/>
                                    </a:xfrm>
                                    <a:prstGeom prst="rect">
                                      <a:avLst/>
                                    </a:prstGeom>
                                    <a:noFill/>
                                    <a:ln w="9525">
                                      <a:noFill/>
                                    </a:ln>
                                  </pic:spPr>
                                </pic:pic>
                              </a:graphicData>
                            </a:graphic>
                          </wp:inline>
                        </w:drawing>
                      </w:r>
                    </w:p>
                  </w:txbxContent>
                </v:textbox>
              </v:shape>
            </w:pict>
          </mc:Fallback>
        </mc:AlternateContent>
      </w:r>
    </w:p>
    <w:p>
      <w:pPr>
        <w:pStyle w:val="18"/>
      </w:pPr>
      <w:bookmarkStart w:id="155" w:name="_Ref522453827"/>
      <w:bookmarkStart w:id="156" w:name="_Ref527960014"/>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bookmarkEnd w:id="155"/>
      <w:r>
        <w:rPr>
          <w:rFonts w:hint="eastAsia"/>
        </w:rPr>
        <w:t>项目四至图</w:t>
      </w:r>
      <w:bookmarkEnd w:id="156"/>
    </w:p>
    <w:p>
      <w:pPr>
        <w:ind w:firstLine="480"/>
        <w:rPr>
          <w:rFonts w:eastAsiaTheme="minorEastAsia"/>
        </w:rPr>
        <w:sectPr>
          <w:pgSz w:w="16838" w:h="11906" w:orient="landscape"/>
          <w:pgMar w:top="1418" w:right="1418" w:bottom="1418" w:left="1418" w:header="851" w:footer="992" w:gutter="0"/>
          <w:cols w:space="720" w:num="1"/>
          <w:docGrid w:linePitch="326" w:charSpace="0"/>
        </w:sectPr>
      </w:pPr>
    </w:p>
    <w:p>
      <w:pPr>
        <w:ind w:firstLine="480"/>
        <w:rPr>
          <w:rFonts w:eastAsiaTheme="minorEastAsia"/>
        </w:rPr>
      </w:pPr>
      <w:bookmarkStart w:id="157" w:name="_Toc293409684"/>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0"/>
        <w:gridCol w:w="4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0" w:type="dxa"/>
            <w:shd w:val="clear" w:color="auto" w:fill="auto"/>
            <w:vAlign w:val="center"/>
          </w:tcPr>
          <w:p>
            <w:pPr>
              <w:pStyle w:val="107"/>
            </w:pPr>
            <w:r>
              <w:drawing>
                <wp:inline distT="0" distB="0" distL="0" distR="0">
                  <wp:extent cx="2648585" cy="2164715"/>
                  <wp:effectExtent l="0" t="0" r="0"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1888595" cy="1543199"/>
                          </a:xfrm>
                          <a:prstGeom prst="rect">
                            <a:avLst/>
                          </a:prstGeom>
                          <a:noFill/>
                          <a:ln>
                            <a:noFill/>
                          </a:ln>
                        </pic:spPr>
                      </pic:pic>
                    </a:graphicData>
                  </a:graphic>
                </wp:inline>
              </w:drawing>
            </w:r>
          </w:p>
        </w:tc>
        <w:tc>
          <w:tcPr>
            <w:tcW w:w="4530" w:type="dxa"/>
            <w:shd w:val="clear" w:color="auto" w:fill="auto"/>
            <w:vAlign w:val="center"/>
          </w:tcPr>
          <w:p>
            <w:pPr>
              <w:pStyle w:val="107"/>
            </w:pPr>
            <w:r>
              <w:drawing>
                <wp:inline distT="0" distB="0" distL="0" distR="0">
                  <wp:extent cx="2698750" cy="213042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802768" cy="1423339"/>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0" w:type="dxa"/>
            <w:shd w:val="clear" w:color="auto" w:fill="auto"/>
            <w:vAlign w:val="center"/>
          </w:tcPr>
          <w:p>
            <w:pPr>
              <w:pStyle w:val="107"/>
            </w:pPr>
            <w:r>
              <w:rPr>
                <w:rFonts w:hint="eastAsia"/>
              </w:rPr>
              <w:t>北面</w:t>
            </w:r>
          </w:p>
        </w:tc>
        <w:tc>
          <w:tcPr>
            <w:tcW w:w="4530" w:type="dxa"/>
            <w:shd w:val="clear" w:color="auto" w:fill="auto"/>
            <w:vAlign w:val="center"/>
          </w:tcPr>
          <w:p>
            <w:pPr>
              <w:pStyle w:val="107"/>
            </w:pPr>
            <w:r>
              <w:rPr>
                <w:rFonts w:hint="eastAsia"/>
              </w:rPr>
              <w:t>东面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0" w:type="dxa"/>
            <w:shd w:val="clear" w:color="auto" w:fill="auto"/>
            <w:vAlign w:val="center"/>
          </w:tcPr>
          <w:p>
            <w:pPr>
              <w:pStyle w:val="107"/>
            </w:pPr>
            <w:r>
              <w:drawing>
                <wp:inline distT="0" distB="0" distL="0" distR="0">
                  <wp:extent cx="2655570" cy="1925320"/>
                  <wp:effectExtent l="0" t="0" r="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1822858" cy="1321384"/>
                          </a:xfrm>
                          <a:prstGeom prst="rect">
                            <a:avLst/>
                          </a:prstGeom>
                          <a:noFill/>
                          <a:ln>
                            <a:noFill/>
                          </a:ln>
                        </pic:spPr>
                      </pic:pic>
                    </a:graphicData>
                  </a:graphic>
                </wp:inline>
              </w:drawing>
            </w:r>
          </w:p>
        </w:tc>
        <w:tc>
          <w:tcPr>
            <w:tcW w:w="4530" w:type="dxa"/>
            <w:shd w:val="clear" w:color="auto" w:fill="auto"/>
            <w:vAlign w:val="center"/>
          </w:tcPr>
          <w:p>
            <w:pPr>
              <w:pStyle w:val="107"/>
            </w:pPr>
            <w:r>
              <w:drawing>
                <wp:inline distT="0" distB="0" distL="0" distR="0">
                  <wp:extent cx="2227580" cy="214693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439837" cy="2350911"/>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0" w:type="dxa"/>
            <w:shd w:val="clear" w:color="auto" w:fill="auto"/>
            <w:vAlign w:val="center"/>
          </w:tcPr>
          <w:p>
            <w:pPr>
              <w:pStyle w:val="107"/>
            </w:pPr>
            <w:r>
              <w:rPr>
                <w:rFonts w:hint="eastAsia"/>
              </w:rPr>
              <w:t>东南面</w:t>
            </w:r>
          </w:p>
        </w:tc>
        <w:tc>
          <w:tcPr>
            <w:tcW w:w="4530" w:type="dxa"/>
            <w:shd w:val="clear" w:color="auto" w:fill="auto"/>
            <w:vAlign w:val="center"/>
          </w:tcPr>
          <w:p>
            <w:pPr>
              <w:pStyle w:val="107"/>
            </w:pPr>
            <w:r>
              <w:rPr>
                <w:rFonts w:hint="eastAsia"/>
              </w:rPr>
              <w:t>南面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0" w:type="dxa"/>
            <w:shd w:val="clear" w:color="auto" w:fill="auto"/>
            <w:vAlign w:val="center"/>
          </w:tcPr>
          <w:p>
            <w:pPr>
              <w:pStyle w:val="107"/>
            </w:pPr>
            <w:r>
              <w:drawing>
                <wp:inline distT="0" distB="0" distL="0" distR="0">
                  <wp:extent cx="2700020" cy="2126615"/>
                  <wp:effectExtent l="0" t="0" r="0" b="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1913371" cy="1507027"/>
                          </a:xfrm>
                          <a:prstGeom prst="rect">
                            <a:avLst/>
                          </a:prstGeom>
                          <a:noFill/>
                          <a:ln>
                            <a:noFill/>
                          </a:ln>
                        </pic:spPr>
                      </pic:pic>
                    </a:graphicData>
                  </a:graphic>
                </wp:inline>
              </w:drawing>
            </w:r>
          </w:p>
        </w:tc>
        <w:tc>
          <w:tcPr>
            <w:tcW w:w="4530" w:type="dxa"/>
            <w:shd w:val="clear" w:color="auto" w:fill="auto"/>
            <w:vAlign w:val="center"/>
          </w:tcPr>
          <w:p>
            <w:pPr>
              <w:pStyle w:val="107"/>
            </w:pPr>
            <w:r>
              <w:drawing>
                <wp:inline distT="0" distB="0" distL="0" distR="0">
                  <wp:extent cx="2489200" cy="2198370"/>
                  <wp:effectExtent l="0" t="0" r="0"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269714" cy="2004528"/>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0" w:type="dxa"/>
            <w:shd w:val="clear" w:color="auto" w:fill="auto"/>
            <w:vAlign w:val="center"/>
          </w:tcPr>
          <w:p>
            <w:pPr>
              <w:pStyle w:val="107"/>
            </w:pPr>
            <w:r>
              <w:rPr>
                <w:rFonts w:hint="eastAsia"/>
              </w:rPr>
              <w:t>西南面</w:t>
            </w:r>
          </w:p>
        </w:tc>
        <w:tc>
          <w:tcPr>
            <w:tcW w:w="4530" w:type="dxa"/>
            <w:shd w:val="clear" w:color="auto" w:fill="auto"/>
            <w:vAlign w:val="center"/>
          </w:tcPr>
          <w:p>
            <w:pPr>
              <w:pStyle w:val="107"/>
            </w:pPr>
            <w:r>
              <w:rPr>
                <w:rFonts w:hint="eastAsia"/>
              </w:rPr>
              <w:t>西北面</w:t>
            </w:r>
          </w:p>
        </w:tc>
      </w:tr>
    </w:tbl>
    <w:p>
      <w:pPr>
        <w:pStyle w:val="18"/>
      </w:pPr>
      <w:bookmarkStart w:id="158" w:name="_Ref522699646"/>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bookmarkEnd w:id="158"/>
      <w:r>
        <w:rPr>
          <w:rFonts w:hint="eastAsia"/>
        </w:rPr>
        <w:t>项目周边环境状况勘察照片</w:t>
      </w:r>
    </w:p>
    <w:p>
      <w:pPr>
        <w:ind w:firstLine="480"/>
        <w:rPr>
          <w:rFonts w:eastAsiaTheme="minorEastAsia" w:cstheme="minorBidi"/>
        </w:rPr>
      </w:pPr>
      <w:r>
        <w:rPr>
          <w:rFonts w:eastAsiaTheme="minorEastAsia"/>
        </w:rPr>
        <w:br w:type="page"/>
      </w:r>
    </w:p>
    <w:p>
      <w:pPr>
        <w:pStyle w:val="5"/>
      </w:pPr>
      <w:bookmarkStart w:id="159" w:name="_Hlk536783867"/>
      <w:r>
        <w:rPr>
          <w:rFonts w:hint="eastAsia"/>
        </w:rPr>
        <w:t>工程</w:t>
      </w:r>
      <w:r>
        <w:t>组成</w:t>
      </w:r>
    </w:p>
    <w:bookmarkEnd w:id="159"/>
    <w:p>
      <w:pPr>
        <w:ind w:firstLine="480"/>
        <w:rPr>
          <w:rFonts w:eastAsiaTheme="minorEastAsia"/>
        </w:rPr>
      </w:pPr>
      <w:r>
        <w:rPr>
          <w:rFonts w:eastAsiaTheme="minorEastAsia"/>
        </w:rPr>
        <w:t>项目工程组成主要包括主体工程、辅助工程、公用工程、环保工程、行政生活设施等，具体如</w:t>
      </w:r>
      <w:r>
        <w:rPr>
          <w:rFonts w:eastAsiaTheme="minorEastAsia"/>
        </w:rPr>
        <w:fldChar w:fldCharType="begin"/>
      </w:r>
      <w:r>
        <w:rPr>
          <w:rFonts w:eastAsiaTheme="minorEastAsia"/>
        </w:rPr>
        <w:instrText xml:space="preserve"> REF _Ref522735279 \h  \* MERGEFORMAT </w:instrText>
      </w:r>
      <w:r>
        <w:rPr>
          <w:rFonts w:eastAsiaTheme="minorEastAsia"/>
        </w:rPr>
        <w:fldChar w:fldCharType="separate"/>
      </w:r>
      <w:r>
        <w:rPr>
          <w:rFonts w:hint="eastAsia" w:eastAsiaTheme="minorEastAsia"/>
        </w:rPr>
        <w:t xml:space="preserve">表 </w:t>
      </w:r>
      <w:r>
        <w:rPr>
          <w:rFonts w:eastAsiaTheme="minorEastAsia"/>
        </w:rPr>
        <w:t>2.1</w:t>
      </w:r>
      <w:r>
        <w:rPr>
          <w:rFonts w:eastAsiaTheme="minorEastAsia"/>
        </w:rPr>
        <w:noBreakHyphen/>
      </w:r>
      <w:r>
        <w:rPr>
          <w:rFonts w:eastAsiaTheme="minorEastAsia"/>
        </w:rPr>
        <w:t>1</w:t>
      </w:r>
      <w:r>
        <w:rPr>
          <w:rFonts w:eastAsiaTheme="minorEastAsia"/>
        </w:rPr>
        <w:fldChar w:fldCharType="end"/>
      </w:r>
      <w:r>
        <w:rPr>
          <w:rFonts w:hint="eastAsia" w:eastAsiaTheme="minorEastAsia"/>
        </w:rPr>
        <w:t>所示。</w:t>
      </w:r>
    </w:p>
    <w:p>
      <w:pPr>
        <w:pStyle w:val="18"/>
      </w:pPr>
      <w:bookmarkStart w:id="160" w:name="_Ref522735279"/>
      <w:bookmarkStart w:id="161" w:name="_Hlk3484917"/>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bookmarkEnd w:id="160"/>
      <w:r>
        <w:rPr>
          <w:rFonts w:hint="eastAsia"/>
        </w:rPr>
        <w:t>项目现有工程组成一览表</w:t>
      </w:r>
    </w:p>
    <w:bookmarkEnd w:id="161"/>
    <w:tbl>
      <w:tblPr>
        <w:tblStyle w:val="56"/>
        <w:tblW w:w="9060" w:type="dxa"/>
        <w:tblInd w:w="0" w:type="dxa"/>
        <w:tblLayout w:type="fixed"/>
        <w:tblCellMar>
          <w:top w:w="0" w:type="dxa"/>
          <w:left w:w="108" w:type="dxa"/>
          <w:bottom w:w="0" w:type="dxa"/>
          <w:right w:w="108" w:type="dxa"/>
        </w:tblCellMar>
      </w:tblPr>
      <w:tblGrid>
        <w:gridCol w:w="624"/>
        <w:gridCol w:w="505"/>
        <w:gridCol w:w="1062"/>
        <w:gridCol w:w="822"/>
        <w:gridCol w:w="5255"/>
        <w:gridCol w:w="792"/>
      </w:tblGrid>
      <w:tr>
        <w:tblPrEx>
          <w:tblLayout w:type="fixed"/>
          <w:tblCellMar>
            <w:top w:w="0" w:type="dxa"/>
            <w:left w:w="108" w:type="dxa"/>
            <w:bottom w:w="0" w:type="dxa"/>
            <w:right w:w="108" w:type="dxa"/>
          </w:tblCellMar>
        </w:tblPrEx>
        <w:trPr>
          <w:trHeight w:val="570" w:hRule="atLeast"/>
          <w:tblHeader/>
        </w:trPr>
        <w:tc>
          <w:tcPr>
            <w:tcW w:w="624" w:type="dxa"/>
            <w:tcBorders>
              <w:top w:val="single" w:color="auto" w:sz="4" w:space="0"/>
              <w:left w:val="single" w:color="auto" w:sz="4" w:space="0"/>
              <w:bottom w:val="single" w:color="auto" w:sz="4" w:space="0"/>
              <w:right w:val="single" w:color="auto" w:sz="4" w:space="0"/>
            </w:tcBorders>
            <w:shd w:val="clear" w:color="000000" w:fill="D9D9D9"/>
            <w:vAlign w:val="center"/>
          </w:tcPr>
          <w:p>
            <w:pPr>
              <w:spacing w:line="240" w:lineRule="auto"/>
              <w:ind w:firstLine="0" w:firstLineChars="0"/>
              <w:jc w:val="center"/>
              <w:rPr>
                <w:rFonts w:eastAsiaTheme="minorEastAsia"/>
                <w:b/>
                <w:bCs/>
                <w:color w:val="000000"/>
                <w:sz w:val="21"/>
                <w:szCs w:val="21"/>
              </w:rPr>
            </w:pPr>
            <w:r>
              <w:rPr>
                <w:rFonts w:hint="eastAsia" w:eastAsiaTheme="minorEastAsia"/>
                <w:b/>
                <w:bCs/>
                <w:color w:val="000000"/>
                <w:sz w:val="21"/>
                <w:szCs w:val="21"/>
              </w:rPr>
              <w:t>分类</w:t>
            </w:r>
          </w:p>
        </w:tc>
        <w:tc>
          <w:tcPr>
            <w:tcW w:w="1567" w:type="dxa"/>
            <w:gridSpan w:val="2"/>
            <w:tcBorders>
              <w:top w:val="single" w:color="auto" w:sz="4" w:space="0"/>
              <w:left w:val="nil"/>
              <w:bottom w:val="single" w:color="auto" w:sz="4" w:space="0"/>
              <w:right w:val="single" w:color="auto" w:sz="4" w:space="0"/>
            </w:tcBorders>
            <w:shd w:val="clear" w:color="000000" w:fill="D9D9D9"/>
            <w:vAlign w:val="center"/>
          </w:tcPr>
          <w:p>
            <w:pPr>
              <w:spacing w:line="240" w:lineRule="auto"/>
              <w:ind w:firstLine="0" w:firstLineChars="0"/>
              <w:jc w:val="center"/>
              <w:rPr>
                <w:rFonts w:eastAsiaTheme="minorEastAsia"/>
                <w:b/>
                <w:bCs/>
                <w:color w:val="000000"/>
                <w:sz w:val="21"/>
                <w:szCs w:val="21"/>
              </w:rPr>
            </w:pPr>
            <w:r>
              <w:rPr>
                <w:rFonts w:hint="eastAsia" w:eastAsiaTheme="minorEastAsia"/>
                <w:b/>
                <w:bCs/>
                <w:color w:val="000000"/>
                <w:sz w:val="21"/>
                <w:szCs w:val="21"/>
              </w:rPr>
              <w:t>工程名称</w:t>
            </w:r>
          </w:p>
        </w:tc>
        <w:tc>
          <w:tcPr>
            <w:tcW w:w="6077" w:type="dxa"/>
            <w:gridSpan w:val="2"/>
            <w:tcBorders>
              <w:top w:val="single" w:color="auto" w:sz="4" w:space="0"/>
              <w:left w:val="nil"/>
              <w:bottom w:val="single" w:color="auto" w:sz="4" w:space="0"/>
              <w:right w:val="single" w:color="auto" w:sz="4" w:space="0"/>
            </w:tcBorders>
            <w:shd w:val="clear" w:color="000000" w:fill="D9D9D9"/>
            <w:vAlign w:val="center"/>
          </w:tcPr>
          <w:p>
            <w:pPr>
              <w:spacing w:line="240" w:lineRule="auto"/>
              <w:ind w:firstLine="0" w:firstLineChars="0"/>
              <w:jc w:val="center"/>
              <w:rPr>
                <w:rFonts w:eastAsiaTheme="minorEastAsia"/>
                <w:b/>
                <w:bCs/>
                <w:color w:val="000000"/>
                <w:sz w:val="21"/>
                <w:szCs w:val="21"/>
              </w:rPr>
            </w:pPr>
            <w:r>
              <w:rPr>
                <w:rFonts w:hint="eastAsia" w:eastAsiaTheme="minorEastAsia"/>
                <w:b/>
                <w:bCs/>
                <w:color w:val="000000"/>
                <w:sz w:val="21"/>
                <w:szCs w:val="21"/>
              </w:rPr>
              <w:t>工程内容</w:t>
            </w:r>
          </w:p>
        </w:tc>
        <w:tc>
          <w:tcPr>
            <w:tcW w:w="792" w:type="dxa"/>
            <w:tcBorders>
              <w:top w:val="single" w:color="auto" w:sz="4" w:space="0"/>
              <w:left w:val="nil"/>
              <w:bottom w:val="single" w:color="auto" w:sz="4" w:space="0"/>
              <w:right w:val="single" w:color="auto" w:sz="4" w:space="0"/>
            </w:tcBorders>
            <w:shd w:val="clear" w:color="000000" w:fill="D9D9D9"/>
            <w:vAlign w:val="center"/>
          </w:tcPr>
          <w:p>
            <w:pPr>
              <w:spacing w:line="240" w:lineRule="auto"/>
              <w:ind w:firstLine="0" w:firstLineChars="0"/>
              <w:jc w:val="center"/>
              <w:rPr>
                <w:rFonts w:eastAsiaTheme="minorEastAsia"/>
                <w:b/>
                <w:bCs/>
                <w:color w:val="000000"/>
                <w:sz w:val="21"/>
                <w:szCs w:val="21"/>
              </w:rPr>
            </w:pPr>
            <w:r>
              <w:rPr>
                <w:rFonts w:hint="eastAsia" w:eastAsiaTheme="minorEastAsia"/>
                <w:b/>
                <w:bCs/>
                <w:color w:val="000000"/>
                <w:sz w:val="21"/>
                <w:szCs w:val="21"/>
              </w:rPr>
              <w:t>备注</w:t>
            </w:r>
          </w:p>
        </w:tc>
      </w:tr>
      <w:tr>
        <w:tblPrEx>
          <w:tblLayout w:type="fixed"/>
          <w:tblCellMar>
            <w:top w:w="0" w:type="dxa"/>
            <w:left w:w="108" w:type="dxa"/>
            <w:bottom w:w="0" w:type="dxa"/>
            <w:right w:w="108" w:type="dxa"/>
          </w:tblCellMar>
        </w:tblPrEx>
        <w:trPr>
          <w:trHeight w:val="503" w:hRule="atLeast"/>
        </w:trPr>
        <w:tc>
          <w:tcPr>
            <w:tcW w:w="624" w:type="dxa"/>
            <w:vMerge w:val="restart"/>
            <w:tcBorders>
              <w:top w:val="nil"/>
              <w:left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主体工程</w:t>
            </w:r>
          </w:p>
        </w:tc>
        <w:tc>
          <w:tcPr>
            <w:tcW w:w="505" w:type="dxa"/>
            <w:vMerge w:val="restart"/>
            <w:tcBorders>
              <w:top w:val="nil"/>
              <w:left w:val="single" w:color="auto" w:sz="4" w:space="0"/>
              <w:bottom w:val="single" w:color="000000"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生产厂房</w:t>
            </w:r>
          </w:p>
        </w:tc>
        <w:tc>
          <w:tcPr>
            <w:tcW w:w="106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密炼车间</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cs="Arial" w:eastAsiaTheme="minorEastAsia"/>
                <w:color w:val="000000"/>
                <w:sz w:val="21"/>
                <w:szCs w:val="21"/>
              </w:rPr>
              <w:t>1</w:t>
            </w:r>
            <w:r>
              <w:rPr>
                <w:rFonts w:hint="eastAsia" w:eastAsiaTheme="minorEastAsia"/>
                <w:color w:val="000000"/>
                <w:sz w:val="21"/>
                <w:szCs w:val="21"/>
              </w:rPr>
              <w:t>层砖混结构，用于密炼工序，放置</w:t>
            </w:r>
            <w:r>
              <w:rPr>
                <w:rFonts w:cs="Arial" w:eastAsiaTheme="minorEastAsia"/>
                <w:color w:val="000000"/>
                <w:sz w:val="21"/>
                <w:szCs w:val="21"/>
              </w:rPr>
              <w:t>1</w:t>
            </w:r>
            <w:r>
              <w:rPr>
                <w:rFonts w:hint="eastAsia" w:eastAsiaTheme="minorEastAsia"/>
                <w:color w:val="000000"/>
                <w:sz w:val="21"/>
                <w:szCs w:val="21"/>
              </w:rPr>
              <w:t>台密炼机，</w:t>
            </w:r>
            <w:r>
              <w:rPr>
                <w:rFonts w:hint="eastAsia" w:cs="Arial" w:eastAsiaTheme="minorEastAsia"/>
                <w:color w:val="000000"/>
                <w:sz w:val="21"/>
                <w:szCs w:val="21"/>
              </w:rPr>
              <w:t>设置原辅材料仓库1座</w:t>
            </w:r>
          </w:p>
        </w:tc>
        <w:tc>
          <w:tcPr>
            <w:tcW w:w="792"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已建</w:t>
            </w:r>
          </w:p>
        </w:tc>
      </w:tr>
      <w:tr>
        <w:tblPrEx>
          <w:tblLayout w:type="fixed"/>
          <w:tblCellMar>
            <w:top w:w="0" w:type="dxa"/>
            <w:left w:w="108" w:type="dxa"/>
            <w:bottom w:w="0" w:type="dxa"/>
            <w:right w:w="108" w:type="dxa"/>
          </w:tblCellMar>
        </w:tblPrEx>
        <w:trPr>
          <w:trHeight w:val="399" w:hRule="atLeast"/>
        </w:trPr>
        <w:tc>
          <w:tcPr>
            <w:tcW w:w="624" w:type="dxa"/>
            <w:vMerge w:val="continue"/>
            <w:tcBorders>
              <w:left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505" w:type="dxa"/>
            <w:vMerge w:val="continue"/>
            <w:tcBorders>
              <w:top w:val="nil"/>
              <w:left w:val="single" w:color="auto" w:sz="4" w:space="0"/>
              <w:bottom w:val="single" w:color="000000"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06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混炼车间</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cs="Arial" w:eastAsiaTheme="minorEastAsia"/>
                <w:color w:val="000000"/>
                <w:sz w:val="21"/>
                <w:szCs w:val="21"/>
              </w:rPr>
              <w:t>1</w:t>
            </w:r>
            <w:r>
              <w:rPr>
                <w:rFonts w:hint="eastAsia" w:eastAsiaTheme="minorEastAsia"/>
                <w:color w:val="000000"/>
                <w:sz w:val="21"/>
                <w:szCs w:val="21"/>
              </w:rPr>
              <w:t>层砖混结构，用于开炼和裁切工序，放置</w:t>
            </w:r>
            <w:r>
              <w:rPr>
                <w:rFonts w:cs="Arial" w:eastAsiaTheme="minorEastAsia"/>
                <w:color w:val="000000"/>
                <w:sz w:val="21"/>
                <w:szCs w:val="21"/>
              </w:rPr>
              <w:t>1</w:t>
            </w:r>
            <w:r>
              <w:rPr>
                <w:rFonts w:hint="eastAsia" w:eastAsiaTheme="minorEastAsia"/>
                <w:color w:val="000000"/>
                <w:sz w:val="21"/>
                <w:szCs w:val="21"/>
              </w:rPr>
              <w:t>台裁切机，2台开炼机</w:t>
            </w:r>
          </w:p>
        </w:tc>
        <w:tc>
          <w:tcPr>
            <w:tcW w:w="792"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r>
      <w:tr>
        <w:tblPrEx>
          <w:tblLayout w:type="fixed"/>
          <w:tblCellMar>
            <w:top w:w="0" w:type="dxa"/>
            <w:left w:w="108" w:type="dxa"/>
            <w:bottom w:w="0" w:type="dxa"/>
            <w:right w:w="108" w:type="dxa"/>
          </w:tblCellMar>
        </w:tblPrEx>
        <w:trPr>
          <w:trHeight w:val="285" w:hRule="atLeast"/>
        </w:trPr>
        <w:tc>
          <w:tcPr>
            <w:tcW w:w="624" w:type="dxa"/>
            <w:vMerge w:val="continue"/>
            <w:tcBorders>
              <w:left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505" w:type="dxa"/>
            <w:vMerge w:val="continue"/>
            <w:tcBorders>
              <w:top w:val="nil"/>
              <w:left w:val="single" w:color="auto" w:sz="4" w:space="0"/>
              <w:bottom w:val="single" w:color="000000"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062" w:type="dxa"/>
            <w:tcBorders>
              <w:top w:val="nil"/>
              <w:left w:val="nil"/>
              <w:bottom w:val="single" w:color="auto" w:sz="4" w:space="0"/>
              <w:right w:val="nil"/>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硫化车间</w:t>
            </w:r>
          </w:p>
        </w:tc>
        <w:tc>
          <w:tcPr>
            <w:tcW w:w="6077" w:type="dxa"/>
            <w:gridSpan w:val="2"/>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cs="Arial" w:eastAsiaTheme="minorEastAsia"/>
                <w:color w:val="000000"/>
                <w:sz w:val="21"/>
                <w:szCs w:val="21"/>
              </w:rPr>
              <w:t>1</w:t>
            </w:r>
            <w:r>
              <w:rPr>
                <w:rFonts w:hint="eastAsia" w:eastAsiaTheme="minorEastAsia"/>
                <w:color w:val="000000"/>
                <w:sz w:val="21"/>
                <w:szCs w:val="21"/>
              </w:rPr>
              <w:t>层砖混结构，用于硫化工序，放置</w:t>
            </w:r>
            <w:r>
              <w:rPr>
                <w:rFonts w:cs="Arial" w:eastAsiaTheme="minorEastAsia"/>
                <w:color w:val="000000"/>
                <w:sz w:val="21"/>
                <w:szCs w:val="21"/>
              </w:rPr>
              <w:t>10</w:t>
            </w:r>
            <w:r>
              <w:rPr>
                <w:rFonts w:hint="eastAsia" w:eastAsiaTheme="minorEastAsia"/>
                <w:color w:val="000000"/>
                <w:sz w:val="21"/>
                <w:szCs w:val="21"/>
              </w:rPr>
              <w:t>台硫化机</w:t>
            </w:r>
          </w:p>
        </w:tc>
        <w:tc>
          <w:tcPr>
            <w:tcW w:w="792"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r>
      <w:tr>
        <w:tblPrEx>
          <w:tblLayout w:type="fixed"/>
          <w:tblCellMar>
            <w:top w:w="0" w:type="dxa"/>
            <w:left w:w="108" w:type="dxa"/>
            <w:bottom w:w="0" w:type="dxa"/>
            <w:right w:w="108" w:type="dxa"/>
          </w:tblCellMar>
        </w:tblPrEx>
        <w:trPr>
          <w:trHeight w:val="285" w:hRule="atLeast"/>
        </w:trPr>
        <w:tc>
          <w:tcPr>
            <w:tcW w:w="624" w:type="dxa"/>
            <w:vMerge w:val="continue"/>
            <w:tcBorders>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505" w:type="dxa"/>
            <w:tcBorders>
              <w:top w:val="nil"/>
              <w:left w:val="single" w:color="auto" w:sz="4" w:space="0"/>
              <w:bottom w:val="single" w:color="000000" w:sz="4" w:space="0"/>
              <w:right w:val="single" w:color="auto" w:sz="4" w:space="0"/>
            </w:tcBorders>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包装车间</w:t>
            </w:r>
          </w:p>
        </w:tc>
        <w:tc>
          <w:tcPr>
            <w:tcW w:w="1062" w:type="dxa"/>
            <w:tcBorders>
              <w:top w:val="nil"/>
              <w:left w:val="nil"/>
              <w:bottom w:val="single" w:color="auto" w:sz="4" w:space="0"/>
              <w:right w:val="nil"/>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包装车间</w:t>
            </w:r>
          </w:p>
        </w:tc>
        <w:tc>
          <w:tcPr>
            <w:tcW w:w="6077" w:type="dxa"/>
            <w:gridSpan w:val="2"/>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cs="Arial" w:eastAsiaTheme="minorEastAsia"/>
                <w:color w:val="000000"/>
                <w:sz w:val="21"/>
                <w:szCs w:val="21"/>
              </w:rPr>
            </w:pPr>
            <w:r>
              <w:rPr>
                <w:rFonts w:hint="eastAsia" w:eastAsiaTheme="minorEastAsia"/>
                <w:color w:val="000000"/>
                <w:sz w:val="21"/>
                <w:szCs w:val="21"/>
              </w:rPr>
              <w:t>位于硫化车间右侧，建筑面积2</w:t>
            </w:r>
            <w:r>
              <w:rPr>
                <w:rFonts w:eastAsiaTheme="minorEastAsia"/>
                <w:color w:val="000000"/>
                <w:sz w:val="21"/>
                <w:szCs w:val="21"/>
              </w:rPr>
              <w:t>00m</w:t>
            </w:r>
            <w:r>
              <w:rPr>
                <w:rFonts w:eastAsiaTheme="minorEastAsia"/>
                <w:color w:val="000000"/>
                <w:sz w:val="21"/>
                <w:szCs w:val="21"/>
                <w:vertAlign w:val="superscript"/>
              </w:rPr>
              <w:t>2</w:t>
            </w:r>
            <w:r>
              <w:rPr>
                <w:rFonts w:hint="eastAsia" w:eastAsiaTheme="minorEastAsia"/>
                <w:color w:val="000000"/>
                <w:sz w:val="21"/>
                <w:szCs w:val="21"/>
              </w:rPr>
              <w:t>，用于产品配件铁芯的抛丸，产品组装和包装；</w:t>
            </w:r>
          </w:p>
        </w:tc>
        <w:tc>
          <w:tcPr>
            <w:tcW w:w="792" w:type="dxa"/>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已建</w:t>
            </w:r>
          </w:p>
        </w:tc>
      </w:tr>
      <w:tr>
        <w:tblPrEx>
          <w:tblLayout w:type="fixed"/>
          <w:tblCellMar>
            <w:top w:w="0" w:type="dxa"/>
            <w:left w:w="108" w:type="dxa"/>
            <w:bottom w:w="0" w:type="dxa"/>
            <w:right w:w="108" w:type="dxa"/>
          </w:tblCellMar>
        </w:tblPrEx>
        <w:trPr>
          <w:trHeight w:val="636" w:hRule="atLeast"/>
        </w:trPr>
        <w:tc>
          <w:tcPr>
            <w:tcW w:w="624"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辅助工程</w:t>
            </w: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冷却水循环系统</w:t>
            </w:r>
          </w:p>
        </w:tc>
        <w:tc>
          <w:tcPr>
            <w:tcW w:w="607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采用开放循环设计，混炼车间西面设置</w:t>
            </w:r>
            <w:r>
              <w:rPr>
                <w:rFonts w:cs="Arial" w:eastAsiaTheme="minorEastAsia"/>
                <w:color w:val="000000"/>
                <w:sz w:val="21"/>
                <w:szCs w:val="21"/>
              </w:rPr>
              <w:t>1</w:t>
            </w:r>
            <w:r>
              <w:rPr>
                <w:rFonts w:hint="eastAsia" w:eastAsiaTheme="minorEastAsia"/>
                <w:color w:val="000000"/>
                <w:sz w:val="21"/>
                <w:szCs w:val="21"/>
              </w:rPr>
              <w:t>个地埋式的循环冷却水池，用于密炼机和开炼机模具的降温冷却，总循环水量约</w:t>
            </w:r>
            <w:r>
              <w:rPr>
                <w:rFonts w:eastAsiaTheme="minorEastAsia"/>
                <w:color w:val="000000"/>
                <w:sz w:val="21"/>
                <w:szCs w:val="21"/>
              </w:rPr>
              <w:t>5.0</w:t>
            </w:r>
            <w:r>
              <w:rPr>
                <w:rFonts w:cs="Arial" w:eastAsiaTheme="minorEastAsia"/>
                <w:color w:val="000000"/>
                <w:sz w:val="21"/>
                <w:szCs w:val="21"/>
              </w:rPr>
              <w:t>m</w:t>
            </w:r>
            <w:r>
              <w:rPr>
                <w:rFonts w:cs="Arial" w:eastAsiaTheme="minorEastAsia"/>
                <w:color w:val="000000"/>
                <w:sz w:val="21"/>
                <w:szCs w:val="21"/>
                <w:vertAlign w:val="superscript"/>
              </w:rPr>
              <w:t>3</w:t>
            </w:r>
            <w:r>
              <w:rPr>
                <w:rFonts w:cs="Arial" w:eastAsiaTheme="minorEastAsia"/>
                <w:color w:val="000000"/>
                <w:sz w:val="21"/>
                <w:szCs w:val="21"/>
              </w:rPr>
              <w:t>/h</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已建</w:t>
            </w:r>
          </w:p>
        </w:tc>
      </w:tr>
      <w:tr>
        <w:tblPrEx>
          <w:tblLayout w:type="fixed"/>
          <w:tblCellMar>
            <w:top w:w="0" w:type="dxa"/>
            <w:left w:w="108" w:type="dxa"/>
            <w:bottom w:w="0" w:type="dxa"/>
            <w:right w:w="108" w:type="dxa"/>
          </w:tblCellMar>
        </w:tblPrEx>
        <w:trPr>
          <w:trHeight w:val="765" w:hRule="atLeast"/>
        </w:trPr>
        <w:tc>
          <w:tcPr>
            <w:tcW w:w="624" w:type="dxa"/>
            <w:vMerge w:val="restart"/>
            <w:tcBorders>
              <w:top w:val="nil"/>
              <w:left w:val="single" w:color="auto" w:sz="4" w:space="0"/>
              <w:bottom w:val="single" w:color="000000"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公用工程</w:t>
            </w: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供配电系统</w:t>
            </w:r>
          </w:p>
        </w:tc>
        <w:tc>
          <w:tcPr>
            <w:tcW w:w="6077" w:type="dxa"/>
            <w:gridSpan w:val="2"/>
            <w:tcBorders>
              <w:top w:val="nil"/>
              <w:left w:val="nil"/>
              <w:bottom w:val="nil"/>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由市政供电公司提供，配电房位于混炼车间西南面，年用电量约100万kW·h/a。</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已建</w:t>
            </w:r>
          </w:p>
        </w:tc>
      </w:tr>
      <w:tr>
        <w:tblPrEx>
          <w:tblLayout w:type="fixed"/>
          <w:tblCellMar>
            <w:top w:w="0" w:type="dxa"/>
            <w:left w:w="108" w:type="dxa"/>
            <w:bottom w:w="0" w:type="dxa"/>
            <w:right w:w="108" w:type="dxa"/>
          </w:tblCellMar>
        </w:tblPrEx>
        <w:trPr>
          <w:trHeight w:val="570" w:hRule="atLeast"/>
        </w:trPr>
        <w:tc>
          <w:tcPr>
            <w:tcW w:w="624" w:type="dxa"/>
            <w:vMerge w:val="continue"/>
            <w:tcBorders>
              <w:top w:val="nil"/>
              <w:left w:val="single" w:color="auto" w:sz="4" w:space="0"/>
              <w:bottom w:val="single" w:color="000000"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给水系统</w:t>
            </w:r>
          </w:p>
        </w:tc>
        <w:tc>
          <w:tcPr>
            <w:tcW w:w="607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包括生产循环冷却给水系统、生产生活消防给水系统，供水来源为市政供水管网自来水，新鲜水年用量约</w:t>
            </w:r>
            <w:r>
              <w:rPr>
                <w:rFonts w:cs="Arial" w:eastAsiaTheme="minorEastAsia"/>
                <w:color w:val="000000"/>
                <w:sz w:val="21"/>
                <w:szCs w:val="21"/>
              </w:rPr>
              <w:t>1940.4m</w:t>
            </w:r>
            <w:r>
              <w:rPr>
                <w:rFonts w:cs="Arial" w:eastAsiaTheme="minorEastAsia"/>
                <w:color w:val="000000"/>
                <w:sz w:val="21"/>
                <w:szCs w:val="21"/>
                <w:vertAlign w:val="superscript"/>
              </w:rPr>
              <w:t>3</w:t>
            </w:r>
            <w:r>
              <w:rPr>
                <w:rFonts w:cs="Arial" w:eastAsiaTheme="minorEastAsia"/>
                <w:color w:val="000000"/>
                <w:sz w:val="21"/>
                <w:szCs w:val="21"/>
              </w:rPr>
              <w:t>/a</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已建</w:t>
            </w:r>
          </w:p>
        </w:tc>
      </w:tr>
      <w:tr>
        <w:tblPrEx>
          <w:tblLayout w:type="fixed"/>
          <w:tblCellMar>
            <w:top w:w="0" w:type="dxa"/>
            <w:left w:w="108" w:type="dxa"/>
            <w:bottom w:w="0" w:type="dxa"/>
            <w:right w:w="108" w:type="dxa"/>
          </w:tblCellMar>
        </w:tblPrEx>
        <w:trPr>
          <w:trHeight w:val="765" w:hRule="atLeast"/>
        </w:trPr>
        <w:tc>
          <w:tcPr>
            <w:tcW w:w="624" w:type="dxa"/>
            <w:vMerge w:val="continue"/>
            <w:tcBorders>
              <w:top w:val="nil"/>
              <w:left w:val="single" w:color="auto" w:sz="4" w:space="0"/>
              <w:bottom w:val="single" w:color="000000"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排水系统</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雨污分流，雨水经厂区内雨水管网进入园区雨水管网；炼胶设备间接冷却用水循环使用不外排；生活污水处理达标后排入苍城污水处理厂进行处理后，排入镇海水。</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已建</w:t>
            </w:r>
          </w:p>
        </w:tc>
      </w:tr>
      <w:tr>
        <w:tblPrEx>
          <w:tblLayout w:type="fixed"/>
          <w:tblCellMar>
            <w:top w:w="0" w:type="dxa"/>
            <w:left w:w="108" w:type="dxa"/>
            <w:bottom w:w="0" w:type="dxa"/>
            <w:right w:w="108" w:type="dxa"/>
          </w:tblCellMar>
        </w:tblPrEx>
        <w:trPr>
          <w:trHeight w:val="285" w:hRule="atLeast"/>
        </w:trPr>
        <w:tc>
          <w:tcPr>
            <w:tcW w:w="624" w:type="dxa"/>
            <w:vMerge w:val="continue"/>
            <w:tcBorders>
              <w:top w:val="nil"/>
              <w:left w:val="single" w:color="auto" w:sz="4" w:space="0"/>
              <w:bottom w:val="single" w:color="000000"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消防系统</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敷设消火栓，各车间仓库配干粉灭火器</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已建</w:t>
            </w:r>
          </w:p>
        </w:tc>
      </w:tr>
      <w:tr>
        <w:tblPrEx>
          <w:tblLayout w:type="fixed"/>
          <w:tblCellMar>
            <w:top w:w="0" w:type="dxa"/>
            <w:left w:w="108" w:type="dxa"/>
            <w:bottom w:w="0" w:type="dxa"/>
            <w:right w:w="108" w:type="dxa"/>
          </w:tblCellMar>
        </w:tblPrEx>
        <w:trPr>
          <w:trHeight w:val="331" w:hRule="atLeast"/>
        </w:trPr>
        <w:tc>
          <w:tcPr>
            <w:tcW w:w="624"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储运工程</w:t>
            </w: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危险品储存</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独立化学品库储存危险化学品,建筑面积7</w:t>
            </w:r>
            <w:r>
              <w:rPr>
                <w:rFonts w:eastAsiaTheme="minorEastAsia"/>
                <w:color w:val="000000"/>
                <w:sz w:val="21"/>
                <w:szCs w:val="21"/>
              </w:rPr>
              <w:t>0m</w:t>
            </w:r>
            <w:r>
              <w:rPr>
                <w:rFonts w:eastAsiaTheme="minorEastAsia"/>
                <w:color w:val="000000"/>
                <w:sz w:val="21"/>
                <w:szCs w:val="21"/>
                <w:vertAlign w:val="superscript"/>
              </w:rPr>
              <w:t>2</w:t>
            </w:r>
            <w:r>
              <w:rPr>
                <w:rFonts w:hint="eastAsia" w:eastAsiaTheme="minorEastAsia"/>
                <w:color w:val="000000"/>
                <w:sz w:val="21"/>
                <w:szCs w:val="21"/>
              </w:rPr>
              <w:t>。</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未建</w:t>
            </w:r>
          </w:p>
        </w:tc>
      </w:tr>
      <w:tr>
        <w:tblPrEx>
          <w:tblLayout w:type="fixed"/>
          <w:tblCellMar>
            <w:top w:w="0" w:type="dxa"/>
            <w:left w:w="108" w:type="dxa"/>
            <w:bottom w:w="0" w:type="dxa"/>
            <w:right w:w="108" w:type="dxa"/>
          </w:tblCellMar>
        </w:tblPrEx>
        <w:trPr>
          <w:trHeight w:val="285"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原料仓库</w:t>
            </w:r>
          </w:p>
        </w:tc>
        <w:tc>
          <w:tcPr>
            <w:tcW w:w="6077" w:type="dxa"/>
            <w:gridSpan w:val="2"/>
            <w:tcBorders>
              <w:top w:val="nil"/>
              <w:left w:val="nil"/>
              <w:bottom w:val="nil"/>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1层砖混结构，用于橡胶及其他原料储存；成品储存，建筑面积2</w:t>
            </w:r>
            <w:r>
              <w:rPr>
                <w:rFonts w:eastAsiaTheme="minorEastAsia"/>
                <w:color w:val="000000"/>
                <w:sz w:val="21"/>
                <w:szCs w:val="21"/>
              </w:rPr>
              <w:t>00m</w:t>
            </w:r>
            <w:r>
              <w:rPr>
                <w:rFonts w:eastAsiaTheme="minorEastAsia"/>
                <w:color w:val="000000"/>
                <w:sz w:val="21"/>
                <w:szCs w:val="21"/>
                <w:vertAlign w:val="superscript"/>
              </w:rPr>
              <w:t>2</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已建</w:t>
            </w:r>
          </w:p>
        </w:tc>
      </w:tr>
      <w:tr>
        <w:tblPrEx>
          <w:tblLayout w:type="fixed"/>
          <w:tblCellMar>
            <w:top w:w="0" w:type="dxa"/>
            <w:left w:w="108" w:type="dxa"/>
            <w:bottom w:w="0" w:type="dxa"/>
            <w:right w:w="108" w:type="dxa"/>
          </w:tblCellMar>
        </w:tblPrEx>
        <w:trPr>
          <w:trHeight w:val="906" w:hRule="atLeast"/>
        </w:trPr>
        <w:tc>
          <w:tcPr>
            <w:tcW w:w="624"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行政生活设施</w:t>
            </w: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办公室</w:t>
            </w:r>
          </w:p>
        </w:tc>
        <w:tc>
          <w:tcPr>
            <w:tcW w:w="607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cs="Arial" w:eastAsiaTheme="minorEastAsia"/>
                <w:color w:val="000000"/>
                <w:sz w:val="21"/>
                <w:szCs w:val="21"/>
              </w:rPr>
            </w:pPr>
            <w:r>
              <w:rPr>
                <w:rFonts w:cs="Arial" w:eastAsiaTheme="minorEastAsia"/>
                <w:color w:val="000000"/>
                <w:sz w:val="21"/>
                <w:szCs w:val="21"/>
              </w:rPr>
              <w:t>1</w:t>
            </w:r>
            <w:r>
              <w:rPr>
                <w:rFonts w:hint="eastAsia" w:cs="Arial" w:eastAsiaTheme="minorEastAsia"/>
                <w:color w:val="000000"/>
                <w:sz w:val="21"/>
                <w:szCs w:val="21"/>
              </w:rPr>
              <w:t>层，建筑面积</w:t>
            </w:r>
            <w:r>
              <w:rPr>
                <w:rFonts w:cs="Arial" w:eastAsiaTheme="minorEastAsia"/>
                <w:color w:val="000000"/>
                <w:sz w:val="21"/>
                <w:szCs w:val="21"/>
              </w:rPr>
              <w:t>30m</w:t>
            </w:r>
            <w:r>
              <w:rPr>
                <w:rFonts w:cs="Arial" w:eastAsiaTheme="minorEastAsia"/>
                <w:color w:val="000000"/>
                <w:sz w:val="21"/>
                <w:szCs w:val="21"/>
                <w:vertAlign w:val="superscript"/>
              </w:rPr>
              <w:t>2</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已建</w:t>
            </w:r>
          </w:p>
        </w:tc>
      </w:tr>
      <w:tr>
        <w:tblPrEx>
          <w:tblLayout w:type="fixed"/>
          <w:tblCellMar>
            <w:top w:w="0" w:type="dxa"/>
            <w:left w:w="108" w:type="dxa"/>
            <w:bottom w:w="0" w:type="dxa"/>
            <w:right w:w="108" w:type="dxa"/>
          </w:tblCellMar>
        </w:tblPrEx>
        <w:trPr>
          <w:trHeight w:val="285"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门卫接待室</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cs="Arial" w:eastAsiaTheme="minorEastAsia"/>
                <w:color w:val="000000"/>
                <w:sz w:val="21"/>
                <w:szCs w:val="21"/>
              </w:rPr>
            </w:pPr>
            <w:r>
              <w:rPr>
                <w:rFonts w:cs="Arial" w:eastAsiaTheme="minorEastAsia"/>
                <w:color w:val="000000"/>
                <w:sz w:val="21"/>
                <w:szCs w:val="21"/>
              </w:rPr>
              <w:t>1</w:t>
            </w:r>
            <w:r>
              <w:rPr>
                <w:rFonts w:hint="eastAsia" w:cs="Arial" w:eastAsiaTheme="minorEastAsia"/>
                <w:color w:val="000000"/>
                <w:sz w:val="21"/>
                <w:szCs w:val="21"/>
              </w:rPr>
              <w:t>层，属于公共面积</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已建</w:t>
            </w:r>
          </w:p>
        </w:tc>
      </w:tr>
      <w:tr>
        <w:tblPrEx>
          <w:tblLayout w:type="fixed"/>
          <w:tblCellMar>
            <w:top w:w="0" w:type="dxa"/>
            <w:left w:w="108" w:type="dxa"/>
            <w:bottom w:w="0" w:type="dxa"/>
            <w:right w:w="108" w:type="dxa"/>
          </w:tblCellMar>
        </w:tblPrEx>
        <w:trPr>
          <w:trHeight w:val="285" w:hRule="atLeast"/>
        </w:trPr>
        <w:tc>
          <w:tcPr>
            <w:tcW w:w="624" w:type="dxa"/>
            <w:vMerge w:val="restart"/>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环保工程</w:t>
            </w:r>
          </w:p>
        </w:tc>
        <w:tc>
          <w:tcPr>
            <w:tcW w:w="50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固体废物</w:t>
            </w:r>
          </w:p>
        </w:tc>
        <w:tc>
          <w:tcPr>
            <w:tcW w:w="106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生活垃圾</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交当地环卫部门清运处理</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已建</w:t>
            </w:r>
          </w:p>
        </w:tc>
      </w:tr>
      <w:tr>
        <w:tblPrEx>
          <w:tblLayout w:type="fixed"/>
          <w:tblCellMar>
            <w:top w:w="0" w:type="dxa"/>
            <w:left w:w="108" w:type="dxa"/>
            <w:bottom w:w="0" w:type="dxa"/>
            <w:right w:w="108" w:type="dxa"/>
          </w:tblCellMar>
        </w:tblPrEx>
        <w:trPr>
          <w:trHeight w:val="510"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505"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062"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一般工业废物</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设置临时堆放场，外售废品回收单位作资源化再利用</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已建</w:t>
            </w:r>
          </w:p>
        </w:tc>
      </w:tr>
      <w:tr>
        <w:tblPrEx>
          <w:tblLayout w:type="fixed"/>
          <w:tblCellMar>
            <w:top w:w="0" w:type="dxa"/>
            <w:left w:w="108" w:type="dxa"/>
            <w:bottom w:w="0" w:type="dxa"/>
            <w:right w:w="108" w:type="dxa"/>
          </w:tblCellMar>
        </w:tblPrEx>
        <w:trPr>
          <w:trHeight w:val="510"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505"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062"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危险废物</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分类单独收集、在厂区内危险废物仓库暂存，委托有资质单位处置</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已建</w:t>
            </w:r>
          </w:p>
        </w:tc>
      </w:tr>
      <w:tr>
        <w:tblPrEx>
          <w:tblLayout w:type="fixed"/>
          <w:tblCellMar>
            <w:top w:w="0" w:type="dxa"/>
            <w:left w:w="108" w:type="dxa"/>
            <w:bottom w:w="0" w:type="dxa"/>
            <w:right w:w="108" w:type="dxa"/>
          </w:tblCellMar>
        </w:tblPrEx>
        <w:trPr>
          <w:trHeight w:val="335"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505"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062" w:type="dxa"/>
            <w:vMerge w:val="restart"/>
            <w:tcBorders>
              <w:top w:val="single" w:color="auto" w:sz="4" w:space="0"/>
              <w:left w:val="nil"/>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配料粉尘</w:t>
            </w:r>
          </w:p>
        </w:tc>
        <w:tc>
          <w:tcPr>
            <w:tcW w:w="822" w:type="dxa"/>
            <w:tcBorders>
              <w:top w:val="nil"/>
              <w:left w:val="nil"/>
              <w:bottom w:val="single" w:color="auto" w:sz="4" w:space="0"/>
              <w:right w:val="single" w:color="auto" w:sz="4" w:space="0"/>
            </w:tcBorders>
            <w:shd w:val="clear" w:color="auto" w:fill="auto"/>
            <w:vAlign w:val="center"/>
          </w:tcPr>
          <w:p>
            <w:pPr>
              <w:pStyle w:val="151"/>
              <w:jc w:val="left"/>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现状</w:t>
            </w:r>
          </w:p>
        </w:tc>
        <w:tc>
          <w:tcPr>
            <w:tcW w:w="5255" w:type="dxa"/>
            <w:tcBorders>
              <w:top w:val="nil"/>
              <w:left w:val="nil"/>
              <w:bottom w:val="single" w:color="auto" w:sz="4" w:space="0"/>
              <w:right w:val="single" w:color="auto" w:sz="4" w:space="0"/>
            </w:tcBorders>
            <w:shd w:val="clear" w:color="auto" w:fill="auto"/>
            <w:vAlign w:val="center"/>
          </w:tcPr>
          <w:p>
            <w:pPr>
              <w:pStyle w:val="151"/>
              <w:jc w:val="left"/>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无收集处理，通过车间窗户无组织排放</w:t>
            </w:r>
          </w:p>
        </w:tc>
        <w:tc>
          <w:tcPr>
            <w:tcW w:w="792" w:type="dxa"/>
            <w:vMerge w:val="restart"/>
            <w:tcBorders>
              <w:top w:val="single" w:color="auto" w:sz="4" w:space="0"/>
              <w:left w:val="nil"/>
              <w:right w:val="single" w:color="auto" w:sz="4" w:space="0"/>
            </w:tcBorders>
            <w:shd w:val="clear" w:color="auto" w:fill="auto"/>
            <w:vAlign w:val="center"/>
          </w:tcPr>
          <w:p>
            <w:pPr>
              <w:pStyle w:val="151"/>
              <w:rPr>
                <w:rStyle w:val="63"/>
              </w:rPr>
            </w:pPr>
            <w:r>
              <w:rPr>
                <w:rStyle w:val="63"/>
                <w:rFonts w:hint="eastAsia"/>
                <w:color w:val="000000" w:themeColor="text1"/>
                <w14:textFill>
                  <w14:solidFill>
                    <w14:schemeClr w14:val="tx1"/>
                  </w14:solidFill>
                </w14:textFill>
              </w:rPr>
              <w:t>需要整改</w:t>
            </w:r>
          </w:p>
        </w:tc>
      </w:tr>
      <w:tr>
        <w:tblPrEx>
          <w:tblLayout w:type="fixed"/>
          <w:tblCellMar>
            <w:top w:w="0" w:type="dxa"/>
            <w:left w:w="108" w:type="dxa"/>
            <w:bottom w:w="0" w:type="dxa"/>
            <w:right w:w="108" w:type="dxa"/>
          </w:tblCellMar>
        </w:tblPrEx>
        <w:trPr>
          <w:trHeight w:val="318"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505"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062" w:type="dxa"/>
            <w:vMerge w:val="continue"/>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822" w:type="dxa"/>
            <w:tcBorders>
              <w:top w:val="single" w:color="auto" w:sz="4" w:space="0"/>
              <w:left w:val="nil"/>
              <w:bottom w:val="single" w:color="auto" w:sz="4" w:space="0"/>
              <w:right w:val="single" w:color="auto" w:sz="4" w:space="0"/>
            </w:tcBorders>
            <w:shd w:val="clear" w:color="auto" w:fill="auto"/>
            <w:vAlign w:val="center"/>
          </w:tcPr>
          <w:p>
            <w:pPr>
              <w:pStyle w:val="151"/>
              <w:jc w:val="left"/>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整改</w:t>
            </w:r>
          </w:p>
        </w:tc>
        <w:tc>
          <w:tcPr>
            <w:tcW w:w="5255" w:type="dxa"/>
            <w:tcBorders>
              <w:top w:val="single" w:color="auto" w:sz="4" w:space="0"/>
              <w:left w:val="nil"/>
              <w:bottom w:val="single" w:color="auto" w:sz="4" w:space="0"/>
              <w:right w:val="single" w:color="auto" w:sz="4" w:space="0"/>
            </w:tcBorders>
            <w:shd w:val="clear" w:color="auto" w:fill="auto"/>
            <w:vAlign w:val="center"/>
          </w:tcPr>
          <w:p>
            <w:pPr>
              <w:pStyle w:val="151"/>
              <w:jc w:val="left"/>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建议建设单位将配料工序移至密炼机旁进行，对配料、密炼工序进行局部围蔽处理，解包、配料操作区上方设移动式集气罩，并对围蔽的空间进行整体负压抽风收集。</w:t>
            </w:r>
          </w:p>
        </w:tc>
        <w:tc>
          <w:tcPr>
            <w:tcW w:w="792" w:type="dxa"/>
            <w:vMerge w:val="continue"/>
            <w:tcBorders>
              <w:left w:val="nil"/>
              <w:bottom w:val="single" w:color="auto" w:sz="4" w:space="0"/>
              <w:right w:val="single" w:color="auto" w:sz="4" w:space="0"/>
            </w:tcBorders>
            <w:shd w:val="clear" w:color="auto" w:fill="auto"/>
            <w:vAlign w:val="center"/>
          </w:tcPr>
          <w:p>
            <w:pPr>
              <w:pStyle w:val="107"/>
              <w:rPr>
                <w:rStyle w:val="63"/>
              </w:rPr>
            </w:pPr>
          </w:p>
        </w:tc>
      </w:tr>
      <w:tr>
        <w:tblPrEx>
          <w:tblLayout w:type="fixed"/>
          <w:tblCellMar>
            <w:top w:w="0" w:type="dxa"/>
            <w:left w:w="108" w:type="dxa"/>
            <w:bottom w:w="0" w:type="dxa"/>
            <w:right w:w="108" w:type="dxa"/>
          </w:tblCellMar>
        </w:tblPrEx>
        <w:trPr>
          <w:trHeight w:val="480"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505"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062" w:type="dxa"/>
            <w:vMerge w:val="restart"/>
            <w:tcBorders>
              <w:top w:val="single" w:color="auto" w:sz="4" w:space="0"/>
              <w:left w:val="nil"/>
              <w:right w:val="single" w:color="auto" w:sz="4" w:space="0"/>
            </w:tcBorders>
            <w:shd w:val="clear" w:color="auto" w:fill="auto"/>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投料粉尘、密炼废气、开炼废气</w:t>
            </w:r>
          </w:p>
        </w:tc>
        <w:tc>
          <w:tcPr>
            <w:tcW w:w="822" w:type="dxa"/>
            <w:tcBorders>
              <w:top w:val="nil"/>
              <w:left w:val="nil"/>
              <w:bottom w:val="single" w:color="auto" w:sz="4" w:space="0"/>
              <w:right w:val="single" w:color="auto" w:sz="4" w:space="0"/>
            </w:tcBorders>
            <w:shd w:val="clear" w:color="auto" w:fill="auto"/>
            <w:vAlign w:val="center"/>
          </w:tcPr>
          <w:p>
            <w:pPr>
              <w:pStyle w:val="107"/>
              <w:jc w:val="left"/>
            </w:pPr>
            <w:r>
              <w:rPr>
                <w:rFonts w:hint="eastAsia"/>
              </w:rPr>
              <w:t>现状</w:t>
            </w:r>
          </w:p>
        </w:tc>
        <w:tc>
          <w:tcPr>
            <w:tcW w:w="5255"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密炼机的密炼室内设有抽风系统捕集密炼过程中产生的密炼废气，经密炼机出气口直接管道收集，收集后经布袋除尘器处理后由1</w:t>
            </w:r>
            <w:r>
              <w:rPr>
                <w:rStyle w:val="63"/>
                <w:color w:val="000000" w:themeColor="text1"/>
                <w14:textFill>
                  <w14:solidFill>
                    <w14:schemeClr w14:val="tx1"/>
                  </w14:solidFill>
                </w14:textFill>
              </w:rPr>
              <w:t>5m高</w:t>
            </w:r>
            <w:r>
              <w:rPr>
                <w:rStyle w:val="63"/>
                <w:rFonts w:hint="eastAsia"/>
                <w:color w:val="000000" w:themeColor="text1"/>
                <w14:textFill>
                  <w14:solidFill>
                    <w14:schemeClr w14:val="tx1"/>
                  </w14:solidFill>
                </w14:textFill>
              </w:rPr>
              <w:t>排气筒（编号</w:t>
            </w:r>
            <w:r>
              <w:rPr>
                <w:rStyle w:val="63"/>
                <w:color w:val="000000" w:themeColor="text1"/>
                <w14:textFill>
                  <w14:solidFill>
                    <w14:schemeClr w14:val="tx1"/>
                  </w14:solidFill>
                </w14:textFill>
              </w:rPr>
              <w:t>P1</w:t>
            </w:r>
            <w:r>
              <w:rPr>
                <w:rStyle w:val="63"/>
                <w:rFonts w:hint="eastAsia"/>
                <w:color w:val="000000" w:themeColor="text1"/>
                <w14:textFill>
                  <w14:solidFill>
                    <w14:schemeClr w14:val="tx1"/>
                  </w14:solidFill>
                </w14:textFill>
              </w:rPr>
              <w:t>）排放</w:t>
            </w:r>
          </w:p>
        </w:tc>
        <w:tc>
          <w:tcPr>
            <w:tcW w:w="792" w:type="dxa"/>
            <w:vMerge w:val="restart"/>
            <w:tcBorders>
              <w:top w:val="single" w:color="auto" w:sz="4" w:space="0"/>
              <w:left w:val="nil"/>
              <w:bottom w:val="single" w:color="auto" w:sz="4" w:space="0"/>
              <w:right w:val="single" w:color="auto" w:sz="4" w:space="0"/>
            </w:tcBorders>
            <w:shd w:val="clear" w:color="auto" w:fill="auto"/>
            <w:vAlign w:val="center"/>
          </w:tcPr>
          <w:p>
            <w:pPr>
              <w:pStyle w:val="107"/>
              <w:rPr>
                <w:color w:val="000000"/>
              </w:rPr>
            </w:pPr>
            <w:r>
              <w:rPr>
                <w:rFonts w:hint="eastAsia"/>
                <w:color w:val="000000"/>
              </w:rPr>
              <w:t>需要整改</w:t>
            </w:r>
          </w:p>
        </w:tc>
      </w:tr>
      <w:tr>
        <w:tblPrEx>
          <w:tblLayout w:type="fixed"/>
          <w:tblCellMar>
            <w:top w:w="0" w:type="dxa"/>
            <w:left w:w="108" w:type="dxa"/>
            <w:bottom w:w="0" w:type="dxa"/>
            <w:right w:w="108" w:type="dxa"/>
          </w:tblCellMar>
        </w:tblPrEx>
        <w:trPr>
          <w:trHeight w:val="175"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505"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062" w:type="dxa"/>
            <w:vMerge w:val="continue"/>
            <w:tcBorders>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822" w:type="dxa"/>
            <w:tcBorders>
              <w:top w:val="single" w:color="auto" w:sz="4" w:space="0"/>
              <w:left w:val="nil"/>
              <w:bottom w:val="single" w:color="auto" w:sz="4" w:space="0"/>
              <w:right w:val="single" w:color="auto" w:sz="4" w:space="0"/>
            </w:tcBorders>
            <w:shd w:val="clear" w:color="auto" w:fill="auto"/>
            <w:vAlign w:val="center"/>
          </w:tcPr>
          <w:p>
            <w:pPr>
              <w:pStyle w:val="107"/>
              <w:jc w:val="left"/>
            </w:pPr>
            <w:r>
              <w:rPr>
                <w:rFonts w:hint="eastAsia"/>
              </w:rPr>
              <w:t>整改</w:t>
            </w:r>
          </w:p>
        </w:tc>
        <w:tc>
          <w:tcPr>
            <w:tcW w:w="5255" w:type="dxa"/>
            <w:tcBorders>
              <w:top w:val="single" w:color="auto" w:sz="4" w:space="0"/>
              <w:left w:val="nil"/>
              <w:bottom w:val="single" w:color="auto" w:sz="4" w:space="0"/>
              <w:right w:val="single" w:color="auto" w:sz="4" w:space="0"/>
            </w:tcBorders>
            <w:shd w:val="clear" w:color="auto" w:fill="auto"/>
            <w:vAlign w:val="center"/>
          </w:tcPr>
          <w:p>
            <w:pPr>
              <w:pStyle w:val="107"/>
              <w:jc w:val="left"/>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对配料、密炼工序进行局部围蔽处理，密炼机进、出料口设集气罩局部抽风，并对围蔽的空间进行整体负压抽风收集，收集后的废气通过袋式除尘器除尘处理后，再与开炼废气、硫化废气一同引至同一套“喷淋塔+UV光解+活性炭吸附”装置处理</w:t>
            </w:r>
          </w:p>
        </w:tc>
        <w:tc>
          <w:tcPr>
            <w:tcW w:w="792" w:type="dxa"/>
            <w:vMerge w:val="continue"/>
            <w:tcBorders>
              <w:top w:val="single" w:color="auto" w:sz="4" w:space="0"/>
              <w:left w:val="nil"/>
              <w:bottom w:val="single" w:color="auto" w:sz="4" w:space="0"/>
              <w:right w:val="single" w:color="auto" w:sz="4" w:space="0"/>
            </w:tcBorders>
            <w:shd w:val="clear" w:color="auto" w:fill="auto"/>
            <w:vAlign w:val="center"/>
          </w:tcPr>
          <w:p>
            <w:pPr>
              <w:pStyle w:val="107"/>
            </w:pPr>
          </w:p>
        </w:tc>
      </w:tr>
      <w:tr>
        <w:tblPrEx>
          <w:tblLayout w:type="fixed"/>
          <w:tblCellMar>
            <w:top w:w="0" w:type="dxa"/>
            <w:left w:w="108" w:type="dxa"/>
            <w:bottom w:w="0" w:type="dxa"/>
            <w:right w:w="108" w:type="dxa"/>
          </w:tblCellMar>
        </w:tblPrEx>
        <w:trPr>
          <w:trHeight w:val="135"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505"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062" w:type="dxa"/>
            <w:vMerge w:val="restart"/>
            <w:tcBorders>
              <w:top w:val="nil"/>
              <w:left w:val="nil"/>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开炼废气、硫化废气</w:t>
            </w:r>
          </w:p>
        </w:tc>
        <w:tc>
          <w:tcPr>
            <w:tcW w:w="822" w:type="dxa"/>
            <w:tcBorders>
              <w:top w:val="nil"/>
              <w:left w:val="nil"/>
              <w:bottom w:val="single" w:color="auto" w:sz="4" w:space="0"/>
              <w:right w:val="single" w:color="auto" w:sz="4" w:space="0"/>
            </w:tcBorders>
            <w:shd w:val="clear" w:color="auto" w:fill="auto"/>
            <w:vAlign w:val="center"/>
          </w:tcPr>
          <w:p>
            <w:pPr>
              <w:pStyle w:val="107"/>
              <w:jc w:val="left"/>
            </w:pPr>
            <w:r>
              <w:rPr>
                <w:rFonts w:hint="eastAsia"/>
              </w:rPr>
              <w:t>现状</w:t>
            </w:r>
          </w:p>
        </w:tc>
        <w:tc>
          <w:tcPr>
            <w:tcW w:w="5255" w:type="dxa"/>
            <w:tcBorders>
              <w:top w:val="nil"/>
              <w:left w:val="nil"/>
              <w:bottom w:val="single" w:color="auto" w:sz="4" w:space="0"/>
              <w:right w:val="single" w:color="auto" w:sz="4" w:space="0"/>
            </w:tcBorders>
            <w:shd w:val="clear" w:color="auto" w:fill="auto"/>
            <w:vAlign w:val="center"/>
          </w:tcPr>
          <w:p>
            <w:pPr>
              <w:pStyle w:val="107"/>
              <w:jc w:val="left"/>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开炼、硫化工序产生的废气经集气罩收集后，引至同一套活性炭吸附装置，经处理达标后由1</w:t>
            </w:r>
            <w:r>
              <w:rPr>
                <w:rStyle w:val="63"/>
                <w:color w:val="000000" w:themeColor="text1"/>
                <w14:textFill>
                  <w14:solidFill>
                    <w14:schemeClr w14:val="tx1"/>
                  </w14:solidFill>
                </w14:textFill>
              </w:rPr>
              <w:t>5m</w:t>
            </w:r>
            <w:r>
              <w:rPr>
                <w:rStyle w:val="63"/>
                <w:rFonts w:hint="eastAsia"/>
                <w:color w:val="000000" w:themeColor="text1"/>
                <w14:textFill>
                  <w14:solidFill>
                    <w14:schemeClr w14:val="tx1"/>
                  </w14:solidFill>
                </w14:textFill>
              </w:rPr>
              <w:t>高排气筒（编号</w:t>
            </w:r>
            <w:r>
              <w:rPr>
                <w:rStyle w:val="63"/>
                <w:color w:val="000000" w:themeColor="text1"/>
                <w14:textFill>
                  <w14:solidFill>
                    <w14:schemeClr w14:val="tx1"/>
                  </w14:solidFill>
                </w14:textFill>
              </w:rPr>
              <w:t>P2</w:t>
            </w:r>
            <w:r>
              <w:rPr>
                <w:rStyle w:val="63"/>
                <w:rFonts w:hint="eastAsia"/>
                <w:color w:val="000000" w:themeColor="text1"/>
                <w14:textFill>
                  <w14:solidFill>
                    <w14:schemeClr w14:val="tx1"/>
                  </w14:solidFill>
                </w14:textFill>
              </w:rPr>
              <w:t>）排放</w:t>
            </w:r>
          </w:p>
        </w:tc>
        <w:tc>
          <w:tcPr>
            <w:tcW w:w="792" w:type="dxa"/>
            <w:vMerge w:val="restart"/>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color w:val="000000"/>
              </w:rPr>
              <w:t>需要整改</w:t>
            </w:r>
          </w:p>
        </w:tc>
      </w:tr>
      <w:tr>
        <w:tblPrEx>
          <w:tblLayout w:type="fixed"/>
          <w:tblCellMar>
            <w:top w:w="0" w:type="dxa"/>
            <w:left w:w="108" w:type="dxa"/>
            <w:bottom w:w="0" w:type="dxa"/>
            <w:right w:w="108" w:type="dxa"/>
          </w:tblCellMar>
        </w:tblPrEx>
        <w:trPr>
          <w:trHeight w:val="855"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505"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062" w:type="dxa"/>
            <w:vMerge w:val="continue"/>
            <w:tcBorders>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themeColor="text1"/>
                <w:sz w:val="21"/>
                <w:szCs w:val="21"/>
                <w14:textFill>
                  <w14:solidFill>
                    <w14:schemeClr w14:val="tx1"/>
                  </w14:solidFill>
                </w14:textFill>
              </w:rPr>
            </w:pPr>
          </w:p>
        </w:tc>
        <w:tc>
          <w:tcPr>
            <w:tcW w:w="822" w:type="dxa"/>
            <w:tcBorders>
              <w:top w:val="single" w:color="auto" w:sz="4" w:space="0"/>
              <w:left w:val="nil"/>
              <w:bottom w:val="nil"/>
              <w:right w:val="single" w:color="auto" w:sz="4" w:space="0"/>
            </w:tcBorders>
            <w:shd w:val="clear" w:color="auto" w:fill="auto"/>
            <w:vAlign w:val="center"/>
          </w:tcPr>
          <w:p>
            <w:pPr>
              <w:pStyle w:val="107"/>
              <w:jc w:val="left"/>
            </w:pPr>
            <w:r>
              <w:rPr>
                <w:rFonts w:hint="eastAsia"/>
              </w:rPr>
              <w:t>整改</w:t>
            </w:r>
          </w:p>
        </w:tc>
        <w:tc>
          <w:tcPr>
            <w:tcW w:w="5255" w:type="dxa"/>
            <w:tcBorders>
              <w:top w:val="single" w:color="auto" w:sz="4" w:space="0"/>
              <w:left w:val="nil"/>
              <w:bottom w:val="nil"/>
              <w:right w:val="single" w:color="auto" w:sz="4" w:space="0"/>
            </w:tcBorders>
            <w:shd w:val="clear" w:color="auto" w:fill="auto"/>
            <w:vAlign w:val="center"/>
          </w:tcPr>
          <w:p>
            <w:pPr>
              <w:pStyle w:val="107"/>
              <w:jc w:val="left"/>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加强混炼车间、裁切车间密闭状态，在开炼机原有集气罩四周配备PVC软帘，进行局部围合，废气经收集后，引至同一套“喷淋塔+UV光解+活性炭吸附”装置处理，经处理达标后由</w:t>
            </w:r>
            <w:r>
              <w:rPr>
                <w:rStyle w:val="63"/>
                <w:color w:val="000000" w:themeColor="text1"/>
                <w14:textFill>
                  <w14:solidFill>
                    <w14:schemeClr w14:val="tx1"/>
                  </w14:solidFill>
                </w14:textFill>
              </w:rPr>
              <w:t>15m</w:t>
            </w:r>
            <w:r>
              <w:rPr>
                <w:rStyle w:val="63"/>
                <w:rFonts w:hint="eastAsia"/>
                <w:color w:val="000000" w:themeColor="text1"/>
                <w14:textFill>
                  <w14:solidFill>
                    <w14:schemeClr w14:val="tx1"/>
                  </w14:solidFill>
                </w14:textFill>
              </w:rPr>
              <w:t>排气筒（编号</w:t>
            </w:r>
            <w:r>
              <w:rPr>
                <w:rStyle w:val="63"/>
                <w:color w:val="000000" w:themeColor="text1"/>
                <w14:textFill>
                  <w14:solidFill>
                    <w14:schemeClr w14:val="tx1"/>
                  </w14:solidFill>
                </w14:textFill>
              </w:rPr>
              <w:t>P2</w:t>
            </w:r>
            <w:r>
              <w:rPr>
                <w:rStyle w:val="63"/>
                <w:rFonts w:hint="eastAsia"/>
                <w:color w:val="000000" w:themeColor="text1"/>
                <w14:textFill>
                  <w14:solidFill>
                    <w14:schemeClr w14:val="tx1"/>
                  </w14:solidFill>
                </w14:textFill>
              </w:rPr>
              <w:t>）排放</w:t>
            </w:r>
          </w:p>
        </w:tc>
        <w:tc>
          <w:tcPr>
            <w:tcW w:w="792" w:type="dxa"/>
            <w:vMerge w:val="continue"/>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p>
        </w:tc>
      </w:tr>
      <w:tr>
        <w:tblPrEx>
          <w:tblLayout w:type="fixed"/>
          <w:tblCellMar>
            <w:top w:w="0" w:type="dxa"/>
            <w:left w:w="108" w:type="dxa"/>
            <w:bottom w:w="0" w:type="dxa"/>
            <w:right w:w="108" w:type="dxa"/>
          </w:tblCellMar>
        </w:tblPrEx>
        <w:trPr>
          <w:trHeight w:val="1047"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505" w:type="dxa"/>
            <w:vMerge w:val="restart"/>
            <w:tcBorders>
              <w:top w:val="nil"/>
              <w:left w:val="nil"/>
              <w:right w:val="single" w:color="auto" w:sz="4" w:space="0"/>
            </w:tcBorders>
            <w:shd w:val="clear" w:color="auto" w:fill="auto"/>
            <w:vAlign w:val="center"/>
          </w:tcPr>
          <w:p>
            <w:pPr>
              <w:pStyle w:val="107"/>
            </w:pPr>
            <w:r>
              <w:rPr>
                <w:rFonts w:hint="eastAsia"/>
              </w:rPr>
              <w:t>废水</w:t>
            </w:r>
          </w:p>
        </w:tc>
        <w:tc>
          <w:tcPr>
            <w:tcW w:w="1062" w:type="dxa"/>
            <w:vMerge w:val="restart"/>
            <w:tcBorders>
              <w:top w:val="nil"/>
              <w:left w:val="nil"/>
              <w:right w:val="nil"/>
            </w:tcBorders>
            <w:shd w:val="clear" w:color="auto" w:fill="auto"/>
            <w:vAlign w:val="center"/>
          </w:tcPr>
          <w:p>
            <w:pPr>
              <w:pStyle w:val="107"/>
            </w:pPr>
            <w:r>
              <w:rPr>
                <w:rFonts w:hint="eastAsia"/>
              </w:rPr>
              <w:t>生活污水收集池及排放管网</w:t>
            </w:r>
          </w:p>
        </w:tc>
        <w:tc>
          <w:tcPr>
            <w:tcW w:w="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现状</w:t>
            </w:r>
          </w:p>
        </w:tc>
        <w:tc>
          <w:tcPr>
            <w:tcW w:w="5255"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项目不产生工业废水。生活污水经三级化粪池处理后排入苍城污水处理厂进行处理</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w:t>
            </w:r>
          </w:p>
        </w:tc>
      </w:tr>
      <w:tr>
        <w:tblPrEx>
          <w:tblLayout w:type="fixed"/>
          <w:tblCellMar>
            <w:top w:w="0" w:type="dxa"/>
            <w:left w:w="108" w:type="dxa"/>
            <w:bottom w:w="0" w:type="dxa"/>
            <w:right w:w="108" w:type="dxa"/>
          </w:tblCellMar>
        </w:tblPrEx>
        <w:trPr>
          <w:trHeight w:val="1335"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505" w:type="dxa"/>
            <w:vMerge w:val="continue"/>
            <w:tcBorders>
              <w:left w:val="nil"/>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p>
        </w:tc>
        <w:tc>
          <w:tcPr>
            <w:tcW w:w="1062" w:type="dxa"/>
            <w:vMerge w:val="continue"/>
            <w:tcBorders>
              <w:left w:val="nil"/>
              <w:bottom w:val="single" w:color="auto" w:sz="4" w:space="0"/>
              <w:right w:val="nil"/>
            </w:tcBorders>
            <w:shd w:val="clear" w:color="auto" w:fill="auto"/>
            <w:vAlign w:val="center"/>
          </w:tcPr>
          <w:p>
            <w:pPr>
              <w:pStyle w:val="107"/>
            </w:pPr>
          </w:p>
        </w:tc>
        <w:tc>
          <w:tcPr>
            <w:tcW w:w="82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整改</w:t>
            </w:r>
          </w:p>
        </w:tc>
        <w:tc>
          <w:tcPr>
            <w:tcW w:w="5255"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项目运营期生活污水</w:t>
            </w:r>
            <w:r>
              <w:rPr>
                <w:rFonts w:cs="Arial" w:eastAsiaTheme="minorEastAsia"/>
                <w:color w:val="000000"/>
                <w:sz w:val="21"/>
                <w:szCs w:val="21"/>
              </w:rPr>
              <w:t>1.08m</w:t>
            </w:r>
            <w:r>
              <w:rPr>
                <w:rFonts w:cs="Arial" w:eastAsiaTheme="minorEastAsia"/>
                <w:color w:val="000000"/>
                <w:sz w:val="21"/>
                <w:szCs w:val="21"/>
                <w:vertAlign w:val="superscript"/>
              </w:rPr>
              <w:t>3</w:t>
            </w:r>
            <w:r>
              <w:rPr>
                <w:rFonts w:cs="Arial" w:eastAsiaTheme="minorEastAsia"/>
                <w:color w:val="000000"/>
                <w:sz w:val="21"/>
                <w:szCs w:val="21"/>
              </w:rPr>
              <w:t>/d</w:t>
            </w:r>
            <w:r>
              <w:rPr>
                <w:rFonts w:hint="eastAsia" w:eastAsiaTheme="minorEastAsia"/>
                <w:color w:val="000000"/>
                <w:sz w:val="21"/>
                <w:szCs w:val="21"/>
              </w:rPr>
              <w:t>经三级化粪池预处理后，排入污水管网由苍城污水处理厂统一处理</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已建</w:t>
            </w:r>
          </w:p>
        </w:tc>
      </w:tr>
      <w:tr>
        <w:tblPrEx>
          <w:tblLayout w:type="fixed"/>
          <w:tblCellMar>
            <w:top w:w="0" w:type="dxa"/>
            <w:left w:w="108" w:type="dxa"/>
            <w:bottom w:w="0" w:type="dxa"/>
            <w:right w:w="108" w:type="dxa"/>
          </w:tblCellMar>
        </w:tblPrEx>
        <w:trPr>
          <w:trHeight w:val="285"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噪声</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合理布局、选用低噪声设备、基础减震、墙体隔声</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已建</w:t>
            </w:r>
          </w:p>
        </w:tc>
      </w:tr>
      <w:tr>
        <w:tblPrEx>
          <w:tblLayout w:type="fixed"/>
          <w:tblCellMar>
            <w:top w:w="0" w:type="dxa"/>
            <w:left w:w="108" w:type="dxa"/>
            <w:bottom w:w="0" w:type="dxa"/>
            <w:right w:w="108" w:type="dxa"/>
          </w:tblCellMar>
        </w:tblPrEx>
        <w:trPr>
          <w:trHeight w:val="315" w:hRule="atLeast"/>
        </w:trPr>
        <w:tc>
          <w:tcPr>
            <w:tcW w:w="624" w:type="dxa"/>
            <w:vMerge w:val="continue"/>
            <w:tcBorders>
              <w:top w:val="nil"/>
              <w:left w:val="single" w:color="auto" w:sz="4" w:space="0"/>
              <w:bottom w:val="single" w:color="auto" w:sz="4" w:space="0"/>
              <w:right w:val="single" w:color="auto" w:sz="4" w:space="0"/>
            </w:tcBorders>
            <w:vAlign w:val="center"/>
          </w:tcPr>
          <w:p>
            <w:pPr>
              <w:spacing w:line="240" w:lineRule="auto"/>
              <w:ind w:firstLine="0" w:firstLineChars="0"/>
              <w:rPr>
                <w:rFonts w:eastAsiaTheme="minorEastAsia"/>
                <w:color w:val="000000"/>
                <w:sz w:val="21"/>
                <w:szCs w:val="21"/>
              </w:rPr>
            </w:pPr>
          </w:p>
        </w:tc>
        <w:tc>
          <w:tcPr>
            <w:tcW w:w="1567" w:type="dxa"/>
            <w:gridSpan w:val="2"/>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环境风险设施</w:t>
            </w:r>
          </w:p>
        </w:tc>
        <w:tc>
          <w:tcPr>
            <w:tcW w:w="6077" w:type="dxa"/>
            <w:gridSpan w:val="2"/>
            <w:tcBorders>
              <w:top w:val="nil"/>
              <w:left w:val="nil"/>
              <w:bottom w:val="single" w:color="auto" w:sz="4" w:space="0"/>
              <w:right w:val="single" w:color="auto" w:sz="4" w:space="0"/>
            </w:tcBorders>
            <w:shd w:val="clear" w:color="auto" w:fill="auto"/>
            <w:vAlign w:val="center"/>
          </w:tcPr>
          <w:p>
            <w:pPr>
              <w:spacing w:line="240" w:lineRule="auto"/>
              <w:ind w:firstLine="0" w:firstLineChars="0"/>
              <w:rPr>
                <w:rFonts w:eastAsiaTheme="minorEastAsia"/>
                <w:color w:val="000000"/>
                <w:sz w:val="21"/>
                <w:szCs w:val="21"/>
              </w:rPr>
            </w:pPr>
            <w:r>
              <w:rPr>
                <w:rFonts w:hint="eastAsia" w:eastAsiaTheme="minorEastAsia"/>
                <w:color w:val="000000"/>
                <w:sz w:val="21"/>
                <w:szCs w:val="21"/>
              </w:rPr>
              <w:t>厂</w:t>
            </w:r>
            <w:r>
              <w:rPr>
                <w:rFonts w:hint="eastAsia" w:eastAsiaTheme="minorEastAsia"/>
                <w:color w:val="000000" w:themeColor="text1"/>
                <w:sz w:val="21"/>
                <w:szCs w:val="21"/>
                <w14:textFill>
                  <w14:solidFill>
                    <w14:schemeClr w14:val="tx1"/>
                  </w14:solidFill>
                </w14:textFill>
              </w:rPr>
              <w:t>区地势较低处设置地埋式</w:t>
            </w:r>
            <w:r>
              <w:rPr>
                <w:rFonts w:cs="Arial" w:eastAsiaTheme="minorEastAsia"/>
                <w:color w:val="000000" w:themeColor="text1"/>
                <w:sz w:val="21"/>
                <w:szCs w:val="21"/>
                <w14:textFill>
                  <w14:solidFill>
                    <w14:schemeClr w14:val="tx1"/>
                  </w14:solidFill>
                </w14:textFill>
              </w:rPr>
              <w:t>82m</w:t>
            </w:r>
            <w:r>
              <w:rPr>
                <w:rFonts w:cs="Arial" w:eastAsiaTheme="minorEastAsia"/>
                <w:color w:val="000000" w:themeColor="text1"/>
                <w:sz w:val="21"/>
                <w:szCs w:val="21"/>
                <w:vertAlign w:val="superscript"/>
                <w14:textFill>
                  <w14:solidFill>
                    <w14:schemeClr w14:val="tx1"/>
                  </w14:solidFill>
                </w14:textFill>
              </w:rPr>
              <w:t>3</w:t>
            </w:r>
            <w:r>
              <w:rPr>
                <w:rFonts w:hint="eastAsia" w:eastAsiaTheme="minorEastAsia"/>
                <w:color w:val="000000" w:themeColor="text1"/>
                <w:sz w:val="21"/>
                <w:szCs w:val="21"/>
                <w14:textFill>
                  <w14:solidFill>
                    <w14:schemeClr w14:val="tx1"/>
                  </w14:solidFill>
                </w14:textFill>
              </w:rPr>
              <w:t>事故应急池，</w:t>
            </w:r>
            <w:r>
              <w:rPr>
                <w:rFonts w:hint="eastAsia"/>
                <w:color w:val="000000" w:themeColor="text1"/>
                <w:sz w:val="21"/>
                <w:szCs w:val="21"/>
                <w14:textFill>
                  <w14:solidFill>
                    <w14:schemeClr w14:val="tx1"/>
                  </w14:solidFill>
                </w14:textFill>
              </w:rPr>
              <w:t>深度不小于1.5m，面积不小于55m²</w:t>
            </w:r>
          </w:p>
        </w:tc>
        <w:tc>
          <w:tcPr>
            <w:tcW w:w="792"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sz w:val="21"/>
                <w:szCs w:val="21"/>
              </w:rPr>
            </w:pPr>
            <w:r>
              <w:rPr>
                <w:rFonts w:hint="eastAsia" w:eastAsiaTheme="minorEastAsia"/>
                <w:color w:val="000000"/>
                <w:sz w:val="21"/>
                <w:szCs w:val="21"/>
              </w:rPr>
              <w:t>未建</w:t>
            </w:r>
          </w:p>
        </w:tc>
      </w:tr>
    </w:tbl>
    <w:p>
      <w:pPr>
        <w:pStyle w:val="6"/>
      </w:pPr>
      <w:r>
        <w:rPr>
          <w:rFonts w:hint="eastAsia"/>
        </w:rPr>
        <w:t>构（建）筑物经济技术指标</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rPr>
          <w:rFonts w:hint="eastAsia"/>
        </w:rPr>
        <w:t>构（建）筑物经济技术指标表</w:t>
      </w:r>
    </w:p>
    <w:tbl>
      <w:tblPr>
        <w:tblStyle w:val="56"/>
        <w:tblW w:w="8676" w:type="dxa"/>
        <w:jc w:val="center"/>
        <w:tblInd w:w="0" w:type="dxa"/>
        <w:tblLayout w:type="fixed"/>
        <w:tblCellMar>
          <w:top w:w="0" w:type="dxa"/>
          <w:left w:w="108" w:type="dxa"/>
          <w:bottom w:w="0" w:type="dxa"/>
          <w:right w:w="108" w:type="dxa"/>
        </w:tblCellMar>
      </w:tblPr>
      <w:tblGrid>
        <w:gridCol w:w="699"/>
        <w:gridCol w:w="1848"/>
        <w:gridCol w:w="710"/>
        <w:gridCol w:w="698"/>
        <w:gridCol w:w="1397"/>
        <w:gridCol w:w="645"/>
        <w:gridCol w:w="647"/>
        <w:gridCol w:w="647"/>
        <w:gridCol w:w="1385"/>
      </w:tblGrid>
      <w:tr>
        <w:tblPrEx>
          <w:tblLayout w:type="fixed"/>
          <w:tblCellMar>
            <w:top w:w="0" w:type="dxa"/>
            <w:left w:w="108" w:type="dxa"/>
            <w:bottom w:w="0" w:type="dxa"/>
            <w:right w:w="108" w:type="dxa"/>
          </w:tblCellMar>
        </w:tblPrEx>
        <w:trPr>
          <w:trHeight w:val="20" w:hRule="atLeast"/>
          <w:tblHeader/>
          <w:jc w:val="center"/>
        </w:trPr>
        <w:tc>
          <w:tcPr>
            <w:tcW w:w="699"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序号</w:t>
            </w:r>
          </w:p>
        </w:tc>
        <w:tc>
          <w:tcPr>
            <w:tcW w:w="1848"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建筑名字</w:t>
            </w:r>
          </w:p>
        </w:tc>
        <w:tc>
          <w:tcPr>
            <w:tcW w:w="710"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层数</w:t>
            </w:r>
          </w:p>
        </w:tc>
        <w:tc>
          <w:tcPr>
            <w:tcW w:w="698"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数量</w:t>
            </w:r>
          </w:p>
        </w:tc>
        <w:tc>
          <w:tcPr>
            <w:tcW w:w="1397"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基底面积</w:t>
            </w:r>
            <w:r>
              <w:rPr>
                <w:b/>
              </w:rPr>
              <w:t>m</w:t>
            </w:r>
            <w:r>
              <w:rPr>
                <w:b/>
                <w:vertAlign w:val="superscript"/>
              </w:rPr>
              <w:t>2</w:t>
            </w:r>
          </w:p>
        </w:tc>
        <w:tc>
          <w:tcPr>
            <w:tcW w:w="645"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长</w:t>
            </w:r>
            <w:r>
              <w:rPr>
                <w:b/>
              </w:rPr>
              <w:t>m</w:t>
            </w:r>
          </w:p>
        </w:tc>
        <w:tc>
          <w:tcPr>
            <w:tcW w:w="647"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宽</w:t>
            </w:r>
            <w:r>
              <w:rPr>
                <w:b/>
              </w:rPr>
              <w:t>m</w:t>
            </w:r>
          </w:p>
        </w:tc>
        <w:tc>
          <w:tcPr>
            <w:tcW w:w="647"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高</w:t>
            </w:r>
            <w:r>
              <w:rPr>
                <w:b/>
              </w:rPr>
              <w:t>m</w:t>
            </w:r>
          </w:p>
        </w:tc>
        <w:tc>
          <w:tcPr>
            <w:tcW w:w="1385"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建筑面积</w:t>
            </w:r>
            <w:r>
              <w:rPr>
                <w:b/>
              </w:rPr>
              <w:t>m</w:t>
            </w:r>
            <w:r>
              <w:rPr>
                <w:b/>
                <w:vertAlign w:val="superscript"/>
              </w:rPr>
              <w:t>2</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pPr>
            <w:r>
              <w:t>1</w:t>
            </w:r>
          </w:p>
        </w:tc>
        <w:tc>
          <w:tcPr>
            <w:tcW w:w="1848" w:type="dxa"/>
            <w:tcBorders>
              <w:top w:val="nil"/>
              <w:left w:val="nil"/>
              <w:bottom w:val="single" w:color="auto" w:sz="4" w:space="0"/>
              <w:right w:val="single" w:color="auto" w:sz="4" w:space="0"/>
            </w:tcBorders>
            <w:shd w:val="clear" w:color="auto" w:fill="auto"/>
            <w:vAlign w:val="center"/>
          </w:tcPr>
          <w:p>
            <w:pPr>
              <w:pStyle w:val="107"/>
            </w:pPr>
            <w:r>
              <w:rPr>
                <w:rFonts w:hint="eastAsia"/>
              </w:rPr>
              <w:t>成品仓库</w:t>
            </w:r>
          </w:p>
        </w:tc>
        <w:tc>
          <w:tcPr>
            <w:tcW w:w="710" w:type="dxa"/>
            <w:tcBorders>
              <w:top w:val="nil"/>
              <w:left w:val="nil"/>
              <w:bottom w:val="single" w:color="auto" w:sz="4" w:space="0"/>
              <w:right w:val="single" w:color="auto" w:sz="4" w:space="0"/>
            </w:tcBorders>
            <w:shd w:val="clear" w:color="auto" w:fill="auto"/>
            <w:vAlign w:val="center"/>
          </w:tcPr>
          <w:p>
            <w:pPr>
              <w:pStyle w:val="107"/>
            </w:pPr>
            <w:r>
              <w:t>1</w:t>
            </w:r>
          </w:p>
        </w:tc>
        <w:tc>
          <w:tcPr>
            <w:tcW w:w="698" w:type="dxa"/>
            <w:tcBorders>
              <w:top w:val="nil"/>
              <w:left w:val="nil"/>
              <w:bottom w:val="single" w:color="auto" w:sz="4" w:space="0"/>
              <w:right w:val="single" w:color="auto" w:sz="4" w:space="0"/>
            </w:tcBorders>
            <w:shd w:val="clear" w:color="auto" w:fill="auto"/>
            <w:vAlign w:val="center"/>
          </w:tcPr>
          <w:p>
            <w:pPr>
              <w:pStyle w:val="107"/>
            </w:pPr>
            <w:r>
              <w:t>1</w:t>
            </w:r>
          </w:p>
        </w:tc>
        <w:tc>
          <w:tcPr>
            <w:tcW w:w="1397" w:type="dxa"/>
            <w:tcBorders>
              <w:top w:val="nil"/>
              <w:left w:val="nil"/>
              <w:bottom w:val="single" w:color="auto" w:sz="4" w:space="0"/>
              <w:right w:val="single" w:color="auto" w:sz="4" w:space="0"/>
            </w:tcBorders>
            <w:shd w:val="clear" w:color="auto" w:fill="auto"/>
            <w:vAlign w:val="center"/>
          </w:tcPr>
          <w:p>
            <w:pPr>
              <w:pStyle w:val="107"/>
            </w:pPr>
            <w:r>
              <w:t>200</w:t>
            </w:r>
          </w:p>
        </w:tc>
        <w:tc>
          <w:tcPr>
            <w:tcW w:w="645" w:type="dxa"/>
            <w:tcBorders>
              <w:top w:val="nil"/>
              <w:left w:val="nil"/>
              <w:bottom w:val="single" w:color="auto" w:sz="4" w:space="0"/>
              <w:right w:val="single" w:color="auto" w:sz="4" w:space="0"/>
            </w:tcBorders>
            <w:shd w:val="clear" w:color="auto" w:fill="auto"/>
            <w:vAlign w:val="center"/>
          </w:tcPr>
          <w:p>
            <w:pPr>
              <w:pStyle w:val="107"/>
            </w:pPr>
            <w:r>
              <w:t>44</w:t>
            </w:r>
          </w:p>
        </w:tc>
        <w:tc>
          <w:tcPr>
            <w:tcW w:w="647" w:type="dxa"/>
            <w:tcBorders>
              <w:top w:val="nil"/>
              <w:left w:val="nil"/>
              <w:bottom w:val="single" w:color="auto" w:sz="4" w:space="0"/>
              <w:right w:val="single" w:color="auto" w:sz="4" w:space="0"/>
            </w:tcBorders>
            <w:shd w:val="clear" w:color="auto" w:fill="auto"/>
            <w:vAlign w:val="center"/>
          </w:tcPr>
          <w:p>
            <w:pPr>
              <w:pStyle w:val="107"/>
            </w:pPr>
            <w:r>
              <w:t>13</w:t>
            </w:r>
          </w:p>
        </w:tc>
        <w:tc>
          <w:tcPr>
            <w:tcW w:w="647" w:type="dxa"/>
            <w:tcBorders>
              <w:top w:val="nil"/>
              <w:left w:val="nil"/>
              <w:bottom w:val="single" w:color="auto" w:sz="4" w:space="0"/>
              <w:right w:val="single" w:color="auto" w:sz="4" w:space="0"/>
            </w:tcBorders>
            <w:shd w:val="clear" w:color="auto" w:fill="auto"/>
            <w:vAlign w:val="center"/>
          </w:tcPr>
          <w:p>
            <w:pPr>
              <w:pStyle w:val="107"/>
            </w:pPr>
            <w:r>
              <w:t>7.5</w:t>
            </w:r>
          </w:p>
        </w:tc>
        <w:tc>
          <w:tcPr>
            <w:tcW w:w="1385" w:type="dxa"/>
            <w:tcBorders>
              <w:top w:val="nil"/>
              <w:left w:val="nil"/>
              <w:bottom w:val="single" w:color="auto" w:sz="4" w:space="0"/>
              <w:right w:val="single" w:color="auto" w:sz="4" w:space="0"/>
            </w:tcBorders>
            <w:shd w:val="clear" w:color="auto" w:fill="auto"/>
            <w:vAlign w:val="center"/>
          </w:tcPr>
          <w:p>
            <w:pPr>
              <w:pStyle w:val="107"/>
            </w:pPr>
            <w:r>
              <w:t>200</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pPr>
            <w:r>
              <w:t>2</w:t>
            </w:r>
          </w:p>
        </w:tc>
        <w:tc>
          <w:tcPr>
            <w:tcW w:w="1848" w:type="dxa"/>
            <w:tcBorders>
              <w:top w:val="nil"/>
              <w:left w:val="nil"/>
              <w:bottom w:val="single" w:color="auto" w:sz="4" w:space="0"/>
              <w:right w:val="single" w:color="auto" w:sz="4" w:space="0"/>
            </w:tcBorders>
            <w:shd w:val="clear" w:color="auto" w:fill="auto"/>
            <w:vAlign w:val="center"/>
          </w:tcPr>
          <w:p>
            <w:pPr>
              <w:pStyle w:val="107"/>
            </w:pPr>
            <w:r>
              <w:rPr>
                <w:rFonts w:hint="eastAsia"/>
              </w:rPr>
              <w:t>原料仓库</w:t>
            </w:r>
          </w:p>
        </w:tc>
        <w:tc>
          <w:tcPr>
            <w:tcW w:w="710" w:type="dxa"/>
            <w:tcBorders>
              <w:top w:val="nil"/>
              <w:left w:val="nil"/>
              <w:bottom w:val="single" w:color="auto" w:sz="4" w:space="0"/>
              <w:right w:val="single" w:color="auto" w:sz="4" w:space="0"/>
            </w:tcBorders>
            <w:shd w:val="clear" w:color="auto" w:fill="auto"/>
            <w:vAlign w:val="center"/>
          </w:tcPr>
          <w:p>
            <w:pPr>
              <w:pStyle w:val="107"/>
            </w:pPr>
            <w:r>
              <w:t>1</w:t>
            </w:r>
          </w:p>
        </w:tc>
        <w:tc>
          <w:tcPr>
            <w:tcW w:w="698" w:type="dxa"/>
            <w:tcBorders>
              <w:top w:val="nil"/>
              <w:left w:val="nil"/>
              <w:bottom w:val="single" w:color="auto" w:sz="4" w:space="0"/>
              <w:right w:val="single" w:color="auto" w:sz="4" w:space="0"/>
            </w:tcBorders>
            <w:shd w:val="clear" w:color="auto" w:fill="auto"/>
            <w:vAlign w:val="center"/>
          </w:tcPr>
          <w:p>
            <w:pPr>
              <w:pStyle w:val="107"/>
            </w:pPr>
            <w:r>
              <w:t>1</w:t>
            </w:r>
          </w:p>
        </w:tc>
        <w:tc>
          <w:tcPr>
            <w:tcW w:w="1397" w:type="dxa"/>
            <w:tcBorders>
              <w:top w:val="nil"/>
              <w:left w:val="nil"/>
              <w:bottom w:val="single" w:color="auto" w:sz="4" w:space="0"/>
              <w:right w:val="single" w:color="auto" w:sz="4" w:space="0"/>
            </w:tcBorders>
            <w:shd w:val="clear" w:color="auto" w:fill="auto"/>
            <w:vAlign w:val="center"/>
          </w:tcPr>
          <w:p>
            <w:pPr>
              <w:pStyle w:val="107"/>
            </w:pPr>
            <w:r>
              <w:t>200</w:t>
            </w:r>
          </w:p>
        </w:tc>
        <w:tc>
          <w:tcPr>
            <w:tcW w:w="645" w:type="dxa"/>
            <w:tcBorders>
              <w:top w:val="nil"/>
              <w:left w:val="nil"/>
              <w:bottom w:val="single" w:color="auto" w:sz="4" w:space="0"/>
              <w:right w:val="single" w:color="auto" w:sz="4" w:space="0"/>
            </w:tcBorders>
            <w:shd w:val="clear" w:color="auto" w:fill="auto"/>
            <w:vAlign w:val="center"/>
          </w:tcPr>
          <w:p>
            <w:pPr>
              <w:pStyle w:val="107"/>
            </w:pPr>
            <w:r>
              <w:t>44</w:t>
            </w:r>
          </w:p>
        </w:tc>
        <w:tc>
          <w:tcPr>
            <w:tcW w:w="647" w:type="dxa"/>
            <w:tcBorders>
              <w:top w:val="nil"/>
              <w:left w:val="nil"/>
              <w:bottom w:val="single" w:color="auto" w:sz="4" w:space="0"/>
              <w:right w:val="single" w:color="auto" w:sz="4" w:space="0"/>
            </w:tcBorders>
            <w:shd w:val="clear" w:color="auto" w:fill="auto"/>
            <w:vAlign w:val="center"/>
          </w:tcPr>
          <w:p>
            <w:pPr>
              <w:pStyle w:val="107"/>
            </w:pPr>
            <w:r>
              <w:t>13</w:t>
            </w:r>
          </w:p>
        </w:tc>
        <w:tc>
          <w:tcPr>
            <w:tcW w:w="647" w:type="dxa"/>
            <w:tcBorders>
              <w:top w:val="nil"/>
              <w:left w:val="nil"/>
              <w:bottom w:val="single" w:color="auto" w:sz="4" w:space="0"/>
              <w:right w:val="single" w:color="auto" w:sz="4" w:space="0"/>
            </w:tcBorders>
            <w:shd w:val="clear" w:color="auto" w:fill="auto"/>
            <w:vAlign w:val="center"/>
          </w:tcPr>
          <w:p>
            <w:pPr>
              <w:pStyle w:val="107"/>
            </w:pPr>
            <w:r>
              <w:t>7.5</w:t>
            </w:r>
          </w:p>
        </w:tc>
        <w:tc>
          <w:tcPr>
            <w:tcW w:w="1385" w:type="dxa"/>
            <w:tcBorders>
              <w:top w:val="nil"/>
              <w:left w:val="nil"/>
              <w:bottom w:val="single" w:color="auto" w:sz="4" w:space="0"/>
              <w:right w:val="single" w:color="auto" w:sz="4" w:space="0"/>
            </w:tcBorders>
            <w:shd w:val="clear" w:color="auto" w:fill="auto"/>
            <w:vAlign w:val="center"/>
          </w:tcPr>
          <w:p>
            <w:pPr>
              <w:pStyle w:val="107"/>
            </w:pPr>
            <w:r>
              <w:t>200</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pPr>
            <w:r>
              <w:t>3</w:t>
            </w:r>
          </w:p>
        </w:tc>
        <w:tc>
          <w:tcPr>
            <w:tcW w:w="1848" w:type="dxa"/>
            <w:tcBorders>
              <w:top w:val="nil"/>
              <w:left w:val="nil"/>
              <w:bottom w:val="single" w:color="auto" w:sz="4" w:space="0"/>
              <w:right w:val="single" w:color="auto" w:sz="4" w:space="0"/>
            </w:tcBorders>
            <w:shd w:val="clear" w:color="auto" w:fill="auto"/>
            <w:vAlign w:val="center"/>
          </w:tcPr>
          <w:p>
            <w:pPr>
              <w:pStyle w:val="107"/>
            </w:pPr>
            <w:r>
              <w:rPr>
                <w:rFonts w:hint="eastAsia"/>
                <w:color w:val="000000"/>
              </w:rPr>
              <w:t>化学品仓库</w:t>
            </w:r>
          </w:p>
        </w:tc>
        <w:tc>
          <w:tcPr>
            <w:tcW w:w="710" w:type="dxa"/>
            <w:tcBorders>
              <w:top w:val="nil"/>
              <w:left w:val="nil"/>
              <w:bottom w:val="single" w:color="auto" w:sz="4" w:space="0"/>
              <w:right w:val="single" w:color="auto" w:sz="4" w:space="0"/>
            </w:tcBorders>
            <w:shd w:val="clear" w:color="auto" w:fill="auto"/>
            <w:vAlign w:val="center"/>
          </w:tcPr>
          <w:p>
            <w:pPr>
              <w:pStyle w:val="107"/>
            </w:pPr>
            <w:r>
              <w:t>1</w:t>
            </w:r>
          </w:p>
        </w:tc>
        <w:tc>
          <w:tcPr>
            <w:tcW w:w="698" w:type="dxa"/>
            <w:tcBorders>
              <w:top w:val="nil"/>
              <w:left w:val="nil"/>
              <w:bottom w:val="single" w:color="auto" w:sz="4" w:space="0"/>
              <w:right w:val="single" w:color="auto" w:sz="4" w:space="0"/>
            </w:tcBorders>
            <w:shd w:val="clear" w:color="auto" w:fill="auto"/>
            <w:vAlign w:val="center"/>
          </w:tcPr>
          <w:p>
            <w:pPr>
              <w:pStyle w:val="107"/>
            </w:pPr>
            <w:r>
              <w:t>1</w:t>
            </w:r>
          </w:p>
        </w:tc>
        <w:tc>
          <w:tcPr>
            <w:tcW w:w="1397" w:type="dxa"/>
            <w:tcBorders>
              <w:top w:val="nil"/>
              <w:left w:val="nil"/>
              <w:bottom w:val="single" w:color="auto" w:sz="4" w:space="0"/>
              <w:right w:val="single" w:color="auto" w:sz="4" w:space="0"/>
            </w:tcBorders>
            <w:shd w:val="clear" w:color="auto" w:fill="auto"/>
            <w:vAlign w:val="center"/>
          </w:tcPr>
          <w:p>
            <w:pPr>
              <w:pStyle w:val="107"/>
            </w:pPr>
            <w:r>
              <w:t>70</w:t>
            </w:r>
          </w:p>
        </w:tc>
        <w:tc>
          <w:tcPr>
            <w:tcW w:w="645" w:type="dxa"/>
            <w:tcBorders>
              <w:top w:val="nil"/>
              <w:left w:val="nil"/>
              <w:bottom w:val="single" w:color="auto" w:sz="4" w:space="0"/>
              <w:right w:val="single" w:color="auto" w:sz="4" w:space="0"/>
            </w:tcBorders>
            <w:shd w:val="clear" w:color="auto" w:fill="auto"/>
            <w:vAlign w:val="center"/>
          </w:tcPr>
          <w:p>
            <w:pPr>
              <w:pStyle w:val="107"/>
            </w:pPr>
            <w:r>
              <w:t>44</w:t>
            </w:r>
          </w:p>
        </w:tc>
        <w:tc>
          <w:tcPr>
            <w:tcW w:w="647" w:type="dxa"/>
            <w:tcBorders>
              <w:top w:val="nil"/>
              <w:left w:val="nil"/>
              <w:bottom w:val="single" w:color="auto" w:sz="4" w:space="0"/>
              <w:right w:val="single" w:color="auto" w:sz="4" w:space="0"/>
            </w:tcBorders>
            <w:shd w:val="clear" w:color="auto" w:fill="auto"/>
            <w:vAlign w:val="center"/>
          </w:tcPr>
          <w:p>
            <w:pPr>
              <w:pStyle w:val="107"/>
            </w:pPr>
            <w:r>
              <w:t>15</w:t>
            </w:r>
          </w:p>
        </w:tc>
        <w:tc>
          <w:tcPr>
            <w:tcW w:w="647" w:type="dxa"/>
            <w:tcBorders>
              <w:top w:val="nil"/>
              <w:left w:val="nil"/>
              <w:bottom w:val="single" w:color="auto" w:sz="4" w:space="0"/>
              <w:right w:val="single" w:color="auto" w:sz="4" w:space="0"/>
            </w:tcBorders>
            <w:shd w:val="clear" w:color="auto" w:fill="auto"/>
            <w:vAlign w:val="center"/>
          </w:tcPr>
          <w:p>
            <w:pPr>
              <w:pStyle w:val="107"/>
            </w:pPr>
            <w:r>
              <w:t>7.5</w:t>
            </w:r>
          </w:p>
        </w:tc>
        <w:tc>
          <w:tcPr>
            <w:tcW w:w="1385" w:type="dxa"/>
            <w:tcBorders>
              <w:top w:val="nil"/>
              <w:left w:val="nil"/>
              <w:bottom w:val="single" w:color="auto" w:sz="4" w:space="0"/>
              <w:right w:val="single" w:color="auto" w:sz="4" w:space="0"/>
            </w:tcBorders>
            <w:shd w:val="clear" w:color="auto" w:fill="auto"/>
            <w:vAlign w:val="center"/>
          </w:tcPr>
          <w:p>
            <w:pPr>
              <w:pStyle w:val="107"/>
            </w:pPr>
            <w:r>
              <w:t>70</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pPr>
            <w:r>
              <w:t>4</w:t>
            </w:r>
          </w:p>
        </w:tc>
        <w:tc>
          <w:tcPr>
            <w:tcW w:w="1848" w:type="dxa"/>
            <w:tcBorders>
              <w:top w:val="nil"/>
              <w:left w:val="nil"/>
              <w:bottom w:val="single" w:color="auto" w:sz="4" w:space="0"/>
              <w:right w:val="single" w:color="auto" w:sz="4" w:space="0"/>
            </w:tcBorders>
            <w:shd w:val="clear" w:color="auto" w:fill="auto"/>
            <w:vAlign w:val="center"/>
          </w:tcPr>
          <w:p>
            <w:pPr>
              <w:pStyle w:val="107"/>
            </w:pPr>
            <w:r>
              <w:rPr>
                <w:rFonts w:hint="eastAsia"/>
              </w:rPr>
              <w:t>密炼车间</w:t>
            </w:r>
          </w:p>
        </w:tc>
        <w:tc>
          <w:tcPr>
            <w:tcW w:w="710" w:type="dxa"/>
            <w:tcBorders>
              <w:top w:val="nil"/>
              <w:left w:val="nil"/>
              <w:bottom w:val="single" w:color="auto" w:sz="4" w:space="0"/>
              <w:right w:val="single" w:color="auto" w:sz="4" w:space="0"/>
            </w:tcBorders>
            <w:shd w:val="clear" w:color="auto" w:fill="auto"/>
            <w:vAlign w:val="center"/>
          </w:tcPr>
          <w:p>
            <w:pPr>
              <w:pStyle w:val="107"/>
            </w:pPr>
            <w:r>
              <w:t>1</w:t>
            </w:r>
          </w:p>
        </w:tc>
        <w:tc>
          <w:tcPr>
            <w:tcW w:w="698" w:type="dxa"/>
            <w:tcBorders>
              <w:top w:val="nil"/>
              <w:left w:val="nil"/>
              <w:bottom w:val="single" w:color="auto" w:sz="4" w:space="0"/>
              <w:right w:val="single" w:color="auto" w:sz="4" w:space="0"/>
            </w:tcBorders>
            <w:shd w:val="clear" w:color="auto" w:fill="auto"/>
            <w:vAlign w:val="center"/>
          </w:tcPr>
          <w:p>
            <w:pPr>
              <w:pStyle w:val="107"/>
            </w:pPr>
            <w:r>
              <w:t>1</w:t>
            </w:r>
          </w:p>
        </w:tc>
        <w:tc>
          <w:tcPr>
            <w:tcW w:w="1397" w:type="dxa"/>
            <w:tcBorders>
              <w:top w:val="nil"/>
              <w:left w:val="nil"/>
              <w:bottom w:val="single" w:color="auto" w:sz="4" w:space="0"/>
              <w:right w:val="single" w:color="auto" w:sz="4" w:space="0"/>
            </w:tcBorders>
            <w:shd w:val="clear" w:color="auto" w:fill="auto"/>
            <w:vAlign w:val="center"/>
          </w:tcPr>
          <w:p>
            <w:pPr>
              <w:pStyle w:val="107"/>
            </w:pPr>
            <w:r>
              <w:t>140</w:t>
            </w:r>
          </w:p>
        </w:tc>
        <w:tc>
          <w:tcPr>
            <w:tcW w:w="645" w:type="dxa"/>
            <w:tcBorders>
              <w:top w:val="nil"/>
              <w:left w:val="nil"/>
              <w:bottom w:val="single" w:color="auto" w:sz="4" w:space="0"/>
              <w:right w:val="single" w:color="auto" w:sz="4" w:space="0"/>
            </w:tcBorders>
            <w:shd w:val="clear" w:color="auto" w:fill="auto"/>
            <w:vAlign w:val="center"/>
          </w:tcPr>
          <w:p>
            <w:pPr>
              <w:pStyle w:val="107"/>
            </w:pPr>
            <w:r>
              <w:t>44</w:t>
            </w:r>
          </w:p>
        </w:tc>
        <w:tc>
          <w:tcPr>
            <w:tcW w:w="647" w:type="dxa"/>
            <w:tcBorders>
              <w:top w:val="nil"/>
              <w:left w:val="nil"/>
              <w:bottom w:val="single" w:color="auto" w:sz="4" w:space="0"/>
              <w:right w:val="single" w:color="auto" w:sz="4" w:space="0"/>
            </w:tcBorders>
            <w:shd w:val="clear" w:color="auto" w:fill="auto"/>
            <w:vAlign w:val="center"/>
          </w:tcPr>
          <w:p>
            <w:pPr>
              <w:pStyle w:val="107"/>
            </w:pPr>
            <w:r>
              <w:t>13</w:t>
            </w:r>
          </w:p>
        </w:tc>
        <w:tc>
          <w:tcPr>
            <w:tcW w:w="647" w:type="dxa"/>
            <w:tcBorders>
              <w:top w:val="nil"/>
              <w:left w:val="nil"/>
              <w:bottom w:val="single" w:color="auto" w:sz="4" w:space="0"/>
              <w:right w:val="single" w:color="auto" w:sz="4" w:space="0"/>
            </w:tcBorders>
            <w:shd w:val="clear" w:color="auto" w:fill="auto"/>
            <w:vAlign w:val="center"/>
          </w:tcPr>
          <w:p>
            <w:pPr>
              <w:pStyle w:val="107"/>
            </w:pPr>
            <w:r>
              <w:t>7.5</w:t>
            </w:r>
          </w:p>
        </w:tc>
        <w:tc>
          <w:tcPr>
            <w:tcW w:w="1385" w:type="dxa"/>
            <w:tcBorders>
              <w:top w:val="nil"/>
              <w:left w:val="nil"/>
              <w:bottom w:val="single" w:color="auto" w:sz="4" w:space="0"/>
              <w:right w:val="single" w:color="auto" w:sz="4" w:space="0"/>
            </w:tcBorders>
            <w:shd w:val="clear" w:color="auto" w:fill="auto"/>
            <w:vAlign w:val="center"/>
          </w:tcPr>
          <w:p>
            <w:pPr>
              <w:pStyle w:val="107"/>
            </w:pPr>
            <w:r>
              <w:rPr>
                <w:rFonts w:hint="eastAsia"/>
              </w:rPr>
              <w:t>2</w:t>
            </w:r>
            <w:r>
              <w:t>00</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pPr>
            <w:r>
              <w:t>5</w:t>
            </w:r>
          </w:p>
        </w:tc>
        <w:tc>
          <w:tcPr>
            <w:tcW w:w="1848" w:type="dxa"/>
            <w:tcBorders>
              <w:top w:val="nil"/>
              <w:left w:val="nil"/>
              <w:bottom w:val="single" w:color="auto" w:sz="4" w:space="0"/>
              <w:right w:val="single" w:color="auto" w:sz="4" w:space="0"/>
            </w:tcBorders>
            <w:shd w:val="clear" w:color="auto" w:fill="auto"/>
            <w:vAlign w:val="center"/>
          </w:tcPr>
          <w:p>
            <w:pPr>
              <w:pStyle w:val="107"/>
            </w:pPr>
            <w:r>
              <w:rPr>
                <w:rFonts w:hint="eastAsia"/>
              </w:rPr>
              <w:t>硫化车间</w:t>
            </w:r>
          </w:p>
        </w:tc>
        <w:tc>
          <w:tcPr>
            <w:tcW w:w="710" w:type="dxa"/>
            <w:tcBorders>
              <w:top w:val="nil"/>
              <w:left w:val="nil"/>
              <w:bottom w:val="single" w:color="auto" w:sz="4" w:space="0"/>
              <w:right w:val="single" w:color="auto" w:sz="4" w:space="0"/>
            </w:tcBorders>
            <w:shd w:val="clear" w:color="auto" w:fill="auto"/>
            <w:vAlign w:val="center"/>
          </w:tcPr>
          <w:p>
            <w:pPr>
              <w:pStyle w:val="107"/>
            </w:pPr>
            <w:r>
              <w:t>1</w:t>
            </w:r>
          </w:p>
        </w:tc>
        <w:tc>
          <w:tcPr>
            <w:tcW w:w="698" w:type="dxa"/>
            <w:tcBorders>
              <w:top w:val="nil"/>
              <w:left w:val="nil"/>
              <w:bottom w:val="single" w:color="auto" w:sz="4" w:space="0"/>
              <w:right w:val="single" w:color="auto" w:sz="4" w:space="0"/>
            </w:tcBorders>
            <w:shd w:val="clear" w:color="auto" w:fill="auto"/>
            <w:vAlign w:val="center"/>
          </w:tcPr>
          <w:p>
            <w:pPr>
              <w:pStyle w:val="107"/>
            </w:pPr>
            <w:r>
              <w:t>1</w:t>
            </w:r>
          </w:p>
        </w:tc>
        <w:tc>
          <w:tcPr>
            <w:tcW w:w="1397" w:type="dxa"/>
            <w:tcBorders>
              <w:top w:val="nil"/>
              <w:left w:val="nil"/>
              <w:bottom w:val="single" w:color="auto" w:sz="4" w:space="0"/>
              <w:right w:val="single" w:color="auto" w:sz="4" w:space="0"/>
            </w:tcBorders>
            <w:shd w:val="clear" w:color="auto" w:fill="auto"/>
            <w:vAlign w:val="center"/>
          </w:tcPr>
          <w:p>
            <w:pPr>
              <w:pStyle w:val="107"/>
            </w:pPr>
            <w:r>
              <w:rPr>
                <w:rFonts w:hint="eastAsia"/>
              </w:rPr>
              <w:t>2</w:t>
            </w:r>
            <w:r>
              <w:t>00</w:t>
            </w:r>
          </w:p>
        </w:tc>
        <w:tc>
          <w:tcPr>
            <w:tcW w:w="645" w:type="dxa"/>
            <w:tcBorders>
              <w:top w:val="nil"/>
              <w:left w:val="nil"/>
              <w:bottom w:val="single" w:color="auto" w:sz="4" w:space="0"/>
              <w:right w:val="single" w:color="auto" w:sz="4" w:space="0"/>
            </w:tcBorders>
            <w:shd w:val="clear" w:color="auto" w:fill="auto"/>
            <w:vAlign w:val="center"/>
          </w:tcPr>
          <w:p>
            <w:pPr>
              <w:pStyle w:val="107"/>
            </w:pPr>
            <w:r>
              <w:t>44</w:t>
            </w:r>
          </w:p>
        </w:tc>
        <w:tc>
          <w:tcPr>
            <w:tcW w:w="647" w:type="dxa"/>
            <w:tcBorders>
              <w:top w:val="nil"/>
              <w:left w:val="nil"/>
              <w:bottom w:val="single" w:color="auto" w:sz="4" w:space="0"/>
              <w:right w:val="single" w:color="auto" w:sz="4" w:space="0"/>
            </w:tcBorders>
            <w:shd w:val="clear" w:color="auto" w:fill="auto"/>
            <w:vAlign w:val="center"/>
          </w:tcPr>
          <w:p>
            <w:pPr>
              <w:pStyle w:val="107"/>
            </w:pPr>
            <w:r>
              <w:t>13</w:t>
            </w:r>
          </w:p>
        </w:tc>
        <w:tc>
          <w:tcPr>
            <w:tcW w:w="647" w:type="dxa"/>
            <w:tcBorders>
              <w:top w:val="nil"/>
              <w:left w:val="nil"/>
              <w:bottom w:val="single" w:color="auto" w:sz="4" w:space="0"/>
              <w:right w:val="single" w:color="auto" w:sz="4" w:space="0"/>
            </w:tcBorders>
            <w:shd w:val="clear" w:color="auto" w:fill="auto"/>
            <w:vAlign w:val="center"/>
          </w:tcPr>
          <w:p>
            <w:pPr>
              <w:pStyle w:val="107"/>
            </w:pPr>
            <w:r>
              <w:t>7.5</w:t>
            </w:r>
          </w:p>
        </w:tc>
        <w:tc>
          <w:tcPr>
            <w:tcW w:w="1385" w:type="dxa"/>
            <w:tcBorders>
              <w:top w:val="nil"/>
              <w:left w:val="nil"/>
              <w:bottom w:val="single" w:color="auto" w:sz="4" w:space="0"/>
              <w:right w:val="single" w:color="auto" w:sz="4" w:space="0"/>
            </w:tcBorders>
            <w:shd w:val="clear" w:color="auto" w:fill="auto"/>
            <w:vAlign w:val="center"/>
          </w:tcPr>
          <w:p>
            <w:pPr>
              <w:pStyle w:val="107"/>
            </w:pPr>
            <w:r>
              <w:rPr>
                <w:rFonts w:hint="eastAsia"/>
              </w:rPr>
              <w:t>2</w:t>
            </w:r>
            <w:r>
              <w:t>00</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pPr>
            <w:r>
              <w:t>6</w:t>
            </w:r>
          </w:p>
        </w:tc>
        <w:tc>
          <w:tcPr>
            <w:tcW w:w="1848" w:type="dxa"/>
            <w:tcBorders>
              <w:top w:val="nil"/>
              <w:left w:val="nil"/>
              <w:bottom w:val="single" w:color="auto" w:sz="4" w:space="0"/>
              <w:right w:val="single" w:color="auto" w:sz="4" w:space="0"/>
            </w:tcBorders>
            <w:shd w:val="clear" w:color="auto" w:fill="auto"/>
            <w:vAlign w:val="center"/>
          </w:tcPr>
          <w:p>
            <w:pPr>
              <w:pStyle w:val="107"/>
            </w:pPr>
            <w:r>
              <w:rPr>
                <w:rFonts w:hint="eastAsia"/>
              </w:rPr>
              <w:t>混炼车间</w:t>
            </w:r>
          </w:p>
        </w:tc>
        <w:tc>
          <w:tcPr>
            <w:tcW w:w="710" w:type="dxa"/>
            <w:tcBorders>
              <w:top w:val="nil"/>
              <w:left w:val="nil"/>
              <w:bottom w:val="single" w:color="auto" w:sz="4" w:space="0"/>
              <w:right w:val="single" w:color="auto" w:sz="4" w:space="0"/>
            </w:tcBorders>
            <w:shd w:val="clear" w:color="auto" w:fill="auto"/>
            <w:vAlign w:val="center"/>
          </w:tcPr>
          <w:p>
            <w:pPr>
              <w:pStyle w:val="107"/>
            </w:pPr>
            <w:r>
              <w:t>1</w:t>
            </w:r>
          </w:p>
        </w:tc>
        <w:tc>
          <w:tcPr>
            <w:tcW w:w="698" w:type="dxa"/>
            <w:tcBorders>
              <w:top w:val="nil"/>
              <w:left w:val="nil"/>
              <w:bottom w:val="single" w:color="auto" w:sz="4" w:space="0"/>
              <w:right w:val="single" w:color="auto" w:sz="4" w:space="0"/>
            </w:tcBorders>
            <w:shd w:val="clear" w:color="auto" w:fill="auto"/>
            <w:vAlign w:val="center"/>
          </w:tcPr>
          <w:p>
            <w:pPr>
              <w:pStyle w:val="107"/>
            </w:pPr>
            <w:r>
              <w:t>1</w:t>
            </w:r>
          </w:p>
        </w:tc>
        <w:tc>
          <w:tcPr>
            <w:tcW w:w="1397" w:type="dxa"/>
            <w:tcBorders>
              <w:top w:val="nil"/>
              <w:left w:val="nil"/>
              <w:bottom w:val="single" w:color="auto" w:sz="4" w:space="0"/>
              <w:right w:val="single" w:color="auto" w:sz="4" w:space="0"/>
            </w:tcBorders>
            <w:shd w:val="clear" w:color="auto" w:fill="auto"/>
            <w:vAlign w:val="center"/>
          </w:tcPr>
          <w:p>
            <w:pPr>
              <w:pStyle w:val="107"/>
            </w:pPr>
            <w:r>
              <w:t>200</w:t>
            </w:r>
          </w:p>
        </w:tc>
        <w:tc>
          <w:tcPr>
            <w:tcW w:w="645" w:type="dxa"/>
            <w:tcBorders>
              <w:top w:val="nil"/>
              <w:left w:val="nil"/>
              <w:bottom w:val="single" w:color="auto" w:sz="4" w:space="0"/>
              <w:right w:val="single" w:color="auto" w:sz="4" w:space="0"/>
            </w:tcBorders>
            <w:shd w:val="clear" w:color="auto" w:fill="auto"/>
            <w:vAlign w:val="center"/>
          </w:tcPr>
          <w:p>
            <w:pPr>
              <w:pStyle w:val="107"/>
            </w:pPr>
            <w:r>
              <w:t>30</w:t>
            </w:r>
          </w:p>
        </w:tc>
        <w:tc>
          <w:tcPr>
            <w:tcW w:w="647" w:type="dxa"/>
            <w:tcBorders>
              <w:top w:val="nil"/>
              <w:left w:val="nil"/>
              <w:bottom w:val="single" w:color="auto" w:sz="4" w:space="0"/>
              <w:right w:val="single" w:color="auto" w:sz="4" w:space="0"/>
            </w:tcBorders>
            <w:shd w:val="clear" w:color="auto" w:fill="auto"/>
            <w:vAlign w:val="center"/>
          </w:tcPr>
          <w:p>
            <w:pPr>
              <w:pStyle w:val="107"/>
            </w:pPr>
            <w:r>
              <w:t>10</w:t>
            </w:r>
          </w:p>
        </w:tc>
        <w:tc>
          <w:tcPr>
            <w:tcW w:w="647" w:type="dxa"/>
            <w:tcBorders>
              <w:top w:val="nil"/>
              <w:left w:val="nil"/>
              <w:bottom w:val="single" w:color="auto" w:sz="4" w:space="0"/>
              <w:right w:val="single" w:color="auto" w:sz="4" w:space="0"/>
            </w:tcBorders>
            <w:shd w:val="clear" w:color="auto" w:fill="auto"/>
            <w:vAlign w:val="center"/>
          </w:tcPr>
          <w:p>
            <w:pPr>
              <w:pStyle w:val="107"/>
            </w:pPr>
            <w:r>
              <w:rPr>
                <w:rFonts w:hint="eastAsia"/>
              </w:rPr>
              <w:t>4</w:t>
            </w:r>
          </w:p>
        </w:tc>
        <w:tc>
          <w:tcPr>
            <w:tcW w:w="1385" w:type="dxa"/>
            <w:tcBorders>
              <w:top w:val="nil"/>
              <w:left w:val="nil"/>
              <w:bottom w:val="single" w:color="auto" w:sz="4" w:space="0"/>
              <w:right w:val="single" w:color="auto" w:sz="4" w:space="0"/>
            </w:tcBorders>
            <w:shd w:val="clear" w:color="auto" w:fill="auto"/>
            <w:vAlign w:val="center"/>
          </w:tcPr>
          <w:p>
            <w:pPr>
              <w:pStyle w:val="107"/>
            </w:pPr>
            <w:r>
              <w:rPr>
                <w:rFonts w:hint="eastAsia"/>
              </w:rPr>
              <w:t>1</w:t>
            </w:r>
            <w:r>
              <w:t>40</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pPr>
            <w:r>
              <w:t>7</w:t>
            </w:r>
          </w:p>
        </w:tc>
        <w:tc>
          <w:tcPr>
            <w:tcW w:w="1848" w:type="dxa"/>
            <w:tcBorders>
              <w:top w:val="nil"/>
              <w:left w:val="nil"/>
              <w:bottom w:val="single" w:color="auto" w:sz="4" w:space="0"/>
              <w:right w:val="single" w:color="auto" w:sz="4" w:space="0"/>
            </w:tcBorders>
            <w:shd w:val="clear" w:color="auto" w:fill="auto"/>
            <w:vAlign w:val="center"/>
          </w:tcPr>
          <w:p>
            <w:pPr>
              <w:pStyle w:val="107"/>
            </w:pPr>
            <w:r>
              <w:rPr>
                <w:rFonts w:hint="eastAsia"/>
              </w:rPr>
              <w:t>办公室</w:t>
            </w:r>
          </w:p>
        </w:tc>
        <w:tc>
          <w:tcPr>
            <w:tcW w:w="710" w:type="dxa"/>
            <w:tcBorders>
              <w:top w:val="nil"/>
              <w:left w:val="nil"/>
              <w:bottom w:val="single" w:color="auto" w:sz="4" w:space="0"/>
              <w:right w:val="single" w:color="auto" w:sz="4" w:space="0"/>
            </w:tcBorders>
            <w:shd w:val="clear" w:color="auto" w:fill="auto"/>
            <w:vAlign w:val="center"/>
          </w:tcPr>
          <w:p>
            <w:pPr>
              <w:pStyle w:val="107"/>
            </w:pPr>
            <w:r>
              <w:t>1</w:t>
            </w:r>
          </w:p>
        </w:tc>
        <w:tc>
          <w:tcPr>
            <w:tcW w:w="698" w:type="dxa"/>
            <w:tcBorders>
              <w:top w:val="nil"/>
              <w:left w:val="nil"/>
              <w:bottom w:val="single" w:color="auto" w:sz="4" w:space="0"/>
              <w:right w:val="single" w:color="auto" w:sz="4" w:space="0"/>
            </w:tcBorders>
            <w:shd w:val="clear" w:color="auto" w:fill="auto"/>
            <w:vAlign w:val="center"/>
          </w:tcPr>
          <w:p>
            <w:pPr>
              <w:pStyle w:val="107"/>
            </w:pPr>
            <w:r>
              <w:t>1</w:t>
            </w:r>
          </w:p>
        </w:tc>
        <w:tc>
          <w:tcPr>
            <w:tcW w:w="1397" w:type="dxa"/>
            <w:tcBorders>
              <w:top w:val="nil"/>
              <w:left w:val="nil"/>
              <w:bottom w:val="single" w:color="auto" w:sz="4" w:space="0"/>
              <w:right w:val="single" w:color="auto" w:sz="4" w:space="0"/>
            </w:tcBorders>
            <w:shd w:val="clear" w:color="auto" w:fill="auto"/>
            <w:vAlign w:val="center"/>
          </w:tcPr>
          <w:p>
            <w:pPr>
              <w:pStyle w:val="107"/>
            </w:pPr>
            <w:r>
              <w:t>30</w:t>
            </w:r>
          </w:p>
        </w:tc>
        <w:tc>
          <w:tcPr>
            <w:tcW w:w="645" w:type="dxa"/>
            <w:tcBorders>
              <w:top w:val="nil"/>
              <w:left w:val="nil"/>
              <w:bottom w:val="single" w:color="auto" w:sz="4" w:space="0"/>
              <w:right w:val="single" w:color="auto" w:sz="4" w:space="0"/>
            </w:tcBorders>
            <w:shd w:val="clear" w:color="auto" w:fill="auto"/>
            <w:vAlign w:val="center"/>
          </w:tcPr>
          <w:p>
            <w:pPr>
              <w:pStyle w:val="107"/>
            </w:pPr>
            <w:r>
              <w:rPr>
                <w:rFonts w:hint="eastAsia"/>
              </w:rPr>
              <w:t>36</w:t>
            </w:r>
          </w:p>
        </w:tc>
        <w:tc>
          <w:tcPr>
            <w:tcW w:w="647" w:type="dxa"/>
            <w:tcBorders>
              <w:top w:val="nil"/>
              <w:left w:val="nil"/>
              <w:bottom w:val="single" w:color="auto" w:sz="4" w:space="0"/>
              <w:right w:val="single" w:color="auto" w:sz="4" w:space="0"/>
            </w:tcBorders>
            <w:shd w:val="clear" w:color="auto" w:fill="auto"/>
            <w:vAlign w:val="center"/>
          </w:tcPr>
          <w:p>
            <w:pPr>
              <w:pStyle w:val="107"/>
            </w:pPr>
            <w:r>
              <w:rPr>
                <w:rFonts w:hint="eastAsia"/>
              </w:rPr>
              <w:t>8</w:t>
            </w:r>
          </w:p>
        </w:tc>
        <w:tc>
          <w:tcPr>
            <w:tcW w:w="647" w:type="dxa"/>
            <w:tcBorders>
              <w:top w:val="nil"/>
              <w:left w:val="nil"/>
              <w:bottom w:val="single" w:color="auto" w:sz="4" w:space="0"/>
              <w:right w:val="single" w:color="auto" w:sz="4" w:space="0"/>
            </w:tcBorders>
            <w:shd w:val="clear" w:color="auto" w:fill="auto"/>
            <w:vAlign w:val="center"/>
          </w:tcPr>
          <w:p>
            <w:pPr>
              <w:pStyle w:val="107"/>
            </w:pPr>
            <w:r>
              <w:rPr>
                <w:rFonts w:hint="eastAsia"/>
              </w:rPr>
              <w:t>4</w:t>
            </w:r>
          </w:p>
        </w:tc>
        <w:tc>
          <w:tcPr>
            <w:tcW w:w="1385" w:type="dxa"/>
            <w:tcBorders>
              <w:top w:val="nil"/>
              <w:left w:val="nil"/>
              <w:bottom w:val="single" w:color="auto" w:sz="4" w:space="0"/>
              <w:right w:val="single" w:color="auto" w:sz="4" w:space="0"/>
            </w:tcBorders>
            <w:shd w:val="clear" w:color="auto" w:fill="auto"/>
            <w:vAlign w:val="center"/>
          </w:tcPr>
          <w:p>
            <w:pPr>
              <w:pStyle w:val="107"/>
            </w:pPr>
            <w:r>
              <w:t>30</w:t>
            </w:r>
          </w:p>
        </w:tc>
      </w:tr>
      <w:tr>
        <w:tblPrEx>
          <w:tblLayout w:type="fixed"/>
          <w:tblCellMar>
            <w:top w:w="0" w:type="dxa"/>
            <w:left w:w="108" w:type="dxa"/>
            <w:bottom w:w="0" w:type="dxa"/>
            <w:right w:w="108" w:type="dxa"/>
          </w:tblCellMar>
        </w:tblPrEx>
        <w:trPr>
          <w:trHeight w:val="20"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pStyle w:val="107"/>
            </w:pPr>
            <w:r>
              <w:rPr>
                <w:rFonts w:hint="eastAsia"/>
              </w:rPr>
              <w:t>8</w:t>
            </w:r>
          </w:p>
        </w:tc>
        <w:tc>
          <w:tcPr>
            <w:tcW w:w="1848" w:type="dxa"/>
            <w:tcBorders>
              <w:top w:val="nil"/>
              <w:left w:val="nil"/>
              <w:bottom w:val="single" w:color="auto" w:sz="4" w:space="0"/>
              <w:right w:val="single" w:color="auto" w:sz="4" w:space="0"/>
            </w:tcBorders>
            <w:shd w:val="clear" w:color="auto" w:fill="auto"/>
            <w:vAlign w:val="center"/>
          </w:tcPr>
          <w:p>
            <w:pPr>
              <w:pStyle w:val="107"/>
            </w:pPr>
            <w:r>
              <w:rPr>
                <w:rFonts w:hint="eastAsia"/>
              </w:rPr>
              <w:t>其他</w:t>
            </w:r>
          </w:p>
        </w:tc>
        <w:tc>
          <w:tcPr>
            <w:tcW w:w="710" w:type="dxa"/>
            <w:tcBorders>
              <w:top w:val="nil"/>
              <w:left w:val="nil"/>
              <w:bottom w:val="single" w:color="auto" w:sz="4" w:space="0"/>
              <w:right w:val="single" w:color="auto" w:sz="4" w:space="0"/>
            </w:tcBorders>
            <w:shd w:val="clear" w:color="auto" w:fill="auto"/>
            <w:vAlign w:val="center"/>
          </w:tcPr>
          <w:p>
            <w:pPr>
              <w:pStyle w:val="107"/>
            </w:pPr>
            <w:r>
              <w:rPr>
                <w:rFonts w:hint="eastAsia"/>
              </w:rPr>
              <w:t>/</w:t>
            </w:r>
          </w:p>
        </w:tc>
        <w:tc>
          <w:tcPr>
            <w:tcW w:w="698" w:type="dxa"/>
            <w:tcBorders>
              <w:top w:val="nil"/>
              <w:left w:val="nil"/>
              <w:bottom w:val="single" w:color="auto" w:sz="4" w:space="0"/>
              <w:right w:val="single" w:color="auto" w:sz="4" w:space="0"/>
            </w:tcBorders>
            <w:shd w:val="clear" w:color="auto" w:fill="auto"/>
            <w:vAlign w:val="center"/>
          </w:tcPr>
          <w:p>
            <w:pPr>
              <w:pStyle w:val="107"/>
            </w:pPr>
            <w:r>
              <w:rPr>
                <w:rFonts w:hint="eastAsia"/>
              </w:rPr>
              <w:t>/</w:t>
            </w:r>
          </w:p>
        </w:tc>
        <w:tc>
          <w:tcPr>
            <w:tcW w:w="1397" w:type="dxa"/>
            <w:tcBorders>
              <w:top w:val="nil"/>
              <w:left w:val="nil"/>
              <w:bottom w:val="single" w:color="auto" w:sz="4" w:space="0"/>
              <w:right w:val="single" w:color="auto" w:sz="4" w:space="0"/>
            </w:tcBorders>
            <w:shd w:val="clear" w:color="auto" w:fill="auto"/>
            <w:vAlign w:val="center"/>
          </w:tcPr>
          <w:p>
            <w:pPr>
              <w:pStyle w:val="107"/>
            </w:pPr>
            <w:r>
              <w:rPr>
                <w:rFonts w:hint="eastAsia"/>
              </w:rPr>
              <w:t>2</w:t>
            </w:r>
            <w:r>
              <w:t>66.7</w:t>
            </w:r>
          </w:p>
        </w:tc>
        <w:tc>
          <w:tcPr>
            <w:tcW w:w="645" w:type="dxa"/>
            <w:tcBorders>
              <w:top w:val="nil"/>
              <w:left w:val="nil"/>
              <w:bottom w:val="single" w:color="auto" w:sz="4" w:space="0"/>
              <w:right w:val="single" w:color="auto" w:sz="4" w:space="0"/>
            </w:tcBorders>
            <w:shd w:val="clear" w:color="auto" w:fill="auto"/>
            <w:vAlign w:val="center"/>
          </w:tcPr>
          <w:p>
            <w:pPr>
              <w:pStyle w:val="107"/>
            </w:pPr>
          </w:p>
        </w:tc>
        <w:tc>
          <w:tcPr>
            <w:tcW w:w="647" w:type="dxa"/>
            <w:tcBorders>
              <w:top w:val="nil"/>
              <w:left w:val="nil"/>
              <w:bottom w:val="single" w:color="auto" w:sz="4" w:space="0"/>
              <w:right w:val="single" w:color="auto" w:sz="4" w:space="0"/>
            </w:tcBorders>
            <w:shd w:val="clear" w:color="auto" w:fill="auto"/>
            <w:vAlign w:val="center"/>
          </w:tcPr>
          <w:p>
            <w:pPr>
              <w:pStyle w:val="107"/>
            </w:pPr>
          </w:p>
        </w:tc>
        <w:tc>
          <w:tcPr>
            <w:tcW w:w="647" w:type="dxa"/>
            <w:tcBorders>
              <w:top w:val="nil"/>
              <w:left w:val="nil"/>
              <w:bottom w:val="single" w:color="auto" w:sz="4" w:space="0"/>
              <w:right w:val="single" w:color="auto" w:sz="4" w:space="0"/>
            </w:tcBorders>
            <w:shd w:val="clear" w:color="auto" w:fill="auto"/>
            <w:vAlign w:val="center"/>
          </w:tcPr>
          <w:p>
            <w:pPr>
              <w:pStyle w:val="107"/>
            </w:pPr>
          </w:p>
        </w:tc>
        <w:tc>
          <w:tcPr>
            <w:tcW w:w="1385" w:type="dxa"/>
            <w:tcBorders>
              <w:top w:val="nil"/>
              <w:left w:val="nil"/>
              <w:bottom w:val="single" w:color="auto" w:sz="4" w:space="0"/>
              <w:right w:val="single" w:color="auto" w:sz="4" w:space="0"/>
            </w:tcBorders>
            <w:shd w:val="clear" w:color="auto" w:fill="auto"/>
            <w:vAlign w:val="center"/>
          </w:tcPr>
          <w:p>
            <w:pPr>
              <w:pStyle w:val="107"/>
            </w:pPr>
          </w:p>
        </w:tc>
      </w:tr>
      <w:tr>
        <w:tblPrEx>
          <w:tblLayout w:type="fixed"/>
          <w:tblCellMar>
            <w:top w:w="0" w:type="dxa"/>
            <w:left w:w="108" w:type="dxa"/>
            <w:bottom w:w="0" w:type="dxa"/>
            <w:right w:w="108" w:type="dxa"/>
          </w:tblCellMar>
        </w:tblPrEx>
        <w:trPr>
          <w:trHeight w:val="20" w:hRule="atLeast"/>
          <w:jc w:val="center"/>
        </w:trPr>
        <w:tc>
          <w:tcPr>
            <w:tcW w:w="254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总面积</w:t>
            </w:r>
          </w:p>
        </w:tc>
        <w:tc>
          <w:tcPr>
            <w:tcW w:w="710" w:type="dxa"/>
            <w:tcBorders>
              <w:top w:val="nil"/>
              <w:left w:val="single" w:color="auto" w:sz="4" w:space="0"/>
              <w:bottom w:val="single" w:color="auto" w:sz="4" w:space="0"/>
              <w:right w:val="single" w:color="auto" w:sz="4" w:space="0"/>
            </w:tcBorders>
            <w:shd w:val="clear" w:color="auto" w:fill="auto"/>
            <w:vAlign w:val="center"/>
          </w:tcPr>
          <w:p>
            <w:pPr>
              <w:pStyle w:val="107"/>
            </w:pPr>
            <w:r>
              <w:t>/</w:t>
            </w:r>
          </w:p>
        </w:tc>
        <w:tc>
          <w:tcPr>
            <w:tcW w:w="698" w:type="dxa"/>
            <w:tcBorders>
              <w:top w:val="nil"/>
              <w:left w:val="nil"/>
              <w:bottom w:val="single" w:color="auto" w:sz="4" w:space="0"/>
              <w:right w:val="single" w:color="auto" w:sz="4" w:space="0"/>
            </w:tcBorders>
            <w:shd w:val="clear" w:color="auto" w:fill="auto"/>
            <w:vAlign w:val="center"/>
          </w:tcPr>
          <w:p>
            <w:pPr>
              <w:pStyle w:val="107"/>
            </w:pPr>
            <w:r>
              <w:t>/</w:t>
            </w:r>
          </w:p>
        </w:tc>
        <w:tc>
          <w:tcPr>
            <w:tcW w:w="1397" w:type="dxa"/>
            <w:tcBorders>
              <w:top w:val="nil"/>
              <w:left w:val="nil"/>
              <w:bottom w:val="single" w:color="auto" w:sz="4" w:space="0"/>
              <w:right w:val="single" w:color="auto" w:sz="4" w:space="0"/>
            </w:tcBorders>
            <w:shd w:val="clear" w:color="auto" w:fill="auto"/>
            <w:vAlign w:val="center"/>
          </w:tcPr>
          <w:p>
            <w:pPr>
              <w:pStyle w:val="107"/>
            </w:pPr>
            <w:r>
              <w:t>1266.7</w:t>
            </w:r>
          </w:p>
        </w:tc>
        <w:tc>
          <w:tcPr>
            <w:tcW w:w="645" w:type="dxa"/>
            <w:tcBorders>
              <w:top w:val="nil"/>
              <w:left w:val="nil"/>
              <w:bottom w:val="single" w:color="auto" w:sz="4" w:space="0"/>
              <w:right w:val="single" w:color="auto" w:sz="4" w:space="0"/>
            </w:tcBorders>
            <w:shd w:val="clear" w:color="auto" w:fill="auto"/>
            <w:vAlign w:val="center"/>
          </w:tcPr>
          <w:p>
            <w:pPr>
              <w:pStyle w:val="107"/>
            </w:pPr>
            <w:r>
              <w:t>/</w:t>
            </w:r>
          </w:p>
        </w:tc>
        <w:tc>
          <w:tcPr>
            <w:tcW w:w="647" w:type="dxa"/>
            <w:tcBorders>
              <w:top w:val="nil"/>
              <w:left w:val="nil"/>
              <w:bottom w:val="single" w:color="auto" w:sz="4" w:space="0"/>
              <w:right w:val="single" w:color="auto" w:sz="4" w:space="0"/>
            </w:tcBorders>
            <w:shd w:val="clear" w:color="auto" w:fill="auto"/>
            <w:vAlign w:val="center"/>
          </w:tcPr>
          <w:p>
            <w:pPr>
              <w:pStyle w:val="107"/>
            </w:pPr>
            <w:r>
              <w:t>/</w:t>
            </w:r>
          </w:p>
        </w:tc>
        <w:tc>
          <w:tcPr>
            <w:tcW w:w="647" w:type="dxa"/>
            <w:tcBorders>
              <w:top w:val="nil"/>
              <w:left w:val="nil"/>
              <w:bottom w:val="single" w:color="auto" w:sz="4" w:space="0"/>
              <w:right w:val="single" w:color="auto" w:sz="4" w:space="0"/>
            </w:tcBorders>
            <w:shd w:val="clear" w:color="auto" w:fill="auto"/>
            <w:vAlign w:val="center"/>
          </w:tcPr>
          <w:p>
            <w:pPr>
              <w:pStyle w:val="107"/>
            </w:pPr>
            <w:r>
              <w:t>/</w:t>
            </w:r>
          </w:p>
        </w:tc>
        <w:tc>
          <w:tcPr>
            <w:tcW w:w="1385" w:type="dxa"/>
            <w:tcBorders>
              <w:top w:val="nil"/>
              <w:left w:val="nil"/>
              <w:bottom w:val="single" w:color="auto" w:sz="4" w:space="0"/>
              <w:right w:val="single" w:color="auto" w:sz="4" w:space="0"/>
            </w:tcBorders>
            <w:shd w:val="clear" w:color="auto" w:fill="auto"/>
            <w:vAlign w:val="center"/>
          </w:tcPr>
          <w:p>
            <w:pPr>
              <w:pStyle w:val="107"/>
            </w:pPr>
            <w:r>
              <w:t>1040</w:t>
            </w:r>
          </w:p>
        </w:tc>
      </w:tr>
    </w:tbl>
    <w:p>
      <w:pPr>
        <w:pStyle w:val="5"/>
      </w:pPr>
      <w:r>
        <w:rPr>
          <w:rFonts w:hint="eastAsia"/>
        </w:rPr>
        <w:t>劳动定员及生产制度</w:t>
      </w:r>
    </w:p>
    <w:p>
      <w:pPr>
        <w:ind w:firstLine="480"/>
      </w:pPr>
      <w:r>
        <w:rPr>
          <w:rFonts w:hint="eastAsia"/>
        </w:rPr>
        <w:t>项目正常生产均为一班制，每班8小时，年生产时间约</w:t>
      </w:r>
      <w:r>
        <w:t>30</w:t>
      </w:r>
      <w:r>
        <w:rPr>
          <w:rFonts w:hint="eastAsia"/>
        </w:rPr>
        <w:t>0天（</w:t>
      </w:r>
      <w:r>
        <w:t>2400</w:t>
      </w:r>
      <w:r>
        <w:rPr>
          <w:rFonts w:hint="eastAsia"/>
        </w:rPr>
        <w:t>小时）。</w:t>
      </w:r>
      <w:r>
        <w:t>项目</w:t>
      </w:r>
      <w:r>
        <w:rPr>
          <w:rFonts w:hint="eastAsia"/>
        </w:rPr>
        <w:t>共有员工约</w:t>
      </w:r>
      <w:r>
        <w:t>3</w:t>
      </w:r>
      <w:r>
        <w:rPr>
          <w:rFonts w:hint="eastAsia"/>
        </w:rPr>
        <w:t>0</w:t>
      </w:r>
      <w:r>
        <w:t>人</w:t>
      </w:r>
      <w:r>
        <w:rPr>
          <w:rFonts w:hint="eastAsia"/>
        </w:rPr>
        <w:t>。工人多为周边村民</w:t>
      </w:r>
      <w:r>
        <w:t>，</w:t>
      </w:r>
      <w:r>
        <w:rPr>
          <w:rFonts w:hint="eastAsia"/>
        </w:rPr>
        <w:t>均不在厂内食宿</w:t>
      </w:r>
      <w:r>
        <w:t>。</w:t>
      </w:r>
    </w:p>
    <w:p>
      <w:pPr>
        <w:pStyle w:val="5"/>
      </w:pPr>
      <w:r>
        <w:rPr>
          <w:rFonts w:hint="eastAsia"/>
        </w:rPr>
        <w:t>建设周期</w:t>
      </w:r>
    </w:p>
    <w:p>
      <w:pPr>
        <w:ind w:firstLine="480"/>
        <w:rPr>
          <w:rFonts w:eastAsiaTheme="minorEastAsia"/>
        </w:rPr>
      </w:pPr>
      <w:r>
        <w:rPr>
          <w:rFonts w:eastAsiaTheme="minorEastAsia"/>
        </w:rPr>
        <w:t>本项目</w:t>
      </w:r>
      <w:r>
        <w:rPr>
          <w:rFonts w:hint="eastAsia" w:eastAsiaTheme="minorEastAsia"/>
        </w:rPr>
        <w:t>厂房及设备设施已建成，无需施工</w:t>
      </w:r>
      <w:r>
        <w:rPr>
          <w:rFonts w:eastAsiaTheme="minorEastAsia"/>
        </w:rPr>
        <w:t>及设备安装</w:t>
      </w:r>
      <w:r>
        <w:rPr>
          <w:rFonts w:hint="eastAsia" w:eastAsiaTheme="minorEastAsia"/>
        </w:rPr>
        <w:t>。</w:t>
      </w:r>
    </w:p>
    <w:p>
      <w:pPr>
        <w:pStyle w:val="5"/>
      </w:pPr>
      <w:r>
        <w:t>产品方案</w:t>
      </w:r>
    </w:p>
    <w:p>
      <w:pPr>
        <w:ind w:firstLine="480"/>
        <w:rPr>
          <w:rFonts w:eastAsiaTheme="minorEastAsia"/>
        </w:rPr>
      </w:pPr>
      <w:r>
        <w:rPr>
          <w:rFonts w:hint="eastAsia" w:eastAsiaTheme="minorEastAsia"/>
        </w:rPr>
        <w:t>项目主要从事橡胶制品的</w:t>
      </w:r>
      <w:r>
        <w:rPr>
          <w:rFonts w:eastAsiaTheme="minorEastAsia"/>
        </w:rPr>
        <w:t>生产</w:t>
      </w:r>
      <w:r>
        <w:rPr>
          <w:rFonts w:hint="eastAsia" w:eastAsiaTheme="minorEastAsia"/>
        </w:rPr>
        <w:t>、</w:t>
      </w:r>
      <w:r>
        <w:rPr>
          <w:rFonts w:eastAsiaTheme="minorEastAsia"/>
        </w:rPr>
        <w:t>销售</w:t>
      </w:r>
      <w:r>
        <w:rPr>
          <w:rFonts w:hint="eastAsia" w:eastAsiaTheme="minorEastAsia"/>
        </w:rPr>
        <w:t>，预计年产量</w:t>
      </w:r>
      <w:r>
        <w:rPr>
          <w:rFonts w:eastAsiaTheme="minorEastAsia"/>
        </w:rPr>
        <w:t>800</w:t>
      </w:r>
      <w:r>
        <w:rPr>
          <w:rFonts w:hint="eastAsia" w:eastAsiaTheme="minorEastAsia"/>
        </w:rPr>
        <w:t>万个脚轮。项目再生橡胶原料经过配料、混炼（密炼、开炼）、裁切、硫化成型工序制成橡胶轮成品。具体产品方案及生产规模如</w:t>
      </w:r>
      <w:r>
        <w:rPr>
          <w:rFonts w:eastAsiaTheme="minorEastAsia"/>
        </w:rPr>
        <w:fldChar w:fldCharType="begin"/>
      </w:r>
      <w:r>
        <w:rPr>
          <w:rFonts w:eastAsiaTheme="minorEastAsia"/>
        </w:rPr>
        <w:instrText xml:space="preserve"> </w:instrText>
      </w:r>
      <w:r>
        <w:rPr>
          <w:rFonts w:hint="eastAsia" w:eastAsiaTheme="minorEastAsia"/>
        </w:rPr>
        <w:instrText xml:space="preserve">REF _Ref522741890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2.1</w:t>
      </w:r>
      <w:r>
        <w:rPr>
          <w:rFonts w:eastAsiaTheme="minorEastAsia"/>
        </w:rPr>
        <w:noBreakHyphen/>
      </w:r>
      <w:r>
        <w:rPr>
          <w:rFonts w:eastAsiaTheme="minorEastAsia"/>
        </w:rPr>
        <w:t>3</w:t>
      </w:r>
      <w:r>
        <w:rPr>
          <w:rFonts w:eastAsiaTheme="minorEastAsia"/>
        </w:rPr>
        <w:fldChar w:fldCharType="end"/>
      </w:r>
      <w:r>
        <w:rPr>
          <w:rFonts w:hint="eastAsia" w:eastAsiaTheme="minorEastAsia"/>
        </w:rPr>
        <w:t>所示。</w:t>
      </w:r>
    </w:p>
    <w:p>
      <w:pPr>
        <w:pStyle w:val="18"/>
      </w:pPr>
      <w:bookmarkStart w:id="162" w:name="_Ref522741890"/>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bookmarkEnd w:id="162"/>
      <w:r>
        <w:rPr>
          <w:rFonts w:hint="eastAsia"/>
        </w:rPr>
        <w:t>项目产品方案及生产规模</w:t>
      </w:r>
    </w:p>
    <w:tbl>
      <w:tblPr>
        <w:tblStyle w:val="56"/>
        <w:tblW w:w="9050" w:type="dxa"/>
        <w:jc w:val="center"/>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
      <w:tblGrid>
        <w:gridCol w:w="728"/>
        <w:gridCol w:w="1178"/>
        <w:gridCol w:w="1620"/>
        <w:gridCol w:w="3127"/>
        <w:gridCol w:w="2397"/>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tblHeader/>
          <w:jc w:val="center"/>
        </w:trPr>
        <w:tc>
          <w:tcPr>
            <w:tcW w:w="728" w:type="dxa"/>
            <w:tcBorders>
              <w:tl2br w:val="nil"/>
              <w:tr2bl w:val="nil"/>
            </w:tcBorders>
            <w:shd w:val="clear" w:color="auto" w:fill="D8D8D8" w:themeFill="background1" w:themeFillShade="D9"/>
            <w:vAlign w:val="center"/>
          </w:tcPr>
          <w:p>
            <w:pPr>
              <w:pStyle w:val="107"/>
              <w:rPr>
                <w:b/>
              </w:rPr>
            </w:pPr>
            <w:r>
              <w:rPr>
                <w:rFonts w:hint="eastAsia"/>
                <w:b/>
              </w:rPr>
              <w:t>序号</w:t>
            </w:r>
          </w:p>
        </w:tc>
        <w:tc>
          <w:tcPr>
            <w:tcW w:w="1178" w:type="dxa"/>
            <w:tcBorders>
              <w:tl2br w:val="nil"/>
              <w:tr2bl w:val="nil"/>
            </w:tcBorders>
            <w:shd w:val="clear" w:color="auto" w:fill="D8D8D8" w:themeFill="background1" w:themeFillShade="D9"/>
            <w:vAlign w:val="center"/>
          </w:tcPr>
          <w:p>
            <w:pPr>
              <w:pStyle w:val="107"/>
              <w:rPr>
                <w:b/>
              </w:rPr>
            </w:pPr>
            <w:r>
              <w:rPr>
                <w:b/>
              </w:rPr>
              <w:t>产品名称</w:t>
            </w:r>
          </w:p>
        </w:tc>
        <w:tc>
          <w:tcPr>
            <w:tcW w:w="1620" w:type="dxa"/>
            <w:tcBorders>
              <w:tl2br w:val="nil"/>
              <w:tr2bl w:val="nil"/>
            </w:tcBorders>
            <w:shd w:val="clear" w:color="auto" w:fill="D8D8D8" w:themeFill="background1" w:themeFillShade="D9"/>
            <w:vAlign w:val="center"/>
          </w:tcPr>
          <w:p>
            <w:pPr>
              <w:pStyle w:val="107"/>
              <w:rPr>
                <w:b/>
              </w:rPr>
            </w:pPr>
            <w:r>
              <w:rPr>
                <w:b/>
              </w:rPr>
              <w:t>年产量</w:t>
            </w:r>
          </w:p>
        </w:tc>
        <w:tc>
          <w:tcPr>
            <w:tcW w:w="3127" w:type="dxa"/>
            <w:tcBorders>
              <w:tl2br w:val="nil"/>
              <w:tr2bl w:val="nil"/>
            </w:tcBorders>
            <w:shd w:val="clear" w:color="auto" w:fill="D8D8D8" w:themeFill="background1" w:themeFillShade="D9"/>
            <w:vAlign w:val="center"/>
          </w:tcPr>
          <w:p>
            <w:pPr>
              <w:pStyle w:val="107"/>
              <w:rPr>
                <w:b/>
              </w:rPr>
            </w:pPr>
            <w:r>
              <w:rPr>
                <w:rFonts w:hint="eastAsia"/>
                <w:b/>
              </w:rPr>
              <w:t>产品类型</w:t>
            </w:r>
          </w:p>
        </w:tc>
        <w:tc>
          <w:tcPr>
            <w:tcW w:w="2397" w:type="dxa"/>
            <w:tcBorders>
              <w:tl2br w:val="nil"/>
              <w:tr2bl w:val="nil"/>
            </w:tcBorders>
            <w:shd w:val="clear" w:color="auto" w:fill="D8D8D8" w:themeFill="background1" w:themeFillShade="D9"/>
            <w:vAlign w:val="center"/>
          </w:tcPr>
          <w:p>
            <w:pPr>
              <w:pStyle w:val="107"/>
              <w:rPr>
                <w:b/>
              </w:rPr>
            </w:pPr>
            <w:r>
              <w:rPr>
                <w:rFonts w:hint="eastAsia"/>
                <w:b/>
              </w:rPr>
              <w:t>产品去向</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397" w:hRule="atLeast"/>
          <w:jc w:val="center"/>
        </w:trPr>
        <w:tc>
          <w:tcPr>
            <w:tcW w:w="728" w:type="dxa"/>
            <w:tcBorders>
              <w:tl2br w:val="nil"/>
              <w:tr2bl w:val="nil"/>
            </w:tcBorders>
            <w:vAlign w:val="center"/>
          </w:tcPr>
          <w:p>
            <w:pPr>
              <w:pStyle w:val="107"/>
            </w:pPr>
            <w:r>
              <w:t>1</w:t>
            </w:r>
          </w:p>
        </w:tc>
        <w:tc>
          <w:tcPr>
            <w:tcW w:w="1178" w:type="dxa"/>
            <w:tcBorders>
              <w:tl2br w:val="nil"/>
              <w:tr2bl w:val="nil"/>
            </w:tcBorders>
            <w:vAlign w:val="center"/>
          </w:tcPr>
          <w:p>
            <w:pPr>
              <w:pStyle w:val="107"/>
            </w:pPr>
            <w:r>
              <w:rPr>
                <w:rFonts w:hint="eastAsia"/>
              </w:rPr>
              <w:t>橡胶脚轮</w:t>
            </w:r>
          </w:p>
        </w:tc>
        <w:tc>
          <w:tcPr>
            <w:tcW w:w="1620" w:type="dxa"/>
            <w:tcBorders>
              <w:tl2br w:val="nil"/>
              <w:tr2bl w:val="nil"/>
            </w:tcBorders>
            <w:vAlign w:val="center"/>
          </w:tcPr>
          <w:p>
            <w:pPr>
              <w:pStyle w:val="107"/>
            </w:pPr>
            <w:r>
              <w:t>800</w:t>
            </w:r>
            <w:r>
              <w:rPr>
                <w:rFonts w:hint="eastAsia"/>
              </w:rPr>
              <w:t>万个</w:t>
            </w:r>
          </w:p>
        </w:tc>
        <w:tc>
          <w:tcPr>
            <w:tcW w:w="3127" w:type="dxa"/>
            <w:tcBorders>
              <w:tl2br w:val="nil"/>
              <w:tr2bl w:val="nil"/>
            </w:tcBorders>
            <w:vAlign w:val="center"/>
          </w:tcPr>
          <w:p>
            <w:pPr>
              <w:pStyle w:val="107"/>
            </w:pPr>
            <w:r>
              <w:rPr>
                <w:rFonts w:hint="eastAsia"/>
              </w:rPr>
              <w:t>最终产品</w:t>
            </w:r>
          </w:p>
        </w:tc>
        <w:tc>
          <w:tcPr>
            <w:tcW w:w="2397" w:type="dxa"/>
            <w:tcBorders>
              <w:tl2br w:val="nil"/>
              <w:tr2bl w:val="nil"/>
            </w:tcBorders>
            <w:vAlign w:val="center"/>
          </w:tcPr>
          <w:p>
            <w:pPr>
              <w:pStyle w:val="107"/>
            </w:pPr>
            <w:r>
              <w:rPr>
                <w:rFonts w:hint="eastAsia"/>
              </w:rPr>
              <w:t>五金装配厂家</w:t>
            </w:r>
          </w:p>
        </w:tc>
      </w:tr>
    </w:tbl>
    <w:p>
      <w:pPr>
        <w:spacing w:line="0" w:lineRule="atLeast"/>
        <w:ind w:firstLine="480"/>
        <w:rPr>
          <w:rFonts w:eastAsiaTheme="minorEastAsia"/>
        </w:rPr>
      </w:pPr>
    </w:p>
    <w:p>
      <w:pPr>
        <w:pStyle w:val="5"/>
      </w:pPr>
      <w:r>
        <w:rPr>
          <w:rFonts w:hint="eastAsia"/>
        </w:rPr>
        <w:t>平面布置及合理性分析</w:t>
      </w:r>
    </w:p>
    <w:p>
      <w:pPr>
        <w:ind w:firstLine="480"/>
        <w:rPr>
          <w:rFonts w:eastAsiaTheme="minorEastAsia"/>
        </w:rPr>
      </w:pPr>
      <w:r>
        <w:rPr>
          <w:rFonts w:hint="eastAsia" w:eastAsiaTheme="minorEastAsia"/>
        </w:rPr>
        <w:t>项目厂区呈矩形，东西短南北长。厂区按功能分为生产区以及办公生活区。办公区位于厂区西南侧，生产区位于厂区北侧，生产及办公区有绿地、空地隔开，较为分明。项目所在区域主导风向为北风，办公区位于生产区的上风向，减少了正常生产情况下，废气对厂区职工的影响。</w:t>
      </w:r>
    </w:p>
    <w:p>
      <w:pPr>
        <w:ind w:firstLine="480"/>
        <w:rPr>
          <w:rFonts w:eastAsiaTheme="minorEastAsia"/>
        </w:rPr>
      </w:pPr>
      <w:r>
        <w:rPr>
          <w:rFonts w:hint="eastAsia" w:eastAsiaTheme="minorEastAsia"/>
        </w:rPr>
        <w:t>整个厂区设1个出入口，位于厂区南面，紧邻</w:t>
      </w:r>
      <w:r>
        <w:rPr>
          <w:rFonts w:hint="eastAsia" w:cs="Times New Roman" w:eastAsiaTheme="minorEastAsia"/>
        </w:rPr>
        <w:t>成业路</w:t>
      </w:r>
      <w:r>
        <w:rPr>
          <w:rFonts w:hint="eastAsia" w:eastAsiaTheme="minorEastAsia"/>
        </w:rPr>
        <w:t>。进入大门后厂区前部为办公区，大门的右侧为仓库，中间为厂区道路。生产区也是中间为道路区域，生产厂房位于厂北侧。其中，厂区东侧由北至南分别为硫化车间、成品仓库、化学品仓库；厂区北侧由东至西分别为混炼车间、裁切车间、原料仓库、硫化车间。各构筑物之间留出必要的间距和通道，使其符合生产、安全卫生、消防、环保等要求。</w:t>
      </w:r>
    </w:p>
    <w:p>
      <w:pPr>
        <w:ind w:firstLine="480"/>
        <w:rPr>
          <w:rFonts w:eastAsiaTheme="minorEastAsia"/>
        </w:rPr>
      </w:pPr>
      <w:r>
        <w:rPr>
          <w:rFonts w:hint="eastAsia" w:eastAsiaTheme="minorEastAsia"/>
        </w:rPr>
        <w:t>厂区绿化能净化空气，消除或减弱噪音，美化环境，改善劳动条件。本项目厂区绿化用地要布置在生产车间四周、厂界和道路两侧。建筑物周围的空地种植绿化带，绿化带内种植草坪和花灌木，道路两侧种植乔木及常青乔木。</w:t>
      </w:r>
    </w:p>
    <w:p>
      <w:pPr>
        <w:ind w:firstLine="480"/>
        <w:rPr>
          <w:rFonts w:eastAsiaTheme="minorEastAsia"/>
        </w:rPr>
      </w:pPr>
      <w:r>
        <w:rPr>
          <w:rFonts w:hint="eastAsia" w:eastAsiaTheme="minorEastAsia"/>
        </w:rPr>
        <w:t>项目厂内外物料运输简明通畅，运输集中，便于管理；各功能分区明确，生产区布置按照工艺流程衔接合理布置，联系便捷；各建筑物、构筑物的外形规整，建筑群体与周围景观相协调，布局符合生产流程、操作要求和使用功能，总体布局基本符合《工业企业总平面设计规范》（GB</w:t>
      </w:r>
      <w:r>
        <w:rPr>
          <w:rFonts w:eastAsiaTheme="minorEastAsia"/>
        </w:rPr>
        <w:t xml:space="preserve"> </w:t>
      </w:r>
      <w:r>
        <w:rPr>
          <w:rFonts w:hint="eastAsia" w:eastAsiaTheme="minorEastAsia"/>
        </w:rPr>
        <w:t>50187-2012）和《建筑设计防火规范》（GB</w:t>
      </w:r>
      <w:r>
        <w:rPr>
          <w:rFonts w:eastAsiaTheme="minorEastAsia"/>
        </w:rPr>
        <w:t xml:space="preserve"> </w:t>
      </w:r>
      <w:r>
        <w:rPr>
          <w:rFonts w:hint="eastAsia" w:eastAsiaTheme="minorEastAsia"/>
        </w:rPr>
        <w:t>50016-2006）的要求。</w:t>
      </w:r>
    </w:p>
    <w:p>
      <w:pPr>
        <w:ind w:firstLine="480"/>
        <w:rPr>
          <w:rFonts w:eastAsiaTheme="minorEastAsia"/>
        </w:rPr>
      </w:pPr>
      <w:r>
        <w:rPr>
          <w:rFonts w:hint="eastAsia" w:eastAsiaTheme="minorEastAsia"/>
        </w:rPr>
        <w:t>项目厂区总平面布置现状详见</w:t>
      </w:r>
      <w:r>
        <w:rPr>
          <w:rFonts w:eastAsiaTheme="minorEastAsia"/>
        </w:rPr>
        <w:fldChar w:fldCharType="begin"/>
      </w:r>
      <w:r>
        <w:rPr>
          <w:rFonts w:eastAsiaTheme="minorEastAsia"/>
        </w:rPr>
        <w:instrText xml:space="preserve"> </w:instrText>
      </w:r>
      <w:r>
        <w:rPr>
          <w:rFonts w:hint="eastAsia" w:eastAsiaTheme="minorEastAsia"/>
        </w:rPr>
        <w:instrText xml:space="preserve">REF _Ref525738941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2.1</w:t>
      </w:r>
      <w:r>
        <w:rPr>
          <w:rFonts w:eastAsiaTheme="minorEastAsia"/>
        </w:rPr>
        <w:noBreakHyphen/>
      </w:r>
      <w:r>
        <w:rPr>
          <w:rFonts w:eastAsiaTheme="minorEastAsia"/>
        </w:rPr>
        <w:t>4</w:t>
      </w:r>
      <w:r>
        <w:rPr>
          <w:rFonts w:eastAsiaTheme="minorEastAsia"/>
        </w:rPr>
        <w:fldChar w:fldCharType="end"/>
      </w:r>
      <w:r>
        <w:rPr>
          <w:rFonts w:hint="eastAsia" w:eastAsiaTheme="minorEastAsia"/>
        </w:rPr>
        <w:t>，厂房设备布置见</w:t>
      </w:r>
      <w:r>
        <w:rPr>
          <w:rFonts w:eastAsiaTheme="minorEastAsia"/>
        </w:rPr>
        <w:fldChar w:fldCharType="begin"/>
      </w:r>
      <w:r>
        <w:rPr>
          <w:rFonts w:eastAsiaTheme="minorEastAsia"/>
        </w:rPr>
        <w:instrText xml:space="preserve"> </w:instrText>
      </w:r>
      <w:r>
        <w:rPr>
          <w:rFonts w:hint="eastAsia" w:eastAsiaTheme="minorEastAsia"/>
        </w:rPr>
        <w:instrText xml:space="preserve">REF _Ref525738958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2.1</w:t>
      </w:r>
      <w:r>
        <w:rPr>
          <w:rFonts w:eastAsiaTheme="minorEastAsia"/>
        </w:rPr>
        <w:noBreakHyphen/>
      </w:r>
      <w:r>
        <w:rPr>
          <w:rFonts w:eastAsiaTheme="minorEastAsia"/>
        </w:rPr>
        <w:t>5</w:t>
      </w:r>
      <w:r>
        <w:rPr>
          <w:rFonts w:eastAsiaTheme="minorEastAsia"/>
        </w:rPr>
        <w:fldChar w:fldCharType="end"/>
      </w:r>
      <w:r>
        <w:rPr>
          <w:rFonts w:hint="eastAsia" w:eastAsiaTheme="minorEastAsia"/>
        </w:rPr>
        <w:t>。</w:t>
      </w:r>
    </w:p>
    <w:p>
      <w:pPr>
        <w:pStyle w:val="107"/>
        <w:sectPr>
          <w:footerReference r:id="rId17" w:type="default"/>
          <w:pgSz w:w="11906" w:h="16838"/>
          <w:pgMar w:top="1418" w:right="1418" w:bottom="1418" w:left="1418" w:header="851" w:footer="992" w:gutter="0"/>
          <w:cols w:space="0" w:num="1"/>
          <w:docGrid w:type="lines" w:linePitch="335" w:charSpace="0"/>
        </w:sectPr>
      </w:pPr>
    </w:p>
    <w:p>
      <w:pPr>
        <w:pStyle w:val="107"/>
        <w:keepNext/>
      </w:pPr>
      <w:r>
        <mc:AlternateContent>
          <mc:Choice Requires="wps">
            <w:drawing>
              <wp:anchor distT="0" distB="0" distL="114300" distR="114300" simplePos="0" relativeHeight="251490304" behindDoc="0" locked="0" layoutInCell="1" allowOverlap="1">
                <wp:simplePos x="0" y="0"/>
                <wp:positionH relativeFrom="column">
                  <wp:posOffset>8274685</wp:posOffset>
                </wp:positionH>
                <wp:positionV relativeFrom="paragraph">
                  <wp:posOffset>62865</wp:posOffset>
                </wp:positionV>
                <wp:extent cx="838200" cy="960755"/>
                <wp:effectExtent l="0" t="0" r="19050" b="10795"/>
                <wp:wrapNone/>
                <wp:docPr id="547" name="文本框 168"/>
                <wp:cNvGraphicFramePr/>
                <a:graphic xmlns:a="http://schemas.openxmlformats.org/drawingml/2006/main">
                  <a:graphicData uri="http://schemas.microsoft.com/office/word/2010/wordprocessingShape">
                    <wps:wsp>
                      <wps:cNvSpPr txBox="1"/>
                      <wps:spPr>
                        <a:xfrm>
                          <a:off x="0" y="0"/>
                          <a:ext cx="838200" cy="96075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pPr>
                            <w:r>
                              <w:drawing>
                                <wp:inline distT="0" distB="0" distL="114300" distR="114300">
                                  <wp:extent cx="747395" cy="797560"/>
                                  <wp:effectExtent l="0" t="0" r="0" b="2540"/>
                                  <wp:docPr id="52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8"/>
                                          <pic:cNvPicPr>
                                            <a:picLocks noChangeAspect="1"/>
                                          </pic:cNvPicPr>
                                        </pic:nvPicPr>
                                        <pic:blipFill>
                                          <a:blip r:embed="rId26"/>
                                          <a:stretch>
                                            <a:fillRect/>
                                          </a:stretch>
                                        </pic:blipFill>
                                        <pic:spPr>
                                          <a:xfrm>
                                            <a:off x="0" y="0"/>
                                            <a:ext cx="751796" cy="802809"/>
                                          </a:xfrm>
                                          <a:prstGeom prst="rect">
                                            <a:avLst/>
                                          </a:prstGeom>
                                          <a:noFill/>
                                          <a:ln w="9525">
                                            <a:noFill/>
                                          </a:ln>
                                        </pic:spPr>
                                      </pic:pic>
                                    </a:graphicData>
                                  </a:graphic>
                                </wp:inline>
                              </w:drawing>
                            </w:r>
                          </w:p>
                        </w:txbxContent>
                      </wps:txbx>
                      <wps:bodyPr wrap="square" upright="1">
                        <a:noAutofit/>
                      </wps:bodyPr>
                    </wps:wsp>
                  </a:graphicData>
                </a:graphic>
              </wp:anchor>
            </w:drawing>
          </mc:Choice>
          <mc:Fallback>
            <w:pict>
              <v:shape id="文本框 168" o:spid="_x0000_s1026" o:spt="202" type="#_x0000_t202" style="position:absolute;left:0pt;margin-left:651.55pt;margin-top:4.95pt;height:75.65pt;width:66pt;z-index:251490304;mso-width-relative:page;mso-height-relative:page;" fillcolor="#FFFFFF" filled="t" stroked="t" coordsize="21600,21600" o:gfxdata="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m7Z6PZAAAACwEAAA8AAAAAAAAAAQAgAAAAIgAA&#10;AGRycy9kb3ducmV2LnhtbFBLAQIUABQAAAAIAIdO4kAf9vVsBwIAABMEAAAOAAAAAAAAAAEAIAAA&#10;ACgBAABkcnMvZTJvRG9jLnhtbFBLBQYAAAAABgAGAFkBAAChBQAAAAA=&#10;">
                <v:fill on="t" focussize="0,0"/>
                <v:stroke color="#000000" joinstyle="miter"/>
                <v:imagedata o:title=""/>
                <o:lock v:ext="edit" aspectratio="f"/>
                <v:textbox>
                  <w:txbxContent>
                    <w:p>
                      <w:pPr>
                        <w:spacing w:line="240" w:lineRule="auto"/>
                        <w:ind w:firstLine="0" w:firstLineChars="0"/>
                      </w:pPr>
                      <w:r>
                        <w:drawing>
                          <wp:inline distT="0" distB="0" distL="114300" distR="114300">
                            <wp:extent cx="747395" cy="797560"/>
                            <wp:effectExtent l="0" t="0" r="0" b="2540"/>
                            <wp:docPr id="52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8"/>
                                    <pic:cNvPicPr>
                                      <a:picLocks noChangeAspect="1"/>
                                    </pic:cNvPicPr>
                                  </pic:nvPicPr>
                                  <pic:blipFill>
                                    <a:blip r:embed="rId26"/>
                                    <a:stretch>
                                      <a:fillRect/>
                                    </a:stretch>
                                  </pic:blipFill>
                                  <pic:spPr>
                                    <a:xfrm>
                                      <a:off x="0" y="0"/>
                                      <a:ext cx="751796" cy="802809"/>
                                    </a:xfrm>
                                    <a:prstGeom prst="rect">
                                      <a:avLst/>
                                    </a:prstGeom>
                                    <a:noFill/>
                                    <a:ln w="9525">
                                      <a:noFill/>
                                    </a:ln>
                                  </pic:spPr>
                                </pic:pic>
                              </a:graphicData>
                            </a:graphic>
                          </wp:inline>
                        </w:drawing>
                      </w:r>
                    </w:p>
                  </w:txbxContent>
                </v:textbox>
              </v:shape>
            </w:pict>
          </mc:Fallback>
        </mc:AlternateContent>
      </w:r>
      <w:r>
        <mc:AlternateContent>
          <mc:Choice Requires="wps">
            <w:drawing>
              <wp:anchor distT="0" distB="0" distL="114300" distR="114300" simplePos="0" relativeHeight="252023808" behindDoc="0" locked="0" layoutInCell="1" allowOverlap="1">
                <wp:simplePos x="0" y="0"/>
                <wp:positionH relativeFrom="column">
                  <wp:posOffset>5767070</wp:posOffset>
                </wp:positionH>
                <wp:positionV relativeFrom="paragraph">
                  <wp:posOffset>325120</wp:posOffset>
                </wp:positionV>
                <wp:extent cx="698500" cy="349250"/>
                <wp:effectExtent l="0" t="0" r="6350" b="0"/>
                <wp:wrapNone/>
                <wp:docPr id="450" name="矩形 450"/>
                <wp:cNvGraphicFramePr/>
                <a:graphic xmlns:a="http://schemas.openxmlformats.org/drawingml/2006/main">
                  <a:graphicData uri="http://schemas.microsoft.com/office/word/2010/wordprocessingShape">
                    <wps:wsp>
                      <wps:cNvSpPr/>
                      <wps:spPr>
                        <a:xfrm>
                          <a:off x="0" y="0"/>
                          <a:ext cx="698500" cy="349250"/>
                        </a:xfrm>
                        <a:prstGeom prst="rect">
                          <a:avLst/>
                        </a:prstGeom>
                        <a:solidFill>
                          <a:sysClr val="window" lastClr="FFFFFF"/>
                        </a:solidFill>
                        <a:ln w="12700" cap="flat" cmpd="sng" algn="ctr">
                          <a:noFill/>
                          <a:prstDash val="solid"/>
                          <a:miter lim="800000"/>
                        </a:ln>
                        <a:effectLst/>
                      </wps:spPr>
                      <wps:txbx>
                        <w:txbxContent>
                          <w:p>
                            <w:pPr>
                              <w:ind w:firstLine="0" w:firstLineChars="0"/>
                              <w:rPr>
                                <w:rFonts w:hint="eastAsia"/>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危废间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4.1pt;margin-top:25.6pt;height:27.5pt;width:55pt;z-index:252023808;v-text-anchor:middle;mso-width-relative:page;mso-height-relative:page;" fillcolor="#FFFFFF" filled="t" stroked="f" coordsize="21600,21600" o:gfxdata="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j0+4Y1wAAAAsBAAAPAAAAAAAAAAEAIAAAACIAAABkcnMvZG93bnJldi54bWxQSwECFAAU&#10;AAAACACHTuJAq5dhDGQCAACpBAAADgAAAAAAAAABACAAAAAmAQAAZHJzL2Uyb0RvYy54bWxQSwUG&#10;AAAAAAYABgBZAQAA/AUAAAAA&#10;">
                <v:fill on="t" focussize="0,0"/>
                <v:stroke on="f" weight="1pt" miterlimit="8" joinstyle="miter"/>
                <v:imagedata o:title=""/>
                <o:lock v:ext="edit" aspectratio="f"/>
                <v:textbox>
                  <w:txbxContent>
                    <w:p>
                      <w:pPr>
                        <w:ind w:firstLine="0" w:firstLineChars="0"/>
                        <w:rPr>
                          <w:rFonts w:hint="eastAsia"/>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危废间</w:t>
                      </w:r>
                    </w:p>
                  </w:txbxContent>
                </v:textbox>
              </v:rect>
            </w:pict>
          </mc:Fallback>
        </mc:AlternateContent>
      </w:r>
      <w:r>
        <mc:AlternateContent>
          <mc:Choice Requires="wps">
            <w:drawing>
              <wp:anchor distT="0" distB="0" distL="114300" distR="114300" simplePos="0" relativeHeight="252021760" behindDoc="0" locked="0" layoutInCell="1" allowOverlap="1">
                <wp:simplePos x="0" y="0"/>
                <wp:positionH relativeFrom="column">
                  <wp:posOffset>4960620</wp:posOffset>
                </wp:positionH>
                <wp:positionV relativeFrom="paragraph">
                  <wp:posOffset>941070</wp:posOffset>
                </wp:positionV>
                <wp:extent cx="933450" cy="481330"/>
                <wp:effectExtent l="0" t="0" r="0" b="0"/>
                <wp:wrapNone/>
                <wp:docPr id="448" name="矩形 448"/>
                <wp:cNvGraphicFramePr/>
                <a:graphic xmlns:a="http://schemas.openxmlformats.org/drawingml/2006/main">
                  <a:graphicData uri="http://schemas.microsoft.com/office/word/2010/wordprocessingShape">
                    <wps:wsp>
                      <wps:cNvSpPr/>
                      <wps:spPr>
                        <a:xfrm>
                          <a:off x="0" y="0"/>
                          <a:ext cx="933450" cy="4813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rPr>
                                <w:rFonts w:hint="eastAsia"/>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包装车间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0.6pt;margin-top:74.1pt;height:37.9pt;width:73.5pt;z-index:252021760;v-text-anchor:middle;mso-width-relative:page;mso-height-relative:page;" fillcolor="#FFFFFF [3212]" filled="t" stroked="f" coordsize="21600,21600" o:gfxdata="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AnXfT2QAA&#10;AAsBAAAPAAAAAAAAAAEAIAAAACIAAABkcnMvZG93bnJldi54bWxQSwECFAAUAAAACACHTuJA7R6M&#10;8VYCAACLBAAADgAAAAAAAAABACAAAAAoAQAAZHJzL2Uyb0RvYy54bWxQSwUGAAAAAAYABgBZAQAA&#10;8AUAAAAA&#10;">
                <v:fill on="t" focussize="0,0"/>
                <v:stroke on="f" weight="1pt" miterlimit="8" joinstyle="miter"/>
                <v:imagedata o:title=""/>
                <o:lock v:ext="edit" aspectratio="f"/>
                <v:textbox>
                  <w:txbxContent>
                    <w:p>
                      <w:pPr>
                        <w:ind w:firstLine="0" w:firstLineChars="0"/>
                        <w:rPr>
                          <w:rFonts w:hint="eastAsia"/>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包装车间</w:t>
                      </w:r>
                    </w:p>
                  </w:txbxContent>
                </v:textbox>
              </v:rect>
            </w:pict>
          </mc:Fallback>
        </mc:AlternateContent>
      </w:r>
      <w:r>
        <w:t xml:space="preserve"> </w:t>
      </w:r>
      <w:r>
        <w:drawing>
          <wp:inline distT="0" distB="0" distL="0" distR="0">
            <wp:extent cx="6724650" cy="5099050"/>
            <wp:effectExtent l="0" t="0" r="0" b="635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47"/>
                    <a:stretch>
                      <a:fillRect/>
                    </a:stretch>
                  </pic:blipFill>
                  <pic:spPr>
                    <a:xfrm>
                      <a:off x="0" y="0"/>
                      <a:ext cx="6727563" cy="5101070"/>
                    </a:xfrm>
                    <a:prstGeom prst="rect">
                      <a:avLst/>
                    </a:prstGeom>
                  </pic:spPr>
                </pic:pic>
              </a:graphicData>
            </a:graphic>
          </wp:inline>
        </w:drawing>
      </w:r>
    </w:p>
    <w:p>
      <w:pPr>
        <w:pStyle w:val="18"/>
      </w:pPr>
      <w:bookmarkStart w:id="163" w:name="_Ref525738941"/>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4</w:t>
      </w:r>
      <w:r>
        <w:fldChar w:fldCharType="end"/>
      </w:r>
      <w:bookmarkEnd w:id="163"/>
      <w:r>
        <w:t xml:space="preserve"> </w:t>
      </w:r>
      <w:r>
        <w:rPr>
          <w:rFonts w:hint="eastAsia"/>
        </w:rPr>
        <w:t>厂区现状总平面布置图</w:t>
      </w:r>
    </w:p>
    <w:p>
      <w:pPr>
        <w:pStyle w:val="107"/>
        <w:keepNext/>
      </w:pPr>
      <w:r>
        <w:drawing>
          <wp:inline distT="0" distB="0" distL="0" distR="0">
            <wp:extent cx="6905625" cy="4940300"/>
            <wp:effectExtent l="0" t="0" r="9525"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48"/>
                    <a:stretch>
                      <a:fillRect/>
                    </a:stretch>
                  </pic:blipFill>
                  <pic:spPr>
                    <a:xfrm>
                      <a:off x="0" y="0"/>
                      <a:ext cx="6905625" cy="4940300"/>
                    </a:xfrm>
                    <a:prstGeom prst="rect">
                      <a:avLst/>
                    </a:prstGeom>
                  </pic:spPr>
                </pic:pic>
              </a:graphicData>
            </a:graphic>
          </wp:inline>
        </w:drawing>
      </w:r>
      <w:r>
        <w:t xml:space="preserve"> </w:t>
      </w:r>
      <w:r>
        <w:drawing>
          <wp:anchor distT="0" distB="0" distL="114300" distR="114300" simplePos="0" relativeHeight="252020736" behindDoc="0" locked="0" layoutInCell="1" allowOverlap="1">
            <wp:simplePos x="0" y="0"/>
            <wp:positionH relativeFrom="column">
              <wp:posOffset>6344920</wp:posOffset>
            </wp:positionH>
            <wp:positionV relativeFrom="paragraph">
              <wp:posOffset>5011420</wp:posOffset>
            </wp:positionV>
            <wp:extent cx="2317750" cy="436880"/>
            <wp:effectExtent l="0" t="0" r="6350" b="1905"/>
            <wp:wrapNone/>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17750" cy="436807"/>
                    </a:xfrm>
                    <a:prstGeom prst="rect">
                      <a:avLst/>
                    </a:prstGeom>
                  </pic:spPr>
                </pic:pic>
              </a:graphicData>
            </a:graphic>
          </wp:anchor>
        </w:drawing>
      </w:r>
    </w:p>
    <w:p>
      <w:pPr>
        <w:pStyle w:val="18"/>
      </w:pPr>
      <w:bookmarkStart w:id="164" w:name="_Ref525738958"/>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5</w:t>
      </w:r>
      <w:r>
        <w:fldChar w:fldCharType="end"/>
      </w:r>
      <w:bookmarkEnd w:id="164"/>
      <w:r>
        <w:t xml:space="preserve"> </w:t>
      </w:r>
      <w:r>
        <w:rPr>
          <w:rFonts w:hint="eastAsia"/>
        </w:rPr>
        <w:t>混炼车间、硫化车间现状平面布置图</w:t>
      </w:r>
    </w:p>
    <w:p>
      <w:pPr>
        <w:pStyle w:val="107"/>
        <w:sectPr>
          <w:pgSz w:w="16838" w:h="11906" w:orient="landscape"/>
          <w:pgMar w:top="1418" w:right="1418" w:bottom="1418" w:left="1418" w:header="851" w:footer="992" w:gutter="0"/>
          <w:cols w:space="0" w:num="1"/>
          <w:docGrid w:type="lines" w:linePitch="335" w:charSpace="0"/>
        </w:sectPr>
      </w:pPr>
    </w:p>
    <w:bookmarkEnd w:id="157"/>
    <w:p>
      <w:pPr>
        <w:pStyle w:val="4"/>
      </w:pPr>
      <w:bookmarkStart w:id="165" w:name="_Toc3538779"/>
      <w:r>
        <w:rPr>
          <w:rFonts w:hint="eastAsia"/>
        </w:rPr>
        <w:t>主体工程</w:t>
      </w:r>
      <w:bookmarkEnd w:id="165"/>
    </w:p>
    <w:p>
      <w:pPr>
        <w:pStyle w:val="5"/>
      </w:pPr>
      <w:bookmarkStart w:id="166" w:name="_Ref528764784"/>
      <w:bookmarkStart w:id="167" w:name="_Hlk536786589"/>
      <w:r>
        <w:rPr>
          <w:rFonts w:hint="eastAsia"/>
        </w:rPr>
        <w:t>主要</w:t>
      </w:r>
      <w:r>
        <w:t>原辅料</w:t>
      </w:r>
      <w:r>
        <w:rPr>
          <w:rFonts w:hint="eastAsia"/>
        </w:rPr>
        <w:t>消耗及理化性质</w:t>
      </w:r>
      <w:bookmarkEnd w:id="166"/>
    </w:p>
    <w:bookmarkEnd w:id="167"/>
    <w:p>
      <w:pPr>
        <w:pStyle w:val="99"/>
        <w:numPr>
          <w:ilvl w:val="0"/>
          <w:numId w:val="7"/>
        </w:numPr>
        <w:ind w:left="0" w:firstLine="0" w:firstLineChars="0"/>
        <w:rPr>
          <w:rFonts w:eastAsiaTheme="minorEastAsia"/>
          <w:b/>
        </w:rPr>
      </w:pPr>
      <w:r>
        <w:rPr>
          <w:rFonts w:hint="eastAsia" w:eastAsiaTheme="minorEastAsia"/>
          <w:b/>
        </w:rPr>
        <w:t>主要</w:t>
      </w:r>
      <w:r>
        <w:rPr>
          <w:rFonts w:eastAsiaTheme="minorEastAsia"/>
          <w:b/>
        </w:rPr>
        <w:t>原辅料</w:t>
      </w:r>
      <w:r>
        <w:rPr>
          <w:rFonts w:hint="eastAsia" w:eastAsiaTheme="minorEastAsia"/>
          <w:b/>
        </w:rPr>
        <w:t>消耗情况</w:t>
      </w:r>
    </w:p>
    <w:p>
      <w:pPr>
        <w:ind w:firstLine="480"/>
        <w:rPr>
          <w:rFonts w:eastAsiaTheme="minorEastAsia"/>
          <w:snapToGrid w:val="0"/>
        </w:rPr>
      </w:pPr>
      <w:r>
        <w:rPr>
          <w:rFonts w:eastAsiaTheme="minorEastAsia"/>
        </w:rPr>
        <w:t>根据建设单位提供的资料，本项目的</w:t>
      </w:r>
      <w:r>
        <w:rPr>
          <w:rFonts w:eastAsiaTheme="minorEastAsia"/>
          <w:snapToGrid w:val="0"/>
        </w:rPr>
        <w:t>主要原辅料</w:t>
      </w:r>
      <w:r>
        <w:rPr>
          <w:rFonts w:hint="eastAsia" w:eastAsiaTheme="minorEastAsia"/>
          <w:snapToGrid w:val="0"/>
        </w:rPr>
        <w:t>储存及</w:t>
      </w:r>
      <w:r>
        <w:rPr>
          <w:rFonts w:eastAsiaTheme="minorEastAsia"/>
          <w:snapToGrid w:val="0"/>
        </w:rPr>
        <w:t>消耗情况见</w:t>
      </w:r>
      <w:r>
        <w:rPr>
          <w:rFonts w:eastAsiaTheme="minorEastAsia"/>
          <w:snapToGrid w:val="0"/>
        </w:rPr>
        <w:fldChar w:fldCharType="begin"/>
      </w:r>
      <w:r>
        <w:rPr>
          <w:rFonts w:eastAsiaTheme="minorEastAsia"/>
          <w:snapToGrid w:val="0"/>
        </w:rPr>
        <w:instrText xml:space="preserve"> REF _Ref523656069 \h  \* MERGEFORMAT </w:instrText>
      </w:r>
      <w:r>
        <w:rPr>
          <w:rFonts w:eastAsiaTheme="minorEastAsia"/>
          <w:snapToGrid w:val="0"/>
        </w:rPr>
        <w:fldChar w:fldCharType="separate"/>
      </w:r>
      <w:r>
        <w:rPr>
          <w:rFonts w:hint="eastAsia" w:eastAsiaTheme="minorEastAsia"/>
        </w:rPr>
        <w:t xml:space="preserve">表 </w:t>
      </w:r>
      <w:r>
        <w:rPr>
          <w:rFonts w:eastAsiaTheme="minorEastAsia"/>
        </w:rPr>
        <w:t>2.2</w:t>
      </w:r>
      <w:r>
        <w:rPr>
          <w:rFonts w:eastAsiaTheme="minorEastAsia"/>
        </w:rPr>
        <w:noBreakHyphen/>
      </w:r>
      <w:r>
        <w:rPr>
          <w:rFonts w:eastAsiaTheme="minorEastAsia"/>
        </w:rPr>
        <w:t>1</w:t>
      </w:r>
      <w:r>
        <w:rPr>
          <w:rFonts w:eastAsiaTheme="minorEastAsia"/>
          <w:snapToGrid w:val="0"/>
        </w:rPr>
        <w:fldChar w:fldCharType="end"/>
      </w:r>
      <w:r>
        <w:rPr>
          <w:rFonts w:eastAsiaTheme="minorEastAsia"/>
          <w:snapToGrid w:val="0"/>
        </w:rPr>
        <w:t>。</w:t>
      </w:r>
    </w:p>
    <w:p>
      <w:pPr>
        <w:pStyle w:val="18"/>
      </w:pPr>
      <w:bookmarkStart w:id="168" w:name="_Ref523656069"/>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bookmarkEnd w:id="168"/>
      <w:r>
        <w:rPr>
          <w:rFonts w:hint="eastAsia"/>
        </w:rPr>
        <w:t>项目主要原辅材料储存情况一览表</w:t>
      </w:r>
    </w:p>
    <w:tbl>
      <w:tblPr>
        <w:tblStyle w:val="56"/>
        <w:tblW w:w="864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7"/>
        <w:gridCol w:w="670"/>
        <w:gridCol w:w="1042"/>
        <w:gridCol w:w="1231"/>
        <w:gridCol w:w="771"/>
        <w:gridCol w:w="929"/>
        <w:gridCol w:w="951"/>
        <w:gridCol w:w="992"/>
        <w:gridCol w:w="877"/>
        <w:gridCol w:w="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jc w:val="center"/>
        </w:trPr>
        <w:tc>
          <w:tcPr>
            <w:tcW w:w="507" w:type="dxa"/>
            <w:vMerge w:val="restart"/>
            <w:shd w:val="clear" w:color="auto" w:fill="D8D8D8" w:themeFill="background1" w:themeFillShade="D9"/>
            <w:vAlign w:val="center"/>
          </w:tcPr>
          <w:p>
            <w:pPr>
              <w:pStyle w:val="107"/>
              <w:rPr>
                <w:b/>
              </w:rPr>
            </w:pPr>
            <w:r>
              <w:rPr>
                <w:rFonts w:hint="eastAsia"/>
                <w:b/>
              </w:rPr>
              <w:t>序号</w:t>
            </w:r>
          </w:p>
        </w:tc>
        <w:tc>
          <w:tcPr>
            <w:tcW w:w="670" w:type="dxa"/>
            <w:vMerge w:val="restart"/>
            <w:shd w:val="clear" w:color="auto" w:fill="D8D8D8" w:themeFill="background1" w:themeFillShade="D9"/>
            <w:vAlign w:val="center"/>
          </w:tcPr>
          <w:p>
            <w:pPr>
              <w:pStyle w:val="107"/>
              <w:rPr>
                <w:b/>
              </w:rPr>
            </w:pPr>
            <w:r>
              <w:rPr>
                <w:rFonts w:hint="eastAsia"/>
                <w:b/>
              </w:rPr>
              <w:t>使用工序</w:t>
            </w:r>
          </w:p>
        </w:tc>
        <w:tc>
          <w:tcPr>
            <w:tcW w:w="1042" w:type="dxa"/>
            <w:vMerge w:val="restart"/>
            <w:shd w:val="clear" w:color="auto" w:fill="D8D8D8" w:themeFill="background1" w:themeFillShade="D9"/>
            <w:vAlign w:val="center"/>
          </w:tcPr>
          <w:p>
            <w:pPr>
              <w:pStyle w:val="107"/>
              <w:rPr>
                <w:b/>
              </w:rPr>
            </w:pPr>
            <w:r>
              <w:rPr>
                <w:rFonts w:hint="eastAsia"/>
                <w:b/>
              </w:rPr>
              <w:t>原料名称</w:t>
            </w:r>
          </w:p>
        </w:tc>
        <w:tc>
          <w:tcPr>
            <w:tcW w:w="1231" w:type="dxa"/>
            <w:vMerge w:val="restart"/>
            <w:shd w:val="clear" w:color="auto" w:fill="D8D8D8" w:themeFill="background1" w:themeFillShade="D9"/>
            <w:vAlign w:val="center"/>
          </w:tcPr>
          <w:p>
            <w:pPr>
              <w:pStyle w:val="107"/>
              <w:rPr>
                <w:b/>
              </w:rPr>
            </w:pPr>
            <w:r>
              <w:rPr>
                <w:rFonts w:hint="eastAsia"/>
                <w:b/>
              </w:rPr>
              <w:t>年用量（t）</w:t>
            </w:r>
          </w:p>
        </w:tc>
        <w:tc>
          <w:tcPr>
            <w:tcW w:w="5190" w:type="dxa"/>
            <w:gridSpan w:val="6"/>
            <w:shd w:val="clear" w:color="auto" w:fill="D8D8D8" w:themeFill="background1" w:themeFillShade="D9"/>
            <w:vAlign w:val="center"/>
          </w:tcPr>
          <w:p>
            <w:pPr>
              <w:pStyle w:val="107"/>
              <w:rPr>
                <w:b/>
              </w:rPr>
            </w:pPr>
            <w:r>
              <w:rPr>
                <w:rFonts w:hint="eastAsia"/>
                <w:b/>
              </w:rPr>
              <w:t>储运情况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507" w:type="dxa"/>
            <w:vMerge w:val="continue"/>
            <w:shd w:val="clear" w:color="auto" w:fill="D8D8D8" w:themeFill="background1" w:themeFillShade="D9"/>
            <w:vAlign w:val="center"/>
          </w:tcPr>
          <w:p>
            <w:pPr>
              <w:pStyle w:val="107"/>
              <w:rPr>
                <w:b/>
              </w:rPr>
            </w:pPr>
          </w:p>
        </w:tc>
        <w:tc>
          <w:tcPr>
            <w:tcW w:w="670" w:type="dxa"/>
            <w:vMerge w:val="continue"/>
            <w:shd w:val="clear" w:color="auto" w:fill="D8D8D8" w:themeFill="background1" w:themeFillShade="D9"/>
            <w:vAlign w:val="center"/>
          </w:tcPr>
          <w:p>
            <w:pPr>
              <w:pStyle w:val="107"/>
              <w:rPr>
                <w:b/>
              </w:rPr>
            </w:pPr>
          </w:p>
        </w:tc>
        <w:tc>
          <w:tcPr>
            <w:tcW w:w="1042" w:type="dxa"/>
            <w:vMerge w:val="continue"/>
            <w:shd w:val="clear" w:color="auto" w:fill="D8D8D8" w:themeFill="background1" w:themeFillShade="D9"/>
            <w:vAlign w:val="center"/>
          </w:tcPr>
          <w:p>
            <w:pPr>
              <w:pStyle w:val="107"/>
              <w:rPr>
                <w:b/>
              </w:rPr>
            </w:pPr>
          </w:p>
        </w:tc>
        <w:tc>
          <w:tcPr>
            <w:tcW w:w="1231" w:type="dxa"/>
            <w:vMerge w:val="continue"/>
            <w:shd w:val="clear" w:color="auto" w:fill="D8D8D8" w:themeFill="background1" w:themeFillShade="D9"/>
            <w:vAlign w:val="center"/>
          </w:tcPr>
          <w:p>
            <w:pPr>
              <w:pStyle w:val="107"/>
              <w:rPr>
                <w:b/>
              </w:rPr>
            </w:pPr>
          </w:p>
        </w:tc>
        <w:tc>
          <w:tcPr>
            <w:tcW w:w="771" w:type="dxa"/>
            <w:shd w:val="clear" w:color="auto" w:fill="D8D8D8" w:themeFill="background1" w:themeFillShade="D9"/>
            <w:vAlign w:val="center"/>
          </w:tcPr>
          <w:p>
            <w:pPr>
              <w:pStyle w:val="107"/>
              <w:rPr>
                <w:b/>
              </w:rPr>
            </w:pPr>
            <w:r>
              <w:rPr>
                <w:rFonts w:hint="eastAsia"/>
                <w:b/>
              </w:rPr>
              <w:t>常温形态</w:t>
            </w:r>
          </w:p>
        </w:tc>
        <w:tc>
          <w:tcPr>
            <w:tcW w:w="929" w:type="dxa"/>
            <w:shd w:val="clear" w:color="auto" w:fill="D8D8D8" w:themeFill="background1" w:themeFillShade="D9"/>
            <w:vAlign w:val="center"/>
          </w:tcPr>
          <w:p>
            <w:pPr>
              <w:pStyle w:val="107"/>
              <w:rPr>
                <w:b/>
              </w:rPr>
            </w:pPr>
            <w:r>
              <w:rPr>
                <w:rFonts w:hint="eastAsia"/>
                <w:b/>
              </w:rPr>
              <w:t>包装规格</w:t>
            </w:r>
          </w:p>
        </w:tc>
        <w:tc>
          <w:tcPr>
            <w:tcW w:w="951" w:type="dxa"/>
            <w:shd w:val="clear" w:color="auto" w:fill="D8D8D8" w:themeFill="background1" w:themeFillShade="D9"/>
            <w:vAlign w:val="center"/>
          </w:tcPr>
          <w:p>
            <w:pPr>
              <w:pStyle w:val="107"/>
              <w:rPr>
                <w:b/>
              </w:rPr>
            </w:pPr>
            <w:r>
              <w:rPr>
                <w:rFonts w:hint="eastAsia"/>
                <w:b/>
              </w:rPr>
              <w:t>最大贮存量（t）</w:t>
            </w:r>
          </w:p>
        </w:tc>
        <w:tc>
          <w:tcPr>
            <w:tcW w:w="992" w:type="dxa"/>
            <w:shd w:val="clear" w:color="auto" w:fill="D8D8D8" w:themeFill="background1" w:themeFillShade="D9"/>
            <w:vAlign w:val="center"/>
          </w:tcPr>
          <w:p>
            <w:pPr>
              <w:pStyle w:val="107"/>
              <w:rPr>
                <w:b/>
              </w:rPr>
            </w:pPr>
            <w:r>
              <w:rPr>
                <w:rFonts w:hint="eastAsia"/>
                <w:b/>
              </w:rPr>
              <w:t>贮存位置</w:t>
            </w:r>
          </w:p>
        </w:tc>
        <w:tc>
          <w:tcPr>
            <w:tcW w:w="877" w:type="dxa"/>
            <w:shd w:val="clear" w:color="auto" w:fill="D8D8D8" w:themeFill="background1" w:themeFillShade="D9"/>
            <w:vAlign w:val="center"/>
          </w:tcPr>
          <w:p>
            <w:pPr>
              <w:pStyle w:val="107"/>
              <w:rPr>
                <w:b/>
              </w:rPr>
            </w:pPr>
            <w:r>
              <w:rPr>
                <w:rFonts w:hint="eastAsia"/>
                <w:b/>
              </w:rPr>
              <w:t>备注</w:t>
            </w:r>
          </w:p>
        </w:tc>
        <w:tc>
          <w:tcPr>
            <w:tcW w:w="670" w:type="dxa"/>
            <w:shd w:val="clear" w:color="auto" w:fill="D8D8D8" w:themeFill="background1" w:themeFillShade="D9"/>
            <w:vAlign w:val="center"/>
          </w:tcPr>
          <w:p>
            <w:pPr>
              <w:pStyle w:val="107"/>
              <w:rPr>
                <w:b/>
              </w:rPr>
            </w:pPr>
            <w:r>
              <w:rPr>
                <w:rFonts w:hint="eastAsia"/>
                <w:b/>
              </w:rPr>
              <w:t>运输方式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507" w:type="dxa"/>
            <w:shd w:val="clear" w:color="auto" w:fill="auto"/>
            <w:vAlign w:val="center"/>
          </w:tcPr>
          <w:p>
            <w:pPr>
              <w:pStyle w:val="107"/>
              <w:numPr>
                <w:ilvl w:val="0"/>
                <w:numId w:val="15"/>
              </w:numPr>
            </w:pPr>
            <w:r>
              <w:t>1</w:t>
            </w:r>
          </w:p>
        </w:tc>
        <w:tc>
          <w:tcPr>
            <w:tcW w:w="670" w:type="dxa"/>
            <w:vMerge w:val="restart"/>
            <w:shd w:val="clear" w:color="auto" w:fill="auto"/>
            <w:vAlign w:val="center"/>
          </w:tcPr>
          <w:p>
            <w:pPr>
              <w:pStyle w:val="107"/>
            </w:pPr>
            <w:r>
              <w:rPr>
                <w:rFonts w:hint="eastAsia"/>
              </w:rPr>
              <w:t>炼胶</w:t>
            </w:r>
          </w:p>
        </w:tc>
        <w:tc>
          <w:tcPr>
            <w:tcW w:w="1042" w:type="dxa"/>
            <w:shd w:val="clear" w:color="auto" w:fill="auto"/>
            <w:vAlign w:val="center"/>
          </w:tcPr>
          <w:p>
            <w:pPr>
              <w:pStyle w:val="107"/>
            </w:pPr>
            <w:r>
              <w:rPr>
                <w:rFonts w:hint="eastAsia"/>
              </w:rPr>
              <w:t>天然胶</w:t>
            </w:r>
          </w:p>
        </w:tc>
        <w:tc>
          <w:tcPr>
            <w:tcW w:w="1231" w:type="dxa"/>
            <w:shd w:val="clear" w:color="auto" w:fill="auto"/>
            <w:vAlign w:val="center"/>
          </w:tcPr>
          <w:p>
            <w:pPr>
              <w:pStyle w:val="107"/>
            </w:pPr>
            <w:r>
              <w:rPr>
                <w:rFonts w:eastAsia="等线" w:cs="Times New Roman"/>
                <w:color w:val="000000"/>
              </w:rPr>
              <w:t>200</w:t>
            </w:r>
          </w:p>
        </w:tc>
        <w:tc>
          <w:tcPr>
            <w:tcW w:w="771" w:type="dxa"/>
            <w:shd w:val="clear" w:color="auto" w:fill="auto"/>
            <w:vAlign w:val="center"/>
          </w:tcPr>
          <w:p>
            <w:pPr>
              <w:pStyle w:val="107"/>
            </w:pPr>
            <w:r>
              <w:rPr>
                <w:rFonts w:hint="eastAsia"/>
              </w:rPr>
              <w:t>片状固体</w:t>
            </w:r>
          </w:p>
        </w:tc>
        <w:tc>
          <w:tcPr>
            <w:tcW w:w="929" w:type="dxa"/>
            <w:shd w:val="clear" w:color="auto" w:fill="auto"/>
            <w:vAlign w:val="center"/>
          </w:tcPr>
          <w:p>
            <w:pPr>
              <w:pStyle w:val="107"/>
            </w:pPr>
            <w:r>
              <w:t>20kg/</w:t>
            </w:r>
            <w:r>
              <w:rPr>
                <w:rFonts w:hint="eastAsia"/>
              </w:rPr>
              <w:t>袋</w:t>
            </w:r>
          </w:p>
        </w:tc>
        <w:tc>
          <w:tcPr>
            <w:tcW w:w="951" w:type="dxa"/>
            <w:vAlign w:val="center"/>
          </w:tcPr>
          <w:p>
            <w:pPr>
              <w:pStyle w:val="107"/>
            </w:pPr>
            <w:r>
              <w:rPr>
                <w:rFonts w:hint="eastAsia"/>
              </w:rPr>
              <w:t>2</w:t>
            </w:r>
            <w:r>
              <w:t>0</w:t>
            </w:r>
          </w:p>
        </w:tc>
        <w:tc>
          <w:tcPr>
            <w:tcW w:w="992" w:type="dxa"/>
            <w:shd w:val="clear" w:color="auto" w:fill="auto"/>
            <w:vAlign w:val="center"/>
          </w:tcPr>
          <w:p>
            <w:pPr>
              <w:pStyle w:val="107"/>
            </w:pPr>
            <w:r>
              <w:rPr>
                <w:rFonts w:hint="eastAsia"/>
              </w:rPr>
              <w:t>原料仓库</w:t>
            </w:r>
          </w:p>
        </w:tc>
        <w:tc>
          <w:tcPr>
            <w:tcW w:w="877" w:type="dxa"/>
            <w:shd w:val="clear" w:color="auto" w:fill="auto"/>
            <w:vAlign w:val="center"/>
          </w:tcPr>
          <w:p>
            <w:pPr>
              <w:pStyle w:val="107"/>
            </w:pPr>
            <w:r>
              <w:rPr>
                <w:rFonts w:hint="eastAsia"/>
              </w:rPr>
              <w:t>主胶料</w:t>
            </w:r>
          </w:p>
        </w:tc>
        <w:tc>
          <w:tcPr>
            <w:tcW w:w="670" w:type="dxa"/>
            <w:vMerge w:val="restart"/>
            <w:shd w:val="clear" w:color="auto" w:fill="auto"/>
            <w:vAlign w:val="center"/>
          </w:tcPr>
          <w:p>
            <w:pPr>
              <w:pStyle w:val="107"/>
            </w:pPr>
            <w:r>
              <w:rPr>
                <w:rFonts w:hint="eastAsia"/>
              </w:rPr>
              <w:t>汽运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7" w:hRule="atLeast"/>
          <w:jc w:val="center"/>
        </w:trPr>
        <w:tc>
          <w:tcPr>
            <w:tcW w:w="507" w:type="dxa"/>
            <w:shd w:val="clear" w:color="auto" w:fill="auto"/>
            <w:vAlign w:val="center"/>
          </w:tcPr>
          <w:p>
            <w:pPr>
              <w:pStyle w:val="107"/>
              <w:numPr>
                <w:ilvl w:val="0"/>
                <w:numId w:val="15"/>
              </w:numPr>
            </w:pPr>
          </w:p>
        </w:tc>
        <w:tc>
          <w:tcPr>
            <w:tcW w:w="670" w:type="dxa"/>
            <w:vMerge w:val="continue"/>
            <w:shd w:val="clear" w:color="auto" w:fill="auto"/>
            <w:vAlign w:val="center"/>
          </w:tcPr>
          <w:p>
            <w:pPr>
              <w:pStyle w:val="107"/>
            </w:pPr>
          </w:p>
        </w:tc>
        <w:tc>
          <w:tcPr>
            <w:tcW w:w="1042" w:type="dxa"/>
            <w:shd w:val="clear" w:color="auto" w:fill="auto"/>
            <w:vAlign w:val="center"/>
          </w:tcPr>
          <w:p>
            <w:pPr>
              <w:pStyle w:val="107"/>
            </w:pPr>
            <w:r>
              <w:rPr>
                <w:rFonts w:hint="eastAsia"/>
              </w:rPr>
              <w:t>合成胶</w:t>
            </w:r>
          </w:p>
        </w:tc>
        <w:tc>
          <w:tcPr>
            <w:tcW w:w="1231" w:type="dxa"/>
            <w:shd w:val="clear" w:color="auto" w:fill="auto"/>
            <w:vAlign w:val="center"/>
          </w:tcPr>
          <w:p>
            <w:pPr>
              <w:pStyle w:val="107"/>
              <w:rPr>
                <w:rFonts w:eastAsia="等线" w:cs="Times New Roman"/>
                <w:color w:val="000000"/>
              </w:rPr>
            </w:pPr>
            <w:r>
              <w:rPr>
                <w:rFonts w:hint="eastAsia" w:eastAsia="等线" w:cs="Times New Roman"/>
                <w:color w:val="000000"/>
              </w:rPr>
              <w:t>2</w:t>
            </w:r>
            <w:r>
              <w:rPr>
                <w:rFonts w:eastAsia="等线" w:cs="Times New Roman"/>
                <w:color w:val="000000"/>
              </w:rPr>
              <w:t>00</w:t>
            </w:r>
          </w:p>
        </w:tc>
        <w:tc>
          <w:tcPr>
            <w:tcW w:w="771" w:type="dxa"/>
            <w:shd w:val="clear" w:color="auto" w:fill="auto"/>
            <w:vAlign w:val="center"/>
          </w:tcPr>
          <w:p>
            <w:pPr>
              <w:pStyle w:val="107"/>
            </w:pPr>
            <w:r>
              <w:rPr>
                <w:rFonts w:hint="eastAsia"/>
              </w:rPr>
              <w:t>片状固体</w:t>
            </w:r>
          </w:p>
        </w:tc>
        <w:tc>
          <w:tcPr>
            <w:tcW w:w="929" w:type="dxa"/>
            <w:shd w:val="clear" w:color="auto" w:fill="auto"/>
            <w:vAlign w:val="center"/>
          </w:tcPr>
          <w:p>
            <w:pPr>
              <w:pStyle w:val="107"/>
            </w:pPr>
            <w:r>
              <w:t>20kg/</w:t>
            </w:r>
            <w:r>
              <w:rPr>
                <w:rFonts w:hint="eastAsia"/>
              </w:rPr>
              <w:t>袋</w:t>
            </w:r>
          </w:p>
        </w:tc>
        <w:tc>
          <w:tcPr>
            <w:tcW w:w="951" w:type="dxa"/>
            <w:vAlign w:val="center"/>
          </w:tcPr>
          <w:p>
            <w:pPr>
              <w:pStyle w:val="107"/>
            </w:pPr>
            <w:r>
              <w:rPr>
                <w:rFonts w:hint="eastAsia"/>
              </w:rPr>
              <w:t>2</w:t>
            </w:r>
            <w:r>
              <w:t>0</w:t>
            </w:r>
          </w:p>
        </w:tc>
        <w:tc>
          <w:tcPr>
            <w:tcW w:w="992" w:type="dxa"/>
            <w:shd w:val="clear" w:color="auto" w:fill="auto"/>
            <w:vAlign w:val="center"/>
          </w:tcPr>
          <w:p>
            <w:pPr>
              <w:pStyle w:val="107"/>
            </w:pPr>
            <w:r>
              <w:rPr>
                <w:rFonts w:hint="eastAsia"/>
              </w:rPr>
              <w:t>原料仓库</w:t>
            </w:r>
          </w:p>
        </w:tc>
        <w:tc>
          <w:tcPr>
            <w:tcW w:w="877" w:type="dxa"/>
            <w:shd w:val="clear" w:color="auto" w:fill="auto"/>
            <w:vAlign w:val="center"/>
          </w:tcPr>
          <w:p>
            <w:pPr>
              <w:pStyle w:val="107"/>
            </w:pPr>
            <w:r>
              <w:rPr>
                <w:rFonts w:hint="eastAsia"/>
              </w:rPr>
              <w:t>主胶料</w:t>
            </w:r>
          </w:p>
        </w:tc>
        <w:tc>
          <w:tcPr>
            <w:tcW w:w="670" w:type="dxa"/>
            <w:vMerge w:val="continue"/>
            <w:shd w:val="clear" w:color="auto" w:fill="auto"/>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507" w:type="dxa"/>
            <w:shd w:val="clear" w:color="auto" w:fill="auto"/>
            <w:vAlign w:val="center"/>
          </w:tcPr>
          <w:p>
            <w:pPr>
              <w:pStyle w:val="107"/>
              <w:numPr>
                <w:ilvl w:val="0"/>
                <w:numId w:val="15"/>
              </w:numPr>
            </w:pPr>
            <w:r>
              <w:t>3</w:t>
            </w:r>
          </w:p>
        </w:tc>
        <w:tc>
          <w:tcPr>
            <w:tcW w:w="670" w:type="dxa"/>
            <w:vMerge w:val="continue"/>
            <w:shd w:val="clear" w:color="auto" w:fill="auto"/>
            <w:vAlign w:val="center"/>
          </w:tcPr>
          <w:p>
            <w:pPr>
              <w:pStyle w:val="107"/>
            </w:pPr>
          </w:p>
        </w:tc>
        <w:tc>
          <w:tcPr>
            <w:tcW w:w="1042" w:type="dxa"/>
            <w:shd w:val="clear" w:color="auto" w:fill="auto"/>
            <w:vAlign w:val="center"/>
          </w:tcPr>
          <w:p>
            <w:pPr>
              <w:pStyle w:val="107"/>
            </w:pPr>
            <w:r>
              <w:rPr>
                <w:rFonts w:hint="eastAsia"/>
              </w:rPr>
              <w:t>钙粉</w:t>
            </w:r>
          </w:p>
        </w:tc>
        <w:tc>
          <w:tcPr>
            <w:tcW w:w="1231" w:type="dxa"/>
            <w:shd w:val="clear" w:color="auto" w:fill="auto"/>
            <w:vAlign w:val="center"/>
          </w:tcPr>
          <w:p>
            <w:pPr>
              <w:pStyle w:val="107"/>
            </w:pPr>
            <w:r>
              <w:rPr>
                <w:rFonts w:eastAsia="等线" w:cs="Times New Roman"/>
                <w:color w:val="000000"/>
              </w:rPr>
              <w:t>400</w:t>
            </w:r>
          </w:p>
        </w:tc>
        <w:tc>
          <w:tcPr>
            <w:tcW w:w="771" w:type="dxa"/>
            <w:shd w:val="clear" w:color="auto" w:fill="auto"/>
            <w:vAlign w:val="center"/>
          </w:tcPr>
          <w:p>
            <w:pPr>
              <w:pStyle w:val="107"/>
            </w:pPr>
            <w:r>
              <w:rPr>
                <w:rFonts w:hint="eastAsia"/>
              </w:rPr>
              <w:t>粉状固体</w:t>
            </w:r>
          </w:p>
        </w:tc>
        <w:tc>
          <w:tcPr>
            <w:tcW w:w="929" w:type="dxa"/>
            <w:shd w:val="clear" w:color="auto" w:fill="auto"/>
            <w:vAlign w:val="center"/>
          </w:tcPr>
          <w:p>
            <w:pPr>
              <w:pStyle w:val="107"/>
            </w:pPr>
            <w:r>
              <w:t>30kg/</w:t>
            </w:r>
            <w:r>
              <w:rPr>
                <w:rFonts w:hint="eastAsia"/>
              </w:rPr>
              <w:t>袋</w:t>
            </w:r>
          </w:p>
        </w:tc>
        <w:tc>
          <w:tcPr>
            <w:tcW w:w="951" w:type="dxa"/>
            <w:vAlign w:val="center"/>
          </w:tcPr>
          <w:p>
            <w:pPr>
              <w:pStyle w:val="107"/>
            </w:pPr>
            <w:r>
              <w:t>15</w:t>
            </w:r>
          </w:p>
        </w:tc>
        <w:tc>
          <w:tcPr>
            <w:tcW w:w="992" w:type="dxa"/>
            <w:shd w:val="clear" w:color="auto" w:fill="auto"/>
            <w:vAlign w:val="center"/>
          </w:tcPr>
          <w:p>
            <w:pPr>
              <w:pStyle w:val="107"/>
            </w:pPr>
            <w:r>
              <w:rPr>
                <w:rFonts w:hint="eastAsia"/>
              </w:rPr>
              <w:t>原料仓库</w:t>
            </w:r>
          </w:p>
        </w:tc>
        <w:tc>
          <w:tcPr>
            <w:tcW w:w="877" w:type="dxa"/>
            <w:shd w:val="clear" w:color="auto" w:fill="auto"/>
            <w:vAlign w:val="center"/>
          </w:tcPr>
          <w:p>
            <w:pPr>
              <w:pStyle w:val="107"/>
            </w:pPr>
            <w:r>
              <w:rPr>
                <w:rFonts w:hint="eastAsia"/>
              </w:rPr>
              <w:t>填充剂</w:t>
            </w:r>
          </w:p>
        </w:tc>
        <w:tc>
          <w:tcPr>
            <w:tcW w:w="670"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jc w:val="center"/>
        </w:trPr>
        <w:tc>
          <w:tcPr>
            <w:tcW w:w="507" w:type="dxa"/>
            <w:shd w:val="clear" w:color="auto" w:fill="auto"/>
            <w:vAlign w:val="center"/>
          </w:tcPr>
          <w:p>
            <w:pPr>
              <w:pStyle w:val="107"/>
              <w:numPr>
                <w:ilvl w:val="0"/>
                <w:numId w:val="15"/>
              </w:numPr>
            </w:pPr>
            <w:r>
              <w:t>4</w:t>
            </w:r>
          </w:p>
        </w:tc>
        <w:tc>
          <w:tcPr>
            <w:tcW w:w="670" w:type="dxa"/>
            <w:vMerge w:val="continue"/>
            <w:vAlign w:val="center"/>
          </w:tcPr>
          <w:p>
            <w:pPr>
              <w:pStyle w:val="107"/>
            </w:pPr>
          </w:p>
        </w:tc>
        <w:tc>
          <w:tcPr>
            <w:tcW w:w="1042" w:type="dxa"/>
            <w:shd w:val="clear" w:color="auto" w:fill="auto"/>
            <w:vAlign w:val="center"/>
          </w:tcPr>
          <w:p>
            <w:pPr>
              <w:pStyle w:val="107"/>
            </w:pPr>
            <w:r>
              <w:rPr>
                <w:rFonts w:hint="eastAsia"/>
              </w:rPr>
              <w:t>硬脂酸</w:t>
            </w:r>
          </w:p>
        </w:tc>
        <w:tc>
          <w:tcPr>
            <w:tcW w:w="1231" w:type="dxa"/>
            <w:shd w:val="clear" w:color="auto" w:fill="auto"/>
            <w:vAlign w:val="center"/>
          </w:tcPr>
          <w:p>
            <w:pPr>
              <w:pStyle w:val="107"/>
            </w:pPr>
            <w:r>
              <w:rPr>
                <w:rFonts w:eastAsia="等线" w:cs="Times New Roman"/>
                <w:color w:val="000000"/>
              </w:rPr>
              <w:t>2</w:t>
            </w:r>
          </w:p>
        </w:tc>
        <w:tc>
          <w:tcPr>
            <w:tcW w:w="771" w:type="dxa"/>
            <w:shd w:val="clear" w:color="auto" w:fill="auto"/>
            <w:vAlign w:val="center"/>
          </w:tcPr>
          <w:p>
            <w:pPr>
              <w:pStyle w:val="107"/>
            </w:pPr>
            <w:r>
              <w:rPr>
                <w:rFonts w:hint="eastAsia"/>
              </w:rPr>
              <w:t>粒状固体</w:t>
            </w:r>
          </w:p>
        </w:tc>
        <w:tc>
          <w:tcPr>
            <w:tcW w:w="929" w:type="dxa"/>
            <w:shd w:val="clear" w:color="auto" w:fill="auto"/>
            <w:vAlign w:val="center"/>
          </w:tcPr>
          <w:p>
            <w:pPr>
              <w:pStyle w:val="107"/>
            </w:pPr>
            <w:r>
              <w:t>25kg/</w:t>
            </w:r>
            <w:r>
              <w:rPr>
                <w:rFonts w:hint="eastAsia"/>
              </w:rPr>
              <w:t>袋</w:t>
            </w:r>
          </w:p>
        </w:tc>
        <w:tc>
          <w:tcPr>
            <w:tcW w:w="951" w:type="dxa"/>
            <w:vAlign w:val="center"/>
          </w:tcPr>
          <w:p>
            <w:pPr>
              <w:pStyle w:val="107"/>
            </w:pPr>
            <w:r>
              <w:rPr>
                <w:rFonts w:hint="eastAsia"/>
              </w:rPr>
              <w:t>0</w:t>
            </w:r>
            <w:r>
              <w:t>1</w:t>
            </w:r>
          </w:p>
        </w:tc>
        <w:tc>
          <w:tcPr>
            <w:tcW w:w="992" w:type="dxa"/>
            <w:shd w:val="clear" w:color="auto" w:fill="auto"/>
            <w:vAlign w:val="center"/>
          </w:tcPr>
          <w:p>
            <w:pPr>
              <w:pStyle w:val="107"/>
            </w:pPr>
            <w:r>
              <w:rPr>
                <w:rFonts w:hint="eastAsia"/>
              </w:rPr>
              <w:t>原料仓库</w:t>
            </w:r>
          </w:p>
        </w:tc>
        <w:tc>
          <w:tcPr>
            <w:tcW w:w="877" w:type="dxa"/>
            <w:shd w:val="clear" w:color="auto" w:fill="auto"/>
            <w:vAlign w:val="center"/>
          </w:tcPr>
          <w:p>
            <w:pPr>
              <w:pStyle w:val="107"/>
            </w:pPr>
            <w:r>
              <w:rPr>
                <w:rFonts w:hint="eastAsia"/>
              </w:rPr>
              <w:t>分散、润滑</w:t>
            </w:r>
          </w:p>
        </w:tc>
        <w:tc>
          <w:tcPr>
            <w:tcW w:w="670"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507" w:type="dxa"/>
            <w:shd w:val="clear" w:color="auto" w:fill="auto"/>
            <w:vAlign w:val="center"/>
          </w:tcPr>
          <w:p>
            <w:pPr>
              <w:pStyle w:val="107"/>
              <w:numPr>
                <w:ilvl w:val="0"/>
                <w:numId w:val="15"/>
              </w:numPr>
            </w:pPr>
            <w:r>
              <w:t>5</w:t>
            </w:r>
          </w:p>
        </w:tc>
        <w:tc>
          <w:tcPr>
            <w:tcW w:w="670" w:type="dxa"/>
            <w:vMerge w:val="continue"/>
            <w:vAlign w:val="center"/>
          </w:tcPr>
          <w:p>
            <w:pPr>
              <w:pStyle w:val="107"/>
            </w:pPr>
          </w:p>
        </w:tc>
        <w:tc>
          <w:tcPr>
            <w:tcW w:w="1042" w:type="dxa"/>
            <w:shd w:val="clear" w:color="auto" w:fill="auto"/>
            <w:vAlign w:val="center"/>
          </w:tcPr>
          <w:p>
            <w:pPr>
              <w:pStyle w:val="107"/>
            </w:pPr>
            <w:r>
              <w:rPr>
                <w:rFonts w:hint="eastAsia"/>
              </w:rPr>
              <w:t>氧化锌</w:t>
            </w:r>
          </w:p>
        </w:tc>
        <w:tc>
          <w:tcPr>
            <w:tcW w:w="1231" w:type="dxa"/>
            <w:shd w:val="clear" w:color="auto" w:fill="auto"/>
            <w:vAlign w:val="center"/>
          </w:tcPr>
          <w:p>
            <w:pPr>
              <w:pStyle w:val="107"/>
            </w:pPr>
            <w:r>
              <w:rPr>
                <w:rFonts w:eastAsia="等线" w:cs="Times New Roman"/>
                <w:color w:val="000000"/>
              </w:rPr>
              <w:t>12</w:t>
            </w:r>
          </w:p>
        </w:tc>
        <w:tc>
          <w:tcPr>
            <w:tcW w:w="771" w:type="dxa"/>
            <w:shd w:val="clear" w:color="auto" w:fill="auto"/>
            <w:vAlign w:val="center"/>
          </w:tcPr>
          <w:p>
            <w:pPr>
              <w:pStyle w:val="107"/>
            </w:pPr>
            <w:r>
              <w:rPr>
                <w:rFonts w:hint="eastAsia"/>
              </w:rPr>
              <w:t>粉状固体</w:t>
            </w:r>
          </w:p>
        </w:tc>
        <w:tc>
          <w:tcPr>
            <w:tcW w:w="929" w:type="dxa"/>
            <w:shd w:val="clear" w:color="auto" w:fill="auto"/>
            <w:vAlign w:val="center"/>
          </w:tcPr>
          <w:p>
            <w:pPr>
              <w:pStyle w:val="107"/>
            </w:pPr>
            <w:r>
              <w:t>25kg/</w:t>
            </w:r>
            <w:r>
              <w:rPr>
                <w:rFonts w:hint="eastAsia"/>
              </w:rPr>
              <w:t>袋</w:t>
            </w:r>
          </w:p>
        </w:tc>
        <w:tc>
          <w:tcPr>
            <w:tcW w:w="951" w:type="dxa"/>
            <w:vAlign w:val="center"/>
          </w:tcPr>
          <w:p>
            <w:pPr>
              <w:pStyle w:val="107"/>
            </w:pPr>
            <w:r>
              <w:t>1</w:t>
            </w:r>
          </w:p>
        </w:tc>
        <w:tc>
          <w:tcPr>
            <w:tcW w:w="992" w:type="dxa"/>
            <w:shd w:val="clear" w:color="auto" w:fill="auto"/>
            <w:vAlign w:val="center"/>
          </w:tcPr>
          <w:p>
            <w:pPr>
              <w:pStyle w:val="107"/>
            </w:pPr>
            <w:r>
              <w:rPr>
                <w:rFonts w:hint="eastAsia"/>
              </w:rPr>
              <w:t>原料仓库</w:t>
            </w:r>
          </w:p>
        </w:tc>
        <w:tc>
          <w:tcPr>
            <w:tcW w:w="877" w:type="dxa"/>
            <w:shd w:val="clear" w:color="auto" w:fill="auto"/>
            <w:vAlign w:val="center"/>
          </w:tcPr>
          <w:p>
            <w:pPr>
              <w:pStyle w:val="107"/>
            </w:pPr>
            <w:r>
              <w:rPr>
                <w:rFonts w:hint="eastAsia"/>
              </w:rPr>
              <w:t>活性剂</w:t>
            </w:r>
          </w:p>
        </w:tc>
        <w:tc>
          <w:tcPr>
            <w:tcW w:w="670"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507" w:type="dxa"/>
            <w:shd w:val="clear" w:color="auto" w:fill="auto"/>
            <w:vAlign w:val="center"/>
          </w:tcPr>
          <w:p>
            <w:pPr>
              <w:pStyle w:val="107"/>
              <w:numPr>
                <w:ilvl w:val="0"/>
                <w:numId w:val="15"/>
              </w:numPr>
            </w:pPr>
          </w:p>
        </w:tc>
        <w:tc>
          <w:tcPr>
            <w:tcW w:w="670" w:type="dxa"/>
            <w:vMerge w:val="continue"/>
            <w:vAlign w:val="center"/>
          </w:tcPr>
          <w:p>
            <w:pPr>
              <w:pStyle w:val="107"/>
            </w:pPr>
          </w:p>
        </w:tc>
        <w:tc>
          <w:tcPr>
            <w:tcW w:w="1042" w:type="dxa"/>
            <w:shd w:val="clear" w:color="auto" w:fill="auto"/>
            <w:vAlign w:val="center"/>
          </w:tcPr>
          <w:p>
            <w:pPr>
              <w:pStyle w:val="107"/>
            </w:pPr>
            <w:r>
              <w:rPr>
                <w:rFonts w:hint="eastAsia"/>
              </w:rPr>
              <w:t>钛白粉</w:t>
            </w:r>
          </w:p>
        </w:tc>
        <w:tc>
          <w:tcPr>
            <w:tcW w:w="1231" w:type="dxa"/>
            <w:shd w:val="clear" w:color="auto" w:fill="auto"/>
            <w:vAlign w:val="center"/>
          </w:tcPr>
          <w:p>
            <w:pPr>
              <w:pStyle w:val="107"/>
              <w:rPr>
                <w:rFonts w:eastAsia="等线" w:cs="Times New Roman"/>
                <w:color w:val="000000"/>
              </w:rPr>
            </w:pPr>
            <w:r>
              <w:rPr>
                <w:rFonts w:eastAsia="等线" w:cs="Times New Roman"/>
                <w:color w:val="000000"/>
              </w:rPr>
              <w:t>5</w:t>
            </w:r>
          </w:p>
        </w:tc>
        <w:tc>
          <w:tcPr>
            <w:tcW w:w="771" w:type="dxa"/>
            <w:shd w:val="clear" w:color="auto" w:fill="auto"/>
            <w:vAlign w:val="center"/>
          </w:tcPr>
          <w:p>
            <w:pPr>
              <w:pStyle w:val="107"/>
            </w:pPr>
            <w:r>
              <w:rPr>
                <w:rFonts w:hint="eastAsia"/>
              </w:rPr>
              <w:t>粉状固体</w:t>
            </w:r>
          </w:p>
        </w:tc>
        <w:tc>
          <w:tcPr>
            <w:tcW w:w="929" w:type="dxa"/>
            <w:shd w:val="clear" w:color="auto" w:fill="auto"/>
            <w:vAlign w:val="center"/>
          </w:tcPr>
          <w:p>
            <w:pPr>
              <w:pStyle w:val="107"/>
            </w:pPr>
            <w:r>
              <w:t>25kg/</w:t>
            </w:r>
            <w:r>
              <w:rPr>
                <w:rFonts w:hint="eastAsia"/>
              </w:rPr>
              <w:t>袋</w:t>
            </w:r>
          </w:p>
        </w:tc>
        <w:tc>
          <w:tcPr>
            <w:tcW w:w="951" w:type="dxa"/>
            <w:vAlign w:val="center"/>
          </w:tcPr>
          <w:p>
            <w:pPr>
              <w:pStyle w:val="107"/>
            </w:pPr>
            <w:r>
              <w:rPr>
                <w:rFonts w:hint="eastAsia"/>
              </w:rPr>
              <w:t>1</w:t>
            </w:r>
          </w:p>
        </w:tc>
        <w:tc>
          <w:tcPr>
            <w:tcW w:w="992" w:type="dxa"/>
            <w:shd w:val="clear" w:color="auto" w:fill="auto"/>
            <w:vAlign w:val="center"/>
          </w:tcPr>
          <w:p>
            <w:pPr>
              <w:pStyle w:val="107"/>
            </w:pPr>
            <w:r>
              <w:rPr>
                <w:rFonts w:hint="eastAsia"/>
              </w:rPr>
              <w:t>原料仓库</w:t>
            </w:r>
          </w:p>
        </w:tc>
        <w:tc>
          <w:tcPr>
            <w:tcW w:w="877" w:type="dxa"/>
            <w:shd w:val="clear" w:color="auto" w:fill="auto"/>
            <w:vAlign w:val="center"/>
          </w:tcPr>
          <w:p>
            <w:pPr>
              <w:pStyle w:val="107"/>
            </w:pPr>
            <w:r>
              <w:rPr>
                <w:rFonts w:hint="eastAsia"/>
              </w:rPr>
              <w:t>催化剂</w:t>
            </w:r>
          </w:p>
        </w:tc>
        <w:tc>
          <w:tcPr>
            <w:tcW w:w="670"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507" w:type="dxa"/>
            <w:shd w:val="clear" w:color="auto" w:fill="auto"/>
            <w:vAlign w:val="center"/>
          </w:tcPr>
          <w:p>
            <w:pPr>
              <w:pStyle w:val="107"/>
              <w:numPr>
                <w:ilvl w:val="0"/>
                <w:numId w:val="15"/>
              </w:numPr>
            </w:pPr>
          </w:p>
        </w:tc>
        <w:tc>
          <w:tcPr>
            <w:tcW w:w="670" w:type="dxa"/>
            <w:vMerge w:val="continue"/>
            <w:vAlign w:val="center"/>
          </w:tcPr>
          <w:p>
            <w:pPr>
              <w:pStyle w:val="107"/>
            </w:pPr>
          </w:p>
        </w:tc>
        <w:tc>
          <w:tcPr>
            <w:tcW w:w="1042" w:type="dxa"/>
            <w:shd w:val="clear" w:color="auto" w:fill="auto"/>
            <w:vAlign w:val="center"/>
          </w:tcPr>
          <w:p>
            <w:pPr>
              <w:pStyle w:val="107"/>
            </w:pPr>
            <w:r>
              <w:rPr>
                <w:rFonts w:hint="eastAsia"/>
              </w:rPr>
              <w:t>白炭黑</w:t>
            </w:r>
          </w:p>
        </w:tc>
        <w:tc>
          <w:tcPr>
            <w:tcW w:w="1231" w:type="dxa"/>
            <w:shd w:val="clear" w:color="auto" w:fill="auto"/>
            <w:vAlign w:val="center"/>
          </w:tcPr>
          <w:p>
            <w:pPr>
              <w:pStyle w:val="107"/>
              <w:rPr>
                <w:rFonts w:eastAsia="等线" w:cs="Times New Roman"/>
                <w:color w:val="000000"/>
              </w:rPr>
            </w:pPr>
            <w:r>
              <w:rPr>
                <w:rFonts w:hint="eastAsia" w:eastAsia="等线" w:cs="Times New Roman"/>
                <w:color w:val="000000"/>
              </w:rPr>
              <w:t>5</w:t>
            </w:r>
            <w:r>
              <w:rPr>
                <w:rFonts w:eastAsia="等线" w:cs="Times New Roman"/>
                <w:color w:val="000000"/>
              </w:rPr>
              <w:t>0</w:t>
            </w:r>
          </w:p>
        </w:tc>
        <w:tc>
          <w:tcPr>
            <w:tcW w:w="771" w:type="dxa"/>
            <w:shd w:val="clear" w:color="auto" w:fill="auto"/>
            <w:vAlign w:val="center"/>
          </w:tcPr>
          <w:p>
            <w:pPr>
              <w:pStyle w:val="107"/>
            </w:pPr>
            <w:r>
              <w:rPr>
                <w:rFonts w:hint="eastAsia"/>
              </w:rPr>
              <w:t>粉状固体</w:t>
            </w:r>
          </w:p>
        </w:tc>
        <w:tc>
          <w:tcPr>
            <w:tcW w:w="929" w:type="dxa"/>
            <w:shd w:val="clear" w:color="auto" w:fill="auto"/>
            <w:vAlign w:val="center"/>
          </w:tcPr>
          <w:p>
            <w:pPr>
              <w:pStyle w:val="107"/>
            </w:pPr>
            <w:r>
              <w:t>30kg/</w:t>
            </w:r>
            <w:r>
              <w:rPr>
                <w:rFonts w:hint="eastAsia"/>
              </w:rPr>
              <w:t>袋</w:t>
            </w:r>
          </w:p>
        </w:tc>
        <w:tc>
          <w:tcPr>
            <w:tcW w:w="951" w:type="dxa"/>
            <w:vAlign w:val="center"/>
          </w:tcPr>
          <w:p>
            <w:pPr>
              <w:pStyle w:val="107"/>
            </w:pPr>
            <w:r>
              <w:rPr>
                <w:rFonts w:hint="eastAsia"/>
              </w:rPr>
              <w:t>1</w:t>
            </w:r>
          </w:p>
        </w:tc>
        <w:tc>
          <w:tcPr>
            <w:tcW w:w="992" w:type="dxa"/>
            <w:shd w:val="clear" w:color="auto" w:fill="auto"/>
            <w:vAlign w:val="center"/>
          </w:tcPr>
          <w:p>
            <w:pPr>
              <w:pStyle w:val="107"/>
            </w:pPr>
            <w:r>
              <w:rPr>
                <w:rFonts w:hint="eastAsia"/>
              </w:rPr>
              <w:t>原料仓库</w:t>
            </w:r>
          </w:p>
        </w:tc>
        <w:tc>
          <w:tcPr>
            <w:tcW w:w="877" w:type="dxa"/>
            <w:shd w:val="clear" w:color="auto" w:fill="auto"/>
            <w:vAlign w:val="center"/>
          </w:tcPr>
          <w:p>
            <w:pPr>
              <w:pStyle w:val="107"/>
            </w:pPr>
            <w:r>
              <w:rPr>
                <w:rFonts w:hint="eastAsia"/>
              </w:rPr>
              <w:t>促进剂</w:t>
            </w:r>
          </w:p>
        </w:tc>
        <w:tc>
          <w:tcPr>
            <w:tcW w:w="670"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5" w:hRule="atLeast"/>
          <w:jc w:val="center"/>
        </w:trPr>
        <w:tc>
          <w:tcPr>
            <w:tcW w:w="507" w:type="dxa"/>
            <w:shd w:val="clear" w:color="auto" w:fill="auto"/>
            <w:vAlign w:val="center"/>
          </w:tcPr>
          <w:p>
            <w:pPr>
              <w:pStyle w:val="107"/>
              <w:numPr>
                <w:ilvl w:val="0"/>
                <w:numId w:val="15"/>
              </w:numPr>
            </w:pPr>
            <w:r>
              <w:t>7</w:t>
            </w:r>
          </w:p>
        </w:tc>
        <w:tc>
          <w:tcPr>
            <w:tcW w:w="670" w:type="dxa"/>
            <w:vMerge w:val="continue"/>
            <w:vAlign w:val="center"/>
          </w:tcPr>
          <w:p>
            <w:pPr>
              <w:pStyle w:val="107"/>
            </w:pPr>
          </w:p>
        </w:tc>
        <w:tc>
          <w:tcPr>
            <w:tcW w:w="1042" w:type="dxa"/>
            <w:shd w:val="clear" w:color="auto" w:fill="auto"/>
            <w:vAlign w:val="center"/>
          </w:tcPr>
          <w:p>
            <w:pPr>
              <w:pStyle w:val="107"/>
            </w:pPr>
            <w:r>
              <w:rPr>
                <w:rFonts w:hint="eastAsia"/>
              </w:rPr>
              <w:t>硫磺粉</w:t>
            </w:r>
          </w:p>
        </w:tc>
        <w:tc>
          <w:tcPr>
            <w:tcW w:w="1231" w:type="dxa"/>
            <w:shd w:val="clear" w:color="auto" w:fill="auto"/>
            <w:vAlign w:val="center"/>
          </w:tcPr>
          <w:p>
            <w:pPr>
              <w:pStyle w:val="107"/>
            </w:pPr>
            <w:r>
              <w:rPr>
                <w:rFonts w:eastAsia="等线" w:cs="Times New Roman"/>
                <w:color w:val="000000"/>
              </w:rPr>
              <w:t>3</w:t>
            </w:r>
          </w:p>
        </w:tc>
        <w:tc>
          <w:tcPr>
            <w:tcW w:w="771" w:type="dxa"/>
            <w:shd w:val="clear" w:color="auto" w:fill="auto"/>
            <w:vAlign w:val="center"/>
          </w:tcPr>
          <w:p>
            <w:pPr>
              <w:pStyle w:val="107"/>
            </w:pPr>
            <w:r>
              <w:rPr>
                <w:rFonts w:hint="eastAsia"/>
              </w:rPr>
              <w:t>粉状固体</w:t>
            </w:r>
          </w:p>
        </w:tc>
        <w:tc>
          <w:tcPr>
            <w:tcW w:w="929" w:type="dxa"/>
            <w:shd w:val="clear" w:color="auto" w:fill="auto"/>
            <w:vAlign w:val="center"/>
          </w:tcPr>
          <w:p>
            <w:pPr>
              <w:pStyle w:val="107"/>
            </w:pPr>
            <w:r>
              <w:t>25kg/</w:t>
            </w:r>
            <w:r>
              <w:rPr>
                <w:rFonts w:hint="eastAsia"/>
              </w:rPr>
              <w:t>袋</w:t>
            </w:r>
          </w:p>
        </w:tc>
        <w:tc>
          <w:tcPr>
            <w:tcW w:w="951" w:type="dxa"/>
            <w:vAlign w:val="center"/>
          </w:tcPr>
          <w:p>
            <w:pPr>
              <w:pStyle w:val="107"/>
            </w:pPr>
            <w:r>
              <w:t>0.5</w:t>
            </w:r>
          </w:p>
        </w:tc>
        <w:tc>
          <w:tcPr>
            <w:tcW w:w="992" w:type="dxa"/>
            <w:shd w:val="clear" w:color="auto" w:fill="auto"/>
            <w:vAlign w:val="center"/>
          </w:tcPr>
          <w:p>
            <w:pPr>
              <w:pStyle w:val="107"/>
            </w:pPr>
            <w:r>
              <w:rPr>
                <w:rFonts w:hint="eastAsia"/>
              </w:rPr>
              <w:t>化学品仓库</w:t>
            </w:r>
          </w:p>
        </w:tc>
        <w:tc>
          <w:tcPr>
            <w:tcW w:w="877" w:type="dxa"/>
            <w:shd w:val="clear" w:color="auto" w:fill="auto"/>
            <w:vAlign w:val="center"/>
          </w:tcPr>
          <w:p>
            <w:pPr>
              <w:pStyle w:val="107"/>
            </w:pPr>
            <w:r>
              <w:rPr>
                <w:rFonts w:hint="eastAsia"/>
              </w:rPr>
              <w:t>硫化剂</w:t>
            </w:r>
          </w:p>
        </w:tc>
        <w:tc>
          <w:tcPr>
            <w:tcW w:w="670"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5" w:hRule="atLeast"/>
          <w:jc w:val="center"/>
        </w:trPr>
        <w:tc>
          <w:tcPr>
            <w:tcW w:w="2219" w:type="dxa"/>
            <w:gridSpan w:val="3"/>
            <w:shd w:val="clear" w:color="auto" w:fill="auto"/>
            <w:vAlign w:val="center"/>
          </w:tcPr>
          <w:p>
            <w:pPr>
              <w:pStyle w:val="107"/>
              <w:ind w:left="562"/>
              <w:jc w:val="left"/>
            </w:pPr>
            <w:r>
              <w:rPr>
                <w:rFonts w:hint="eastAsia"/>
              </w:rPr>
              <w:t>小计</w:t>
            </w:r>
          </w:p>
        </w:tc>
        <w:tc>
          <w:tcPr>
            <w:tcW w:w="1231" w:type="dxa"/>
            <w:shd w:val="clear" w:color="auto" w:fill="auto"/>
            <w:vAlign w:val="center"/>
          </w:tcPr>
          <w:p>
            <w:pPr>
              <w:pStyle w:val="107"/>
              <w:rPr>
                <w:rFonts w:eastAsia="等线" w:cs="Times New Roman"/>
                <w:color w:val="000000"/>
              </w:rPr>
            </w:pPr>
            <w:r>
              <w:rPr>
                <w:rFonts w:eastAsia="等线" w:cs="Times New Roman"/>
                <w:color w:val="000000"/>
              </w:rPr>
              <w:t>872</w:t>
            </w:r>
          </w:p>
        </w:tc>
        <w:tc>
          <w:tcPr>
            <w:tcW w:w="4520" w:type="dxa"/>
            <w:gridSpan w:val="5"/>
            <w:shd w:val="clear" w:color="auto" w:fill="auto"/>
            <w:vAlign w:val="center"/>
          </w:tcPr>
          <w:p>
            <w:pPr>
              <w:pStyle w:val="107"/>
            </w:pPr>
            <w:r>
              <w:rPr>
                <w:rFonts w:hint="eastAsia"/>
              </w:rPr>
              <w:t>/</w:t>
            </w:r>
          </w:p>
        </w:tc>
        <w:tc>
          <w:tcPr>
            <w:tcW w:w="670"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5" w:hRule="atLeast"/>
          <w:jc w:val="center"/>
        </w:trPr>
        <w:tc>
          <w:tcPr>
            <w:tcW w:w="507" w:type="dxa"/>
            <w:shd w:val="clear" w:color="auto" w:fill="auto"/>
            <w:vAlign w:val="center"/>
          </w:tcPr>
          <w:p>
            <w:pPr>
              <w:pStyle w:val="107"/>
              <w:numPr>
                <w:ilvl w:val="0"/>
                <w:numId w:val="15"/>
              </w:numPr>
            </w:pPr>
          </w:p>
        </w:tc>
        <w:tc>
          <w:tcPr>
            <w:tcW w:w="670" w:type="dxa"/>
            <w:vMerge w:val="restart"/>
            <w:vAlign w:val="center"/>
          </w:tcPr>
          <w:p>
            <w:pPr>
              <w:pStyle w:val="107"/>
            </w:pPr>
            <w:r>
              <w:rPr>
                <w:rFonts w:hint="eastAsia"/>
              </w:rPr>
              <w:t>配件</w:t>
            </w:r>
          </w:p>
        </w:tc>
        <w:tc>
          <w:tcPr>
            <w:tcW w:w="1042" w:type="dxa"/>
            <w:shd w:val="clear" w:color="auto" w:fill="auto"/>
            <w:vAlign w:val="center"/>
          </w:tcPr>
          <w:p>
            <w:pPr>
              <w:pStyle w:val="107"/>
            </w:pPr>
            <w:r>
              <w:rPr>
                <w:rFonts w:hint="eastAsia"/>
              </w:rPr>
              <w:t>铁芯</w:t>
            </w:r>
          </w:p>
        </w:tc>
        <w:tc>
          <w:tcPr>
            <w:tcW w:w="1231" w:type="dxa"/>
            <w:shd w:val="clear" w:color="auto" w:fill="auto"/>
            <w:vAlign w:val="center"/>
          </w:tcPr>
          <w:p>
            <w:pPr>
              <w:pStyle w:val="107"/>
            </w:pPr>
            <w:r>
              <w:rPr>
                <w:rFonts w:hint="eastAsia"/>
              </w:rPr>
              <w:t>200</w:t>
            </w:r>
          </w:p>
        </w:tc>
        <w:tc>
          <w:tcPr>
            <w:tcW w:w="771" w:type="dxa"/>
            <w:shd w:val="clear" w:color="auto" w:fill="auto"/>
            <w:vAlign w:val="center"/>
          </w:tcPr>
          <w:p>
            <w:pPr>
              <w:pStyle w:val="107"/>
            </w:pPr>
            <w:r>
              <w:rPr>
                <w:rFonts w:hint="eastAsia"/>
              </w:rPr>
              <w:t>固体</w:t>
            </w:r>
          </w:p>
        </w:tc>
        <w:tc>
          <w:tcPr>
            <w:tcW w:w="929" w:type="dxa"/>
            <w:shd w:val="clear" w:color="auto" w:fill="auto"/>
            <w:vAlign w:val="center"/>
          </w:tcPr>
          <w:p>
            <w:pPr>
              <w:pStyle w:val="107"/>
            </w:pPr>
            <w:r>
              <w:t>50kg/</w:t>
            </w:r>
            <w:r>
              <w:rPr>
                <w:rFonts w:hint="eastAsia"/>
              </w:rPr>
              <w:t>袋</w:t>
            </w:r>
          </w:p>
        </w:tc>
        <w:tc>
          <w:tcPr>
            <w:tcW w:w="951" w:type="dxa"/>
            <w:vAlign w:val="center"/>
          </w:tcPr>
          <w:p>
            <w:pPr>
              <w:pStyle w:val="107"/>
            </w:pPr>
            <w:r>
              <w:rPr>
                <w:rFonts w:hint="eastAsia"/>
              </w:rPr>
              <w:t>1</w:t>
            </w:r>
            <w:r>
              <w:t>5</w:t>
            </w:r>
          </w:p>
        </w:tc>
        <w:tc>
          <w:tcPr>
            <w:tcW w:w="992" w:type="dxa"/>
            <w:shd w:val="clear" w:color="auto" w:fill="auto"/>
            <w:vAlign w:val="center"/>
          </w:tcPr>
          <w:p>
            <w:pPr>
              <w:pStyle w:val="107"/>
            </w:pPr>
            <w:r>
              <w:rPr>
                <w:rFonts w:hint="eastAsia"/>
              </w:rPr>
              <w:t>原料仓库</w:t>
            </w:r>
          </w:p>
        </w:tc>
        <w:tc>
          <w:tcPr>
            <w:tcW w:w="877" w:type="dxa"/>
            <w:shd w:val="clear" w:color="auto" w:fill="auto"/>
            <w:vAlign w:val="center"/>
          </w:tcPr>
          <w:p>
            <w:pPr>
              <w:pStyle w:val="107"/>
            </w:pPr>
            <w:r>
              <w:rPr>
                <w:rFonts w:hint="eastAsia"/>
              </w:rPr>
              <w:t>配件</w:t>
            </w:r>
          </w:p>
        </w:tc>
        <w:tc>
          <w:tcPr>
            <w:tcW w:w="670"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5" w:hRule="atLeast"/>
          <w:jc w:val="center"/>
        </w:trPr>
        <w:tc>
          <w:tcPr>
            <w:tcW w:w="507" w:type="dxa"/>
            <w:shd w:val="clear" w:color="auto" w:fill="auto"/>
            <w:vAlign w:val="center"/>
          </w:tcPr>
          <w:p>
            <w:pPr>
              <w:pStyle w:val="107"/>
              <w:numPr>
                <w:ilvl w:val="0"/>
                <w:numId w:val="15"/>
              </w:numPr>
            </w:pPr>
          </w:p>
        </w:tc>
        <w:tc>
          <w:tcPr>
            <w:tcW w:w="670" w:type="dxa"/>
            <w:vMerge w:val="continue"/>
            <w:vAlign w:val="center"/>
          </w:tcPr>
          <w:p>
            <w:pPr>
              <w:pStyle w:val="107"/>
            </w:pPr>
          </w:p>
        </w:tc>
        <w:tc>
          <w:tcPr>
            <w:tcW w:w="1042" w:type="dxa"/>
            <w:shd w:val="clear" w:color="auto" w:fill="auto"/>
            <w:vAlign w:val="center"/>
          </w:tcPr>
          <w:p>
            <w:pPr>
              <w:pStyle w:val="107"/>
            </w:pPr>
            <w:r>
              <w:rPr>
                <w:rFonts w:hint="eastAsia"/>
              </w:rPr>
              <w:t>胶水</w:t>
            </w:r>
          </w:p>
        </w:tc>
        <w:tc>
          <w:tcPr>
            <w:tcW w:w="1231" w:type="dxa"/>
            <w:shd w:val="clear" w:color="auto" w:fill="auto"/>
            <w:vAlign w:val="center"/>
          </w:tcPr>
          <w:p>
            <w:pPr>
              <w:pStyle w:val="107"/>
            </w:pPr>
            <w:r>
              <w:t xml:space="preserve">0.08 </w:t>
            </w:r>
          </w:p>
        </w:tc>
        <w:tc>
          <w:tcPr>
            <w:tcW w:w="771" w:type="dxa"/>
            <w:shd w:val="clear" w:color="auto" w:fill="auto"/>
            <w:vAlign w:val="center"/>
          </w:tcPr>
          <w:p>
            <w:pPr>
              <w:pStyle w:val="107"/>
            </w:pPr>
            <w:r>
              <w:rPr>
                <w:rFonts w:hint="eastAsia"/>
              </w:rPr>
              <w:t>液态</w:t>
            </w:r>
          </w:p>
        </w:tc>
        <w:tc>
          <w:tcPr>
            <w:tcW w:w="929" w:type="dxa"/>
            <w:shd w:val="clear" w:color="auto" w:fill="auto"/>
            <w:vAlign w:val="center"/>
          </w:tcPr>
          <w:p>
            <w:pPr>
              <w:pStyle w:val="107"/>
            </w:pPr>
            <w:r>
              <w:t>25kg/</w:t>
            </w:r>
            <w:r>
              <w:rPr>
                <w:rFonts w:hint="eastAsia"/>
              </w:rPr>
              <w:t>桶</w:t>
            </w:r>
          </w:p>
        </w:tc>
        <w:tc>
          <w:tcPr>
            <w:tcW w:w="951" w:type="dxa"/>
            <w:vAlign w:val="center"/>
          </w:tcPr>
          <w:p>
            <w:pPr>
              <w:pStyle w:val="107"/>
            </w:pPr>
            <w:r>
              <w:rPr>
                <w:rFonts w:hint="eastAsia"/>
              </w:rPr>
              <w:t>0</w:t>
            </w:r>
            <w:r>
              <w:t>.02</w:t>
            </w:r>
          </w:p>
        </w:tc>
        <w:tc>
          <w:tcPr>
            <w:tcW w:w="992" w:type="dxa"/>
            <w:shd w:val="clear" w:color="auto" w:fill="auto"/>
            <w:vAlign w:val="center"/>
          </w:tcPr>
          <w:p>
            <w:pPr>
              <w:pStyle w:val="107"/>
            </w:pPr>
            <w:r>
              <w:rPr>
                <w:rFonts w:hint="eastAsia"/>
              </w:rPr>
              <w:t>原料仓库</w:t>
            </w:r>
          </w:p>
        </w:tc>
        <w:tc>
          <w:tcPr>
            <w:tcW w:w="877" w:type="dxa"/>
            <w:shd w:val="clear" w:color="auto" w:fill="auto"/>
            <w:vAlign w:val="center"/>
          </w:tcPr>
          <w:p>
            <w:pPr>
              <w:pStyle w:val="107"/>
            </w:pPr>
            <w:r>
              <w:rPr>
                <w:rFonts w:hint="eastAsia"/>
              </w:rPr>
              <w:t>粘合剂</w:t>
            </w:r>
          </w:p>
        </w:tc>
        <w:tc>
          <w:tcPr>
            <w:tcW w:w="670"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5" w:hRule="atLeast"/>
          <w:jc w:val="center"/>
        </w:trPr>
        <w:tc>
          <w:tcPr>
            <w:tcW w:w="2219" w:type="dxa"/>
            <w:gridSpan w:val="3"/>
            <w:shd w:val="clear" w:color="auto" w:fill="auto"/>
            <w:vAlign w:val="center"/>
          </w:tcPr>
          <w:p>
            <w:pPr>
              <w:pStyle w:val="107"/>
            </w:pPr>
            <w:r>
              <w:rPr>
                <w:rFonts w:hint="eastAsia"/>
              </w:rPr>
              <w:t>小计</w:t>
            </w:r>
          </w:p>
        </w:tc>
        <w:tc>
          <w:tcPr>
            <w:tcW w:w="1231" w:type="dxa"/>
            <w:shd w:val="clear" w:color="auto" w:fill="auto"/>
            <w:vAlign w:val="center"/>
          </w:tcPr>
          <w:p>
            <w:pPr>
              <w:pStyle w:val="107"/>
              <w:rPr>
                <w:rFonts w:eastAsia="等线" w:cs="Times New Roman"/>
                <w:color w:val="000000"/>
              </w:rPr>
            </w:pPr>
            <w:r>
              <w:rPr>
                <w:rFonts w:eastAsia="等线" w:cs="Times New Roman"/>
                <w:color w:val="000000"/>
              </w:rPr>
              <w:t>200.08</w:t>
            </w:r>
          </w:p>
        </w:tc>
        <w:tc>
          <w:tcPr>
            <w:tcW w:w="5190" w:type="dxa"/>
            <w:gridSpan w:val="6"/>
            <w:shd w:val="clear" w:color="auto" w:fill="auto"/>
            <w:vAlign w:val="center"/>
          </w:tcPr>
          <w:p>
            <w:pPr>
              <w:pStyle w:val="107"/>
            </w:pPr>
            <w:r>
              <w:rPr>
                <w:rFonts w:hint="eastAsia"/>
              </w:rPr>
              <w:t>/</w:t>
            </w:r>
          </w:p>
        </w:tc>
      </w:tr>
    </w:tbl>
    <w:p>
      <w:pPr>
        <w:pStyle w:val="99"/>
        <w:numPr>
          <w:ilvl w:val="0"/>
          <w:numId w:val="7"/>
        </w:numPr>
        <w:ind w:left="0" w:firstLine="0" w:firstLineChars="0"/>
        <w:rPr>
          <w:rFonts w:eastAsiaTheme="minorEastAsia"/>
          <w:b/>
        </w:rPr>
      </w:pPr>
      <w:r>
        <w:rPr>
          <w:rFonts w:hint="eastAsia" w:eastAsiaTheme="minorEastAsia"/>
          <w:b/>
        </w:rPr>
        <w:t>主要</w:t>
      </w:r>
      <w:r>
        <w:rPr>
          <w:rFonts w:eastAsiaTheme="minorEastAsia"/>
          <w:b/>
        </w:rPr>
        <w:t>原辅料</w:t>
      </w:r>
      <w:r>
        <w:rPr>
          <w:rFonts w:hint="eastAsia" w:eastAsiaTheme="minorEastAsia"/>
          <w:b/>
        </w:rPr>
        <w:t>理化性质</w:t>
      </w:r>
    </w:p>
    <w:p>
      <w:pPr>
        <w:pStyle w:val="126"/>
        <w:ind w:left="0" w:firstLine="482"/>
      </w:pPr>
      <w:r>
        <w:rPr>
          <w:rFonts w:hint="eastAsia"/>
        </w:rPr>
        <w:t>合成胶</w:t>
      </w:r>
    </w:p>
    <w:p>
      <w:pPr>
        <w:ind w:firstLine="480"/>
      </w:pPr>
      <w:r>
        <w:t>合成橡胶，又称为合成</w:t>
      </w:r>
      <w:r>
        <w:fldChar w:fldCharType="begin"/>
      </w:r>
      <w:r>
        <w:instrText xml:space="preserve"> HYPERLINK "https://baike.baidu.com/item/%E5%BC%B9%E6%80%A7%E4%BD%93" \t "_blank" </w:instrText>
      </w:r>
      <w:r>
        <w:fldChar w:fldCharType="separate"/>
      </w:r>
      <w:r>
        <w:t>弹性体</w:t>
      </w:r>
      <w:r>
        <w:fldChar w:fldCharType="end"/>
      </w:r>
      <w:r>
        <w:t>，是由人工合成的</w:t>
      </w:r>
      <w:r>
        <w:fldChar w:fldCharType="begin"/>
      </w:r>
      <w:r>
        <w:instrText xml:space="preserve"> HYPERLINK "https://baike.baidu.com/item/%E9%AB%98%E5%BC%B9%E6%80%A7/9080630" \t "_blank" </w:instrText>
      </w:r>
      <w:r>
        <w:fldChar w:fldCharType="separate"/>
      </w:r>
      <w:r>
        <w:t>高弹性</w:t>
      </w:r>
      <w:r>
        <w:fldChar w:fldCharType="end"/>
      </w:r>
      <w:r>
        <w:t>聚合物，是</w:t>
      </w:r>
      <w:r>
        <w:fldChar w:fldCharType="begin"/>
      </w:r>
      <w:r>
        <w:instrText xml:space="preserve"> HYPERLINK "https://baike.baidu.com/item/%E4%B8%89%E5%A4%A7%E5%90%88%E6%88%90%E6%9D%90%E6%96%99/6630236" \t "_blank" </w:instrText>
      </w:r>
      <w:r>
        <w:fldChar w:fldCharType="separate"/>
      </w:r>
      <w:r>
        <w:t>三大合成材料</w:t>
      </w:r>
      <w:r>
        <w:fldChar w:fldCharType="end"/>
      </w:r>
      <w:r>
        <w:t>之一</w:t>
      </w:r>
      <w:r>
        <w:rPr>
          <w:rFonts w:hint="eastAsia"/>
        </w:rPr>
        <w:t>。</w:t>
      </w:r>
      <w:r>
        <w:t>其性能因单体不同而异，少数品种的性能与天然橡胶相似。某些合成橡胶具有较天然橡胶优良的耐温、耐磨、耐老化、耐</w:t>
      </w:r>
      <w:r>
        <w:fldChar w:fldCharType="begin"/>
      </w:r>
      <w:r>
        <w:instrText xml:space="preserve"> HYPERLINK "https://baike.baidu.com/item/%E8%85%90%E8%9A%80" \t "_blank" </w:instrText>
      </w:r>
      <w:r>
        <w:fldChar w:fldCharType="separate"/>
      </w:r>
      <w:r>
        <w:t>腐蚀</w:t>
      </w:r>
      <w:r>
        <w:fldChar w:fldCharType="end"/>
      </w:r>
      <w:r>
        <w:t>或耐油等性能</w:t>
      </w:r>
      <w:r>
        <w:rPr>
          <w:rFonts w:hint="eastAsia"/>
        </w:rPr>
        <w:t>。</w:t>
      </w:r>
      <w:r>
        <w:t>合成橡胶是由不同单体在</w:t>
      </w:r>
      <w:r>
        <w:fldChar w:fldCharType="begin"/>
      </w:r>
      <w:r>
        <w:instrText xml:space="preserve"> HYPERLINK "https://baike.baidu.com/item/%E5%BC%95%E5%8F%91%E5%89%82" \t "_blank" </w:instrText>
      </w:r>
      <w:r>
        <w:fldChar w:fldCharType="separate"/>
      </w:r>
      <w:r>
        <w:t>引发剂</w:t>
      </w:r>
      <w:r>
        <w:fldChar w:fldCharType="end"/>
      </w:r>
      <w:r>
        <w:t>作用下，经聚合而成的品种多样的高分子化合物，单体有丁二烯、苯乙烯、丙烯腈、异丁烯、氯丁二烯等多种</w:t>
      </w:r>
      <w:r>
        <w:rPr>
          <w:rFonts w:hint="eastAsia"/>
        </w:rPr>
        <w:t>。</w:t>
      </w:r>
    </w:p>
    <w:p>
      <w:pPr>
        <w:pStyle w:val="2"/>
        <w:ind w:firstLine="482" w:firstLineChars="200"/>
        <w:rPr>
          <w:rStyle w:val="63"/>
          <w:b/>
          <w:color w:val="000000"/>
        </w:rPr>
      </w:pPr>
      <w:r>
        <w:rPr>
          <w:rFonts w:hint="eastAsia"/>
          <w:b/>
        </w:rPr>
        <w:t>（2）天然胶</w:t>
      </w:r>
    </w:p>
    <w:p>
      <w:pPr>
        <w:ind w:firstLine="480"/>
        <w:rPr>
          <w:rStyle w:val="63"/>
          <w:color w:val="auto"/>
        </w:rPr>
      </w:pPr>
      <w:r>
        <w:t>天然橡胶（NR）是一种以顺-1，4-聚异戊二烯为主要成分的</w:t>
      </w:r>
      <w:r>
        <w:fldChar w:fldCharType="begin"/>
      </w:r>
      <w:r>
        <w:instrText xml:space="preserve"> HYPERLINK "https://baike.baidu.com/item/%E5%A4%A9%E7%84%B6%E9%AB%98%E5%88%86%E5%AD%90%E5%8C%96%E5%90%88%E7%89%A9/9977666" \t "_blank" </w:instrText>
      </w:r>
      <w:r>
        <w:fldChar w:fldCharType="separate"/>
      </w:r>
      <w:r>
        <w:t>天然高分子化合物</w:t>
      </w:r>
      <w:r>
        <w:fldChar w:fldCharType="end"/>
      </w:r>
      <w:r>
        <w:t>，其成分中91%～94%是</w:t>
      </w:r>
      <w:r>
        <w:fldChar w:fldCharType="begin"/>
      </w:r>
      <w:r>
        <w:instrText xml:space="preserve"> HYPERLINK "https://baike.baidu.com/item/%E6%A9%A1%E8%83%B6%E7%83%83/6799280" \t "_blank" </w:instrText>
      </w:r>
      <w:r>
        <w:fldChar w:fldCharType="separate"/>
      </w:r>
      <w:r>
        <w:t>橡胶烃</w:t>
      </w:r>
      <w:r>
        <w:fldChar w:fldCharType="end"/>
      </w:r>
      <w:r>
        <w:t>（顺-1，4-聚异戊二烯），其余为</w:t>
      </w:r>
      <w:r>
        <w:fldChar w:fldCharType="begin"/>
      </w:r>
      <w:r>
        <w:instrText xml:space="preserve"> HYPERLINK "https://baike.baidu.com/item/%E8%9B%8B%E7%99%BD%E8%B4%A8/309120" \t "_blank" </w:instrText>
      </w:r>
      <w:r>
        <w:fldChar w:fldCharType="separate"/>
      </w:r>
      <w:r>
        <w:t>蛋白质</w:t>
      </w:r>
      <w:r>
        <w:fldChar w:fldCharType="end"/>
      </w:r>
      <w:r>
        <w:t>、脂肪酸、灰分、糖类等非橡胶物质</w:t>
      </w:r>
      <w:r>
        <w:rPr>
          <w:rFonts w:hint="eastAsia"/>
        </w:rPr>
        <w:t>。</w:t>
      </w:r>
      <w:r>
        <w:t>一般为片状固体，相对密度0.94，折射率1.522，弹性模量2～4MPa，130～140</w:t>
      </w:r>
      <w:r>
        <w:rPr>
          <w:rFonts w:hint="eastAsia"/>
        </w:rPr>
        <w:t>℃</w:t>
      </w:r>
      <w:r>
        <w:t>时软化，150～160</w:t>
      </w:r>
      <w:r>
        <w:rPr>
          <w:rFonts w:hint="eastAsia"/>
        </w:rPr>
        <w:t>℃</w:t>
      </w:r>
      <w:r>
        <w:t>粘软，200</w:t>
      </w:r>
      <w:r>
        <w:rPr>
          <w:rFonts w:hint="eastAsia"/>
        </w:rPr>
        <w:t>℃</w:t>
      </w:r>
      <w:r>
        <w:t>时开始降解。常温下有较高弹性，略有塑性，低温时结晶硬化。有较好的耐碱性，但不耐强酸。不溶于水、低级酮和醇类，在非极性溶剂如</w:t>
      </w:r>
      <w:r>
        <w:fldChar w:fldCharType="begin"/>
      </w:r>
      <w:r>
        <w:instrText xml:space="preserve"> HYPERLINK "https://baike.baidu.com/item/%E4%B8%89%E6%B0%AF%E7%94%B2%E7%83%B7" \t "_blank" </w:instrText>
      </w:r>
      <w:r>
        <w:fldChar w:fldCharType="separate"/>
      </w:r>
      <w:r>
        <w:t>三氯甲烷</w:t>
      </w:r>
      <w:r>
        <w:fldChar w:fldCharType="end"/>
      </w:r>
      <w:r>
        <w:t>、</w:t>
      </w:r>
      <w:r>
        <w:fldChar w:fldCharType="begin"/>
      </w:r>
      <w:r>
        <w:instrText xml:space="preserve"> HYPERLINK "https://baike.baidu.com/item/%E5%9B%9B%E6%B0%AF%E5%8C%96%E7%A2%B3" \t "_blank" </w:instrText>
      </w:r>
      <w:r>
        <w:fldChar w:fldCharType="separate"/>
      </w:r>
      <w:r>
        <w:t>四氯化碳</w:t>
      </w:r>
      <w:r>
        <w:fldChar w:fldCharType="end"/>
      </w:r>
      <w:r>
        <w:t>等中能溶胀</w:t>
      </w:r>
      <w:r>
        <w:rPr>
          <w:rFonts w:hint="eastAsia"/>
        </w:rPr>
        <w:t>。</w:t>
      </w:r>
      <w:r>
        <w:t>天然橡胶的化学性质 天然橡胶是不饱和橡胶，容易与硫化剂发生硫化反应（结构化反应），溴与氧、臭氧发生氧化、</w:t>
      </w:r>
      <w:r>
        <w:fldChar w:fldCharType="begin"/>
      </w:r>
      <w:r>
        <w:instrText xml:space="preserve"> HYPERLINK "https://baike.baidu.com/item/%E8%A3%82%E8%A7%A3" \t "_blank" </w:instrText>
      </w:r>
      <w:r>
        <w:fldChar w:fldCharType="separate"/>
      </w:r>
      <w:r>
        <w:t>裂解</w:t>
      </w:r>
      <w:r>
        <w:fldChar w:fldCharType="end"/>
      </w:r>
      <w:r>
        <w:t>反应，与</w:t>
      </w:r>
      <w:r>
        <w:fldChar w:fldCharType="begin"/>
      </w:r>
      <w:r>
        <w:instrText xml:space="preserve"> HYPERLINK "https://baike.baidu.com/item/%E5%8D%A4%E7%B4%A0" \t "_blank" </w:instrText>
      </w:r>
      <w:r>
        <w:fldChar w:fldCharType="separate"/>
      </w:r>
      <w:r>
        <w:t>卤素</w:t>
      </w:r>
      <w:r>
        <w:fldChar w:fldCharType="end"/>
      </w:r>
      <w:r>
        <w:t>发生氯化、 化反应，在</w:t>
      </w:r>
      <w:r>
        <w:fldChar w:fldCharType="begin"/>
      </w:r>
      <w:r>
        <w:instrText xml:space="preserve"> HYPERLINK "https://baike.baidu.com/item/%E5%82%AC%E5%8C%96%E5%89%82" \t "_blank" </w:instrText>
      </w:r>
      <w:r>
        <w:fldChar w:fldCharType="separate"/>
      </w:r>
      <w:r>
        <w:t>催化剂</w:t>
      </w:r>
      <w:r>
        <w:fldChar w:fldCharType="end"/>
      </w:r>
      <w:r>
        <w:t>和酸作用下发生化学反应等</w:t>
      </w:r>
      <w:r>
        <w:rPr>
          <w:rFonts w:hint="eastAsia"/>
        </w:rPr>
        <w:t>。</w:t>
      </w:r>
      <w:r>
        <w:t>热老化天然橡胶常温为高弹性体，玻璃化温度为-72度，受热后缓慢软化，在130-140度开始流动，200度左右开始分解，270度剧烈分解。</w:t>
      </w:r>
    </w:p>
    <w:p>
      <w:pPr>
        <w:ind w:firstLine="482"/>
        <w:rPr>
          <w:b/>
        </w:rPr>
      </w:pPr>
      <w:r>
        <w:rPr>
          <w:b/>
        </w:rPr>
        <w:t>（3）</w:t>
      </w:r>
      <w:r>
        <w:rPr>
          <w:rFonts w:hint="eastAsia"/>
          <w:b/>
        </w:rPr>
        <w:t>钙粉</w:t>
      </w:r>
    </w:p>
    <w:p>
      <w:pPr>
        <w:ind w:firstLine="480"/>
      </w:pPr>
      <w:r>
        <w:t>钙粉俗称：石灰石、石粉</w:t>
      </w:r>
      <w:r>
        <w:rPr>
          <w:rFonts w:hint="eastAsia"/>
        </w:rPr>
        <w:t>，钙粉是轻质碳酸钙，CAS编号为</w:t>
      </w:r>
      <w:r>
        <w:t>14807-96-6</w:t>
      </w:r>
      <w:r>
        <w:rPr>
          <w:rFonts w:hint="eastAsia"/>
        </w:rPr>
        <w:t>，又称沉淀碳酸钙，简称轻钙，是将石灰石等原料煅烧生成石灰和二氧化碳，再加水消化石灰生成石灰乳（主要成分氢氧化钙），通入二氧化碳碳化石灰乳生成碳酸钙沉淀，经脱水、干燥和粉碎制得。或者由碳酸纳和氯化钙进行复分解反应生成碳酸钙沉淀，经脱水、干燥和粉碎制得广泛用于塑料、橡胶、涂料、造纸等行业，用作填料及补强剂用于橡胶中，可有效提高橡胶制品的抗压强力、耐磨性和抗挤压强度。项目使用的钙粉颗粒度为1</w:t>
      </w:r>
      <w:r>
        <w:t>20目</w:t>
      </w:r>
      <w:r>
        <w:rPr>
          <w:rFonts w:hint="eastAsia"/>
        </w:rPr>
        <w:t>，粒径</w:t>
      </w:r>
      <w:r>
        <w:t xml:space="preserve">0.125 </w:t>
      </w:r>
      <w:r>
        <w:rPr>
          <w:rFonts w:hint="eastAsia"/>
        </w:rPr>
        <w:t>mm</w:t>
      </w:r>
      <w:r>
        <w:t>。</w:t>
      </w:r>
    </w:p>
    <w:p>
      <w:pPr>
        <w:pStyle w:val="126"/>
        <w:numPr>
          <w:ilvl w:val="0"/>
          <w:numId w:val="0"/>
        </w:numPr>
        <w:ind w:left="482"/>
      </w:pPr>
      <w:r>
        <w:rPr>
          <w:rFonts w:hint="eastAsia"/>
        </w:rPr>
        <w:t>（4）硬脂酸</w:t>
      </w:r>
    </w:p>
    <w:p>
      <w:pPr>
        <w:ind w:firstLine="480"/>
      </w:pPr>
      <w:r>
        <w:rPr>
          <w:rFonts w:hint="eastAsia"/>
        </w:rPr>
        <w:t>分子式为</w:t>
      </w:r>
      <w:r>
        <w:t>C</w:t>
      </w:r>
      <w:r>
        <w:rPr>
          <w:vertAlign w:val="subscript"/>
        </w:rPr>
        <w:t>18</w:t>
      </w:r>
      <w:r>
        <w:t>H</w:t>
      </w:r>
      <w:r>
        <w:rPr>
          <w:vertAlign w:val="subscript"/>
        </w:rPr>
        <w:t>36</w:t>
      </w:r>
      <w:r>
        <w:t>O</w:t>
      </w:r>
      <w:r>
        <w:rPr>
          <w:vertAlign w:val="subscript"/>
        </w:rPr>
        <w:t>2</w:t>
      </w:r>
      <w:r>
        <w:rPr>
          <w:rFonts w:hint="eastAsia"/>
        </w:rPr>
        <w:t>，CAS编号为</w:t>
      </w:r>
      <w:r>
        <w:t>57-11-4</w:t>
      </w:r>
      <w:r>
        <w:rPr>
          <w:rFonts w:hint="eastAsia"/>
        </w:rPr>
        <w:t>，纯品为白色略带光泽的蜡状小片结晶体，微溶于冷水，溶于酒精、丙酮，易溶于苯、氯仿、乙醚、四氯化碳、二硫化碳、醋酸戊酯和甲苯等，闪点196℃，熔点67~69℃，密度0.847g/cm</w:t>
      </w:r>
      <w:r>
        <w:rPr>
          <w:rFonts w:hint="eastAsia"/>
          <w:vertAlign w:val="superscript"/>
        </w:rPr>
        <w:t>3</w:t>
      </w:r>
      <w:r>
        <w:rPr>
          <w:rFonts w:hint="eastAsia"/>
        </w:rPr>
        <w:t>。</w:t>
      </w:r>
    </w:p>
    <w:p>
      <w:pPr>
        <w:pStyle w:val="126"/>
        <w:numPr>
          <w:ilvl w:val="0"/>
          <w:numId w:val="0"/>
        </w:numPr>
        <w:ind w:left="482"/>
      </w:pPr>
      <w:r>
        <w:rPr>
          <w:rFonts w:hint="eastAsia"/>
        </w:rPr>
        <w:t>（5）氧化锌</w:t>
      </w:r>
    </w:p>
    <w:p>
      <w:pPr>
        <w:ind w:firstLine="480"/>
      </w:pPr>
      <w:r>
        <w:rPr>
          <w:rFonts w:hint="eastAsia"/>
        </w:rPr>
        <w:t>分子式为</w:t>
      </w:r>
      <w:r>
        <w:t>ZnO</w:t>
      </w:r>
      <w:r>
        <w:rPr>
          <w:rFonts w:hint="eastAsia"/>
        </w:rPr>
        <w:t>，CAS编号为</w:t>
      </w:r>
      <w:r>
        <w:t>1314-13-2</w:t>
      </w:r>
      <w:r>
        <w:rPr>
          <w:rFonts w:hint="eastAsia"/>
        </w:rPr>
        <w:t>，</w:t>
      </w:r>
      <w:r>
        <w:t>锌的一种氧化物，闪点1436</w:t>
      </w:r>
      <w:r>
        <w:rPr>
          <w:rFonts w:hint="eastAsia" w:cs="微软雅黑"/>
        </w:rPr>
        <w:t>℃</w:t>
      </w:r>
      <w:r>
        <w:t>，熔点1975</w:t>
      </w:r>
      <w:r>
        <w:rPr>
          <w:rFonts w:hint="eastAsia" w:cs="微软雅黑"/>
        </w:rPr>
        <w:t>℃</w:t>
      </w:r>
      <w:r>
        <w:t>、沸点2360</w:t>
      </w:r>
      <w:r>
        <w:rPr>
          <w:rFonts w:hint="eastAsia" w:cs="微软雅黑"/>
        </w:rPr>
        <w:t>℃</w:t>
      </w:r>
      <w:r>
        <w:t>，难溶于水，可溶于酸和强碱，</w:t>
      </w:r>
      <w:r>
        <w:rPr>
          <w:rFonts w:hint="eastAsia"/>
        </w:rPr>
        <w:t>主要用于橡胶或电缆工业作补强剂和活性剂。</w:t>
      </w:r>
      <w:r>
        <w:t>有毒，大鼠腹腔注射LD</w:t>
      </w:r>
      <w:r>
        <w:rPr>
          <w:vertAlign w:val="subscript"/>
        </w:rPr>
        <w:t>50</w:t>
      </w:r>
      <w:r>
        <w:rPr>
          <w:rFonts w:hint="eastAsia"/>
        </w:rPr>
        <w:t>：</w:t>
      </w:r>
      <w:r>
        <w:t>240mg/kg</w:t>
      </w:r>
      <w:r>
        <w:rPr>
          <w:rFonts w:hint="eastAsia"/>
        </w:rPr>
        <w:t>。</w:t>
      </w:r>
    </w:p>
    <w:p>
      <w:pPr>
        <w:pStyle w:val="126"/>
        <w:numPr>
          <w:ilvl w:val="0"/>
          <w:numId w:val="0"/>
        </w:numPr>
        <w:ind w:firstLine="482" w:firstLineChars="200"/>
      </w:pPr>
      <w:r>
        <w:rPr>
          <w:rFonts w:hint="eastAsia"/>
        </w:rPr>
        <w:t>（6）钛白粉</w:t>
      </w:r>
    </w:p>
    <w:p>
      <w:pPr>
        <w:ind w:firstLine="480"/>
      </w:pPr>
      <w:r>
        <w:t>钛白粉主要成分为二氧化钛(TiO2)的白色颜料。分子式为TiO2是一种多晶化合物，其质点呈规则排列，具有格子构造</w:t>
      </w:r>
      <w:r>
        <w:rPr>
          <w:rFonts w:hint="eastAsia"/>
        </w:rPr>
        <w:t>。</w:t>
      </w:r>
      <w:r>
        <w:t>由于锐钛型在高温下会转变成金红石型，因此锐钛型二氧化钛的熔点和沸点实际上是不存在的。只有金红石型二氧化钛有熔点和沸点，金红石型二氧化钛的熔点为1850</w:t>
      </w:r>
      <w:r>
        <w:rPr>
          <w:rFonts w:hint="eastAsia"/>
        </w:rPr>
        <w:t>℃</w:t>
      </w:r>
      <w:r>
        <w:t>、空气中的熔点为(1830±15)</w:t>
      </w:r>
      <w:r>
        <w:rPr>
          <w:rFonts w:hint="eastAsia"/>
        </w:rPr>
        <w:t>℃</w:t>
      </w:r>
      <w:r>
        <w:t>、富氧中的熔点为1879</w:t>
      </w:r>
      <w:r>
        <w:rPr>
          <w:rFonts w:hint="eastAsia"/>
        </w:rPr>
        <w:t>℃</w:t>
      </w:r>
      <w:r>
        <w:t>，熔点与二氧化钛的纯度有关。金红石型二氧化钛的沸点为为(3200±300)</w:t>
      </w:r>
      <w:r>
        <w:rPr>
          <w:rFonts w:hint="eastAsia"/>
        </w:rPr>
        <w:t>℃</w:t>
      </w:r>
      <w:r>
        <w:t>，在此高温下二氧化钛稍有挥发性</w:t>
      </w:r>
      <w:r>
        <w:rPr>
          <w:rFonts w:hint="eastAsia"/>
        </w:rPr>
        <w:t>。</w:t>
      </w:r>
      <w:r>
        <w:t>二氧化钛的化学性质极为稳定，是一种偏酸性的</w:t>
      </w:r>
      <w:r>
        <w:fldChar w:fldCharType="begin"/>
      </w:r>
      <w:r>
        <w:instrText xml:space="preserve"> HYPERLINK "https://baike.baidu.com/item/%E4%B8%A4%E6%80%A7%E6%B0%A7%E5%8C%96%E7%89%A9" \t "_blank" </w:instrText>
      </w:r>
      <w:r>
        <w:fldChar w:fldCharType="separate"/>
      </w:r>
      <w:r>
        <w:t>两性氧化物</w:t>
      </w:r>
      <w:r>
        <w:fldChar w:fldCharType="end"/>
      </w:r>
      <w:r>
        <w:t>。常温下几乎不与其他元素和化合物反应，对氧、氨、氮、硫化氢、二氧化碳、二氧化硫都不起作用，不溶于水、脂肪，也不溶于稀酸及</w:t>
      </w:r>
      <w:r>
        <w:fldChar w:fldCharType="begin"/>
      </w:r>
      <w:r>
        <w:instrText xml:space="preserve"> HYPERLINK "https://baike.baidu.com/item/%E6%97%A0%E6%9C%BA%E9%85%B8" \t "_blank" </w:instrText>
      </w:r>
      <w:r>
        <w:fldChar w:fldCharType="separate"/>
      </w:r>
      <w:r>
        <w:t>无机酸</w:t>
      </w:r>
      <w:r>
        <w:fldChar w:fldCharType="end"/>
      </w:r>
      <w:r>
        <w:t>、碱，只溶于</w:t>
      </w:r>
      <w:r>
        <w:fldChar w:fldCharType="begin"/>
      </w:r>
      <w:r>
        <w:instrText xml:space="preserve"> HYPERLINK "https://baike.baidu.com/item/%E6%B0%A2%E6%B0%9F%E9%85%B8" \t "_blank" </w:instrText>
      </w:r>
      <w:r>
        <w:fldChar w:fldCharType="separate"/>
      </w:r>
      <w:r>
        <w:t>氢氟酸</w:t>
      </w:r>
      <w:r>
        <w:fldChar w:fldCharType="end"/>
      </w:r>
      <w:r>
        <w:t>。但在光作用下，钛白粉可发生连续的</w:t>
      </w:r>
      <w:r>
        <w:fldChar w:fldCharType="begin"/>
      </w:r>
      <w:r>
        <w:instrText xml:space="preserve"> HYPERLINK "https://baike.baidu.com/item/%E6%B0%A7%E5%8C%96%E8%BF%98%E5%8E%9F%E5%8F%8D%E5%BA%94" \t "_blank" </w:instrText>
      </w:r>
      <w:r>
        <w:fldChar w:fldCharType="separate"/>
      </w:r>
      <w:r>
        <w:t>氧化还原反应</w:t>
      </w:r>
      <w:r>
        <w:fldChar w:fldCharType="end"/>
      </w:r>
      <w:r>
        <w:t>，具有光化学活性。 这一种光化学活性，在紫外线照射下</w:t>
      </w:r>
      <w:r>
        <w:fldChar w:fldCharType="begin"/>
      </w:r>
      <w:r>
        <w:instrText xml:space="preserve"> HYPERLINK "https://baike.baidu.com/item/%E9%94%90%E9%92%9B%E5%9E%8B%E9%92%9B%E7%99%BD%E7%B2%89" \t "_blank" </w:instrText>
      </w:r>
      <w:r>
        <w:fldChar w:fldCharType="separate"/>
      </w:r>
      <w:r>
        <w:t>锐钛型钛白粉</w:t>
      </w:r>
      <w:r>
        <w:fldChar w:fldCharType="end"/>
      </w:r>
      <w:r>
        <w:t>尤为明显，这一性质使钛白粉既是某些无机化合物的光敏氧化催化剂，又是某些有机化合物光敏还原催化剂</w:t>
      </w:r>
      <w:r>
        <w:rPr>
          <w:rFonts w:hint="eastAsia"/>
        </w:rPr>
        <w:t>。</w:t>
      </w:r>
    </w:p>
    <w:p>
      <w:pPr>
        <w:pStyle w:val="2"/>
        <w:spacing w:line="360" w:lineRule="auto"/>
        <w:ind w:firstLine="482" w:firstLineChars="200"/>
        <w:rPr>
          <w:rFonts w:asciiTheme="minorHAnsi" w:hAnsiTheme="minorHAnsi"/>
          <w:b/>
          <w:color w:val="auto"/>
        </w:rPr>
      </w:pPr>
      <w:r>
        <w:rPr>
          <w:rFonts w:hint="eastAsia" w:asciiTheme="minorHAnsi" w:hAnsiTheme="minorHAnsi"/>
          <w:b/>
          <w:color w:val="auto"/>
        </w:rPr>
        <w:t>（7）硫磺粉</w:t>
      </w:r>
    </w:p>
    <w:p>
      <w:pPr>
        <w:ind w:firstLine="480"/>
      </w:pPr>
      <w:r>
        <w:rPr>
          <w:rFonts w:hint="eastAsia"/>
        </w:rPr>
        <w:t>分子式为</w:t>
      </w:r>
      <w:r>
        <w:t>S</w:t>
      </w:r>
      <w:r>
        <w:rPr>
          <w:rFonts w:hint="eastAsia"/>
        </w:rPr>
        <w:t>，CAS编号为</w:t>
      </w:r>
      <w:r>
        <w:t>7704-34-9</w:t>
      </w:r>
      <w:r>
        <w:rPr>
          <w:rFonts w:hint="eastAsia"/>
        </w:rPr>
        <w:t>，淡黄色脆性结晶或粉末，有特殊臭味，不溶于水，微溶于乙醇、醚，易溶于二硫化碳。引燃温度为232℃，熔点为112℃，是一种硫化剂，用作在天然胶中，与硫黄配合，能防止硫化返原，改善耐热性，降低生热，耐老化，提高橡胶与帘子线粘合力和硫化胶模量。危险性类别：易燃固体，类别2。无显著毒性，可能刺激眼睛，引起呼吸困难，可能刺激皮肤。</w:t>
      </w:r>
    </w:p>
    <w:p>
      <w:pPr>
        <w:pStyle w:val="2"/>
        <w:spacing w:line="360" w:lineRule="auto"/>
        <w:ind w:firstLine="482" w:firstLineChars="200"/>
        <w:rPr>
          <w:rFonts w:asciiTheme="minorHAnsi" w:hAnsiTheme="minorHAnsi"/>
          <w:b/>
          <w:color w:val="auto"/>
        </w:rPr>
      </w:pPr>
      <w:r>
        <w:rPr>
          <w:rFonts w:hint="eastAsia" w:asciiTheme="minorHAnsi" w:hAnsiTheme="minorHAnsi"/>
          <w:b/>
          <w:color w:val="auto"/>
        </w:rPr>
        <w:t>（</w:t>
      </w:r>
      <w:r>
        <w:rPr>
          <w:rFonts w:asciiTheme="minorHAnsi" w:hAnsiTheme="minorHAnsi"/>
          <w:b/>
          <w:color w:val="auto"/>
        </w:rPr>
        <w:t>8</w:t>
      </w:r>
      <w:r>
        <w:rPr>
          <w:rFonts w:hint="eastAsia" w:asciiTheme="minorHAnsi" w:hAnsiTheme="minorHAnsi"/>
          <w:b/>
          <w:color w:val="auto"/>
        </w:rPr>
        <w:t>）</w:t>
      </w:r>
      <w:r>
        <w:rPr>
          <w:rFonts w:asciiTheme="minorHAnsi" w:hAnsiTheme="minorHAnsi"/>
          <w:b/>
          <w:color w:val="auto"/>
        </w:rPr>
        <w:t>白炭黑</w:t>
      </w:r>
    </w:p>
    <w:p>
      <w:pPr>
        <w:ind w:firstLine="420" w:firstLineChars="0"/>
      </w:pPr>
      <w:r>
        <w:t>白炭黑是白色</w:t>
      </w:r>
      <w:r>
        <w:fldChar w:fldCharType="begin"/>
      </w:r>
      <w:r>
        <w:instrText xml:space="preserve"> HYPERLINK "https://baike.baidu.com/item/%E7%B2%89%E6%9C%AB" \t "_blank" </w:instrText>
      </w:r>
      <w:r>
        <w:fldChar w:fldCharType="separate"/>
      </w:r>
      <w:r>
        <w:t>粉末</w:t>
      </w:r>
      <w:r>
        <w:fldChar w:fldCharType="end"/>
      </w:r>
      <w:r>
        <w:t>状X-射线无定形硅酸和</w:t>
      </w:r>
      <w:r>
        <w:fldChar w:fldCharType="begin"/>
      </w:r>
      <w:r>
        <w:instrText xml:space="preserve"> HYPERLINK "https://baike.baidu.com/item/%E7%A1%85%E9%85%B8%E7%9B%90/1529277" \t "_blank" </w:instrText>
      </w:r>
      <w:r>
        <w:fldChar w:fldCharType="separate"/>
      </w:r>
      <w:r>
        <w:t>硅酸盐</w:t>
      </w:r>
      <w:r>
        <w:fldChar w:fldCharType="end"/>
      </w:r>
      <w:r>
        <w:t>产品的总称，主要是指沉淀</w:t>
      </w:r>
      <w:r>
        <w:fldChar w:fldCharType="begin"/>
      </w:r>
      <w:r>
        <w:instrText xml:space="preserve"> HYPERLINK "https://baike.baidu.com/item/%E4%BA%8C%E6%B0%A7%E5%8C%96%E7%A1%85" \t "_blank" </w:instrText>
      </w:r>
      <w:r>
        <w:fldChar w:fldCharType="separate"/>
      </w:r>
      <w:r>
        <w:t>二氧化硅</w:t>
      </w:r>
      <w:r>
        <w:fldChar w:fldCharType="end"/>
      </w:r>
      <w:r>
        <w:t>、气相二氧化硅和超细二氧化硅凝胶，也包括粉末状合成硅酸铝和</w:t>
      </w:r>
      <w:r>
        <w:fldChar w:fldCharType="begin"/>
      </w:r>
      <w:r>
        <w:instrText xml:space="preserve"> HYPERLINK "https://baike.baidu.com/item/%E7%A1%85%E9%85%B8%E9%92%99/1854797" \t "_blank" </w:instrText>
      </w:r>
      <w:r>
        <w:fldChar w:fldCharType="separate"/>
      </w:r>
      <w:r>
        <w:t>硅酸钙</w:t>
      </w:r>
      <w:r>
        <w:fldChar w:fldCharType="end"/>
      </w:r>
      <w:r>
        <w:t>等。白炭黑是多孔性物质，其组成可用SiO2·nH2O表示，其中nH2O是以表面羟基的形式存在。能溶于苛性碱和</w:t>
      </w:r>
      <w:r>
        <w:fldChar w:fldCharType="begin"/>
      </w:r>
      <w:r>
        <w:instrText xml:space="preserve"> HYPERLINK "https://baike.baidu.com/item/%E6%B0%A2%E6%B0%9F%E9%85%B8/1135555" \t "_blank" </w:instrText>
      </w:r>
      <w:r>
        <w:fldChar w:fldCharType="separate"/>
      </w:r>
      <w:r>
        <w:t>氢氟酸</w:t>
      </w:r>
      <w:r>
        <w:fldChar w:fldCharType="end"/>
      </w:r>
      <w:r>
        <w:t>，不溶于水、溶剂和酸（氢氟酸除外）。耐高温、不燃、无味、无嗅、具有很好的电绝缘性</w:t>
      </w:r>
      <w:r>
        <w:rPr>
          <w:rFonts w:hint="eastAsia"/>
        </w:rPr>
        <w:t>。</w:t>
      </w:r>
      <w:r>
        <w:t>白色无定形絮状半透明固体胶状</w:t>
      </w:r>
      <w:r>
        <w:fldChar w:fldCharType="begin"/>
      </w:r>
      <w:r>
        <w:instrText xml:space="preserve"> HYPERLINK "https://baike.baidu.com/item/%E7%BA%B3%E7%B1%B3%E7%B2%92%E5%AD%90" \t "_blank" </w:instrText>
      </w:r>
      <w:r>
        <w:fldChar w:fldCharType="separate"/>
      </w:r>
      <w:r>
        <w:t>纳米粒子</w:t>
      </w:r>
      <w:r>
        <w:fldChar w:fldCharType="end"/>
      </w:r>
      <w:r>
        <w:t>（粒径小于100nm），无毒，有巨大的</w:t>
      </w:r>
      <w:r>
        <w:fldChar w:fldCharType="begin"/>
      </w:r>
      <w:r>
        <w:instrText xml:space="preserve"> HYPERLINK "https://baike.baidu.com/item/%E6%AF%94%E8%A1%A8%E9%9D%A2%E7%A7%AF" \t "_blank" </w:instrText>
      </w:r>
      <w:r>
        <w:fldChar w:fldCharType="separate"/>
      </w:r>
      <w:r>
        <w:t>比表面积</w:t>
      </w:r>
      <w:r>
        <w:fldChar w:fldCharType="end"/>
      </w:r>
      <w:r>
        <w:t>。沉淀白炭黑主要用作天然橡胶和</w:t>
      </w:r>
      <w:r>
        <w:fldChar w:fldCharType="begin"/>
      </w:r>
      <w:r>
        <w:instrText xml:space="preserve"> HYPERLINK "https://baike.baidu.com/item/%E5%90%88%E6%88%90%E6%A9%A1%E8%83%B6" \t "_blank" </w:instrText>
      </w:r>
      <w:r>
        <w:fldChar w:fldCharType="separate"/>
      </w:r>
      <w:r>
        <w:t>合成橡胶</w:t>
      </w:r>
      <w:r>
        <w:fldChar w:fldCharType="end"/>
      </w:r>
      <w:r>
        <w:t>的补强剂、</w:t>
      </w:r>
      <w:r>
        <w:fldChar w:fldCharType="begin"/>
      </w:r>
      <w:r>
        <w:instrText xml:space="preserve"> HYPERLINK "https://baike.baidu.com/item/%E7%89%99%E8%86%8F" \t "_blank" </w:instrText>
      </w:r>
      <w:r>
        <w:fldChar w:fldCharType="separate"/>
      </w:r>
      <w:r>
        <w:t>牙膏</w:t>
      </w:r>
      <w:r>
        <w:fldChar w:fldCharType="end"/>
      </w:r>
      <w:r>
        <w:t>摩擦剂等。</w:t>
      </w:r>
      <w:r>
        <w:fldChar w:fldCharType="begin"/>
      </w:r>
      <w:r>
        <w:instrText xml:space="preserve"> HYPERLINK "https://baike.baidu.com/item/%E6%B0%94%E7%9B%B8%E7%99%BD%E7%82%AD%E9%BB%91" \t "_blank" </w:instrText>
      </w:r>
      <w:r>
        <w:fldChar w:fldCharType="separate"/>
      </w:r>
      <w:r>
        <w:t>气相白炭黑</w:t>
      </w:r>
      <w:r>
        <w:fldChar w:fldCharType="end"/>
      </w:r>
      <w:r>
        <w:t>主要用作硅橡胶的补强剂、涂料和不饱和树脂增稠剂，超细二氧化硅凝胶和气凝胶主要用作</w:t>
      </w:r>
      <w:r>
        <w:fldChar w:fldCharType="begin"/>
      </w:r>
      <w:r>
        <w:instrText xml:space="preserve"> HYPERLINK "https://baike.baidu.com/item/%E6%B6%82%E6%96%99%E6%B6%88%E5%85%89%E5%89%82" \t "_blank" </w:instrText>
      </w:r>
      <w:r>
        <w:fldChar w:fldCharType="separate"/>
      </w:r>
      <w:r>
        <w:t>涂料消光剂</w:t>
      </w:r>
      <w:r>
        <w:fldChar w:fldCharType="end"/>
      </w:r>
      <w:r>
        <w:t>、增稠剂、塑料薄膜开口剂等。白炭黑作为一种环保、性能优异的助剂，主要用于</w:t>
      </w:r>
      <w:r>
        <w:fldChar w:fldCharType="begin"/>
      </w:r>
      <w:r>
        <w:instrText xml:space="preserve"> HYPERLINK "https://baike.baidu.com/item/%E6%A9%A1%E8%83%B6%E5%88%B6%E5%93%81" \t "_blank" </w:instrText>
      </w:r>
      <w:r>
        <w:fldChar w:fldCharType="separate"/>
      </w:r>
      <w:r>
        <w:t>橡胶制品</w:t>
      </w:r>
      <w:r>
        <w:fldChar w:fldCharType="end"/>
      </w:r>
      <w:r>
        <w:t>（包括高温硫化硅橡胶）、纺织、造纸、农药、食品添加剂领域</w:t>
      </w:r>
      <w:r>
        <w:rPr>
          <w:rFonts w:hint="eastAsia"/>
        </w:rPr>
        <w:t>。</w:t>
      </w:r>
    </w:p>
    <w:p>
      <w:pPr>
        <w:pStyle w:val="2"/>
        <w:spacing w:line="360" w:lineRule="auto"/>
        <w:ind w:firstLine="480" w:firstLineChars="200"/>
        <w:rPr>
          <w:rFonts w:asciiTheme="minorHAnsi" w:hAnsiTheme="minorHAnsi"/>
          <w:color w:val="auto"/>
        </w:rPr>
      </w:pPr>
    </w:p>
    <w:p>
      <w:pPr>
        <w:pStyle w:val="5"/>
      </w:pPr>
      <w:r>
        <w:t>主要</w:t>
      </w:r>
      <w:r>
        <w:rPr>
          <w:rFonts w:hint="eastAsia"/>
        </w:rPr>
        <w:t>生产设备</w:t>
      </w:r>
    </w:p>
    <w:p>
      <w:pPr>
        <w:ind w:firstLine="480"/>
        <w:rPr>
          <w:rFonts w:cs="Times New Roman" w:eastAsiaTheme="minorEastAsia"/>
          <w:szCs w:val="21"/>
        </w:rPr>
      </w:pPr>
      <w:r>
        <w:rPr>
          <w:rFonts w:eastAsiaTheme="minorEastAsia"/>
        </w:rPr>
        <w:t>本项目</w:t>
      </w:r>
      <w:r>
        <w:rPr>
          <w:rFonts w:eastAsiaTheme="minorEastAsia"/>
          <w:snapToGrid w:val="0"/>
        </w:rPr>
        <w:t>生产中所用的主要设备见</w:t>
      </w:r>
      <w:r>
        <w:rPr>
          <w:rFonts w:eastAsiaTheme="minorEastAsia"/>
          <w:snapToGrid w:val="0"/>
        </w:rPr>
        <w:fldChar w:fldCharType="begin"/>
      </w:r>
      <w:r>
        <w:rPr>
          <w:rFonts w:eastAsiaTheme="minorEastAsia"/>
          <w:snapToGrid w:val="0"/>
        </w:rPr>
        <w:instrText xml:space="preserve"> REF _Ref524596087 \h  \* MERGEFORMAT </w:instrText>
      </w:r>
      <w:r>
        <w:rPr>
          <w:rFonts w:eastAsiaTheme="minorEastAsia"/>
          <w:snapToGrid w:val="0"/>
        </w:rPr>
        <w:fldChar w:fldCharType="separate"/>
      </w:r>
      <w:r>
        <w:rPr>
          <w:rFonts w:hint="eastAsia" w:eastAsiaTheme="minorEastAsia"/>
        </w:rPr>
        <w:t xml:space="preserve">表 </w:t>
      </w:r>
      <w:r>
        <w:rPr>
          <w:rFonts w:eastAsiaTheme="minorEastAsia"/>
        </w:rPr>
        <w:t>2.2</w:t>
      </w:r>
      <w:r>
        <w:rPr>
          <w:rFonts w:eastAsiaTheme="minorEastAsia"/>
        </w:rPr>
        <w:noBreakHyphen/>
      </w:r>
      <w:r>
        <w:rPr>
          <w:rFonts w:eastAsiaTheme="minorEastAsia"/>
        </w:rPr>
        <w:t>2</w:t>
      </w:r>
      <w:r>
        <w:rPr>
          <w:rFonts w:eastAsiaTheme="minorEastAsia"/>
          <w:snapToGrid w:val="0"/>
        </w:rPr>
        <w:fldChar w:fldCharType="end"/>
      </w:r>
      <w:r>
        <w:rPr>
          <w:rFonts w:hint="eastAsia" w:eastAsiaTheme="minorEastAsia"/>
          <w:snapToGrid w:val="0"/>
        </w:rPr>
        <w:t>。</w:t>
      </w:r>
    </w:p>
    <w:p>
      <w:pPr>
        <w:pStyle w:val="18"/>
      </w:pPr>
      <w:bookmarkStart w:id="169" w:name="_Ref524596087"/>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bookmarkEnd w:id="169"/>
      <w:r>
        <w:t xml:space="preserve"> </w:t>
      </w:r>
      <w:r>
        <w:rPr>
          <w:rFonts w:hint="eastAsia"/>
        </w:rPr>
        <w:t>主要生产设备一览表</w:t>
      </w:r>
    </w:p>
    <w:tbl>
      <w:tblPr>
        <w:tblStyle w:val="56"/>
        <w:tblW w:w="904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13"/>
        <w:gridCol w:w="1354"/>
        <w:gridCol w:w="995"/>
        <w:gridCol w:w="1164"/>
        <w:gridCol w:w="1246"/>
        <w:gridCol w:w="1134"/>
        <w:gridCol w:w="253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613" w:type="dxa"/>
            <w:shd w:val="clear" w:color="auto" w:fill="D8D8D8" w:themeFill="background1" w:themeFillShade="D9"/>
            <w:vAlign w:val="center"/>
          </w:tcPr>
          <w:p>
            <w:pPr>
              <w:pStyle w:val="107"/>
              <w:rPr>
                <w:b/>
              </w:rPr>
            </w:pPr>
            <w:r>
              <w:rPr>
                <w:rFonts w:hint="eastAsia"/>
                <w:b/>
              </w:rPr>
              <w:t>序号</w:t>
            </w:r>
          </w:p>
        </w:tc>
        <w:tc>
          <w:tcPr>
            <w:tcW w:w="1354" w:type="dxa"/>
            <w:shd w:val="clear" w:color="auto" w:fill="D8D8D8" w:themeFill="background1" w:themeFillShade="D9"/>
            <w:vAlign w:val="center"/>
          </w:tcPr>
          <w:p>
            <w:pPr>
              <w:pStyle w:val="107"/>
              <w:rPr>
                <w:b/>
              </w:rPr>
            </w:pPr>
            <w:r>
              <w:rPr>
                <w:rFonts w:hint="eastAsia"/>
                <w:b/>
              </w:rPr>
              <w:t>名称</w:t>
            </w:r>
          </w:p>
        </w:tc>
        <w:tc>
          <w:tcPr>
            <w:tcW w:w="995" w:type="dxa"/>
            <w:shd w:val="clear" w:color="auto" w:fill="D8D8D8" w:themeFill="background1" w:themeFillShade="D9"/>
            <w:vAlign w:val="center"/>
          </w:tcPr>
          <w:p>
            <w:pPr>
              <w:pStyle w:val="107"/>
              <w:rPr>
                <w:b/>
              </w:rPr>
            </w:pPr>
            <w:r>
              <w:rPr>
                <w:rFonts w:hint="eastAsia"/>
                <w:b/>
              </w:rPr>
              <w:t>规格型号</w:t>
            </w:r>
          </w:p>
        </w:tc>
        <w:tc>
          <w:tcPr>
            <w:tcW w:w="1164" w:type="dxa"/>
            <w:shd w:val="clear" w:color="auto" w:fill="D8D8D8" w:themeFill="background1" w:themeFillShade="D9"/>
            <w:vAlign w:val="center"/>
          </w:tcPr>
          <w:p>
            <w:pPr>
              <w:pStyle w:val="107"/>
              <w:rPr>
                <w:b/>
              </w:rPr>
            </w:pPr>
            <w:r>
              <w:rPr>
                <w:rFonts w:hint="eastAsia"/>
                <w:b/>
              </w:rPr>
              <w:t>设备功率（</w:t>
            </w:r>
            <w:r>
              <w:rPr>
                <w:rFonts w:cs="Times New Roman"/>
                <w:b/>
                <w:sz w:val="22"/>
                <w:szCs w:val="22"/>
              </w:rPr>
              <w:t>kW</w:t>
            </w:r>
            <w:r>
              <w:rPr>
                <w:rFonts w:hint="eastAsia"/>
                <w:b/>
                <w:sz w:val="22"/>
                <w:szCs w:val="22"/>
              </w:rPr>
              <w:t>）</w:t>
            </w:r>
          </w:p>
        </w:tc>
        <w:tc>
          <w:tcPr>
            <w:tcW w:w="1246" w:type="dxa"/>
            <w:shd w:val="clear" w:color="auto" w:fill="D8D8D8" w:themeFill="background1" w:themeFillShade="D9"/>
            <w:vAlign w:val="center"/>
          </w:tcPr>
          <w:p>
            <w:pPr>
              <w:pStyle w:val="107"/>
              <w:rPr>
                <w:b/>
              </w:rPr>
            </w:pPr>
            <w:r>
              <w:rPr>
                <w:rFonts w:hint="eastAsia"/>
                <w:b/>
              </w:rPr>
              <w:t>数量（台</w:t>
            </w:r>
            <w:r>
              <w:rPr>
                <w:rFonts w:cs="Arial"/>
                <w:b/>
              </w:rPr>
              <w:t>/</w:t>
            </w:r>
            <w:r>
              <w:rPr>
                <w:rFonts w:hint="eastAsia"/>
                <w:b/>
              </w:rPr>
              <w:t>套）</w:t>
            </w:r>
          </w:p>
        </w:tc>
        <w:tc>
          <w:tcPr>
            <w:tcW w:w="1134" w:type="dxa"/>
            <w:shd w:val="clear" w:color="auto" w:fill="D8D8D8" w:themeFill="background1" w:themeFillShade="D9"/>
            <w:vAlign w:val="center"/>
          </w:tcPr>
          <w:p>
            <w:pPr>
              <w:pStyle w:val="107"/>
              <w:rPr>
                <w:b/>
              </w:rPr>
            </w:pPr>
            <w:r>
              <w:rPr>
                <w:rFonts w:hint="eastAsia"/>
                <w:b/>
              </w:rPr>
              <w:t>使用工序</w:t>
            </w:r>
          </w:p>
        </w:tc>
        <w:tc>
          <w:tcPr>
            <w:tcW w:w="2534" w:type="dxa"/>
            <w:shd w:val="clear" w:color="auto" w:fill="D8D8D8" w:themeFill="background1" w:themeFillShade="D9"/>
            <w:vAlign w:val="center"/>
          </w:tcPr>
          <w:p>
            <w:pPr>
              <w:pStyle w:val="107"/>
              <w:rPr>
                <w:b/>
              </w:rPr>
            </w:pPr>
            <w:r>
              <w:rPr>
                <w:rFonts w:hint="eastAsia"/>
                <w:b/>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pPr>
          </w:p>
        </w:tc>
        <w:tc>
          <w:tcPr>
            <w:tcW w:w="1354" w:type="dxa"/>
            <w:shd w:val="clear" w:color="auto" w:fill="auto"/>
            <w:vAlign w:val="center"/>
          </w:tcPr>
          <w:p>
            <w:pPr>
              <w:pStyle w:val="107"/>
              <w:rPr>
                <w:color w:val="000000"/>
                <w:sz w:val="22"/>
                <w:szCs w:val="22"/>
              </w:rPr>
            </w:pPr>
            <w:r>
              <w:rPr>
                <w:rFonts w:hint="eastAsia"/>
                <w:color w:val="000000"/>
                <w:sz w:val="22"/>
                <w:szCs w:val="22"/>
              </w:rPr>
              <w:t>密炼机</w:t>
            </w:r>
          </w:p>
        </w:tc>
        <w:tc>
          <w:tcPr>
            <w:tcW w:w="995" w:type="dxa"/>
            <w:shd w:val="clear" w:color="auto" w:fill="auto"/>
            <w:vAlign w:val="center"/>
          </w:tcPr>
          <w:p>
            <w:pPr>
              <w:pStyle w:val="107"/>
              <w:rPr>
                <w:rFonts w:cs="Times New Roman"/>
                <w:color w:val="000000"/>
                <w:sz w:val="22"/>
                <w:szCs w:val="22"/>
              </w:rPr>
            </w:pPr>
            <w:r>
              <w:rPr>
                <w:rFonts w:cs="Times New Roman"/>
                <w:color w:val="000000"/>
                <w:sz w:val="22"/>
                <w:szCs w:val="22"/>
              </w:rPr>
              <w:t>55L</w:t>
            </w:r>
          </w:p>
        </w:tc>
        <w:tc>
          <w:tcPr>
            <w:tcW w:w="1164" w:type="dxa"/>
            <w:shd w:val="clear" w:color="auto" w:fill="auto"/>
            <w:vAlign w:val="center"/>
          </w:tcPr>
          <w:p>
            <w:pPr>
              <w:pStyle w:val="107"/>
            </w:pPr>
            <w:r>
              <w:t>100</w:t>
            </w:r>
          </w:p>
        </w:tc>
        <w:tc>
          <w:tcPr>
            <w:tcW w:w="1246" w:type="dxa"/>
            <w:shd w:val="clear" w:color="auto" w:fill="auto"/>
            <w:vAlign w:val="center"/>
          </w:tcPr>
          <w:p>
            <w:pPr>
              <w:pStyle w:val="107"/>
            </w:pPr>
            <w:r>
              <w:t>1</w:t>
            </w:r>
          </w:p>
        </w:tc>
        <w:tc>
          <w:tcPr>
            <w:tcW w:w="1134" w:type="dxa"/>
            <w:vAlign w:val="center"/>
          </w:tcPr>
          <w:p>
            <w:pPr>
              <w:pStyle w:val="107"/>
            </w:pPr>
            <w:r>
              <w:rPr>
                <w:rFonts w:hint="eastAsia"/>
              </w:rPr>
              <w:t>密炼</w:t>
            </w:r>
          </w:p>
        </w:tc>
        <w:tc>
          <w:tcPr>
            <w:tcW w:w="2534" w:type="dxa"/>
            <w:vAlign w:val="center"/>
          </w:tcPr>
          <w:p>
            <w:pPr>
              <w:pStyle w:val="107"/>
            </w:pP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pPr>
          </w:p>
        </w:tc>
        <w:tc>
          <w:tcPr>
            <w:tcW w:w="1354" w:type="dxa"/>
            <w:shd w:val="clear" w:color="auto" w:fill="auto"/>
            <w:vAlign w:val="center"/>
          </w:tcPr>
          <w:p>
            <w:pPr>
              <w:pStyle w:val="107"/>
              <w:rPr>
                <w:color w:val="000000"/>
                <w:sz w:val="22"/>
                <w:szCs w:val="22"/>
              </w:rPr>
            </w:pPr>
            <w:r>
              <w:rPr>
                <w:rFonts w:hint="eastAsia"/>
                <w:color w:val="000000"/>
                <w:sz w:val="22"/>
                <w:szCs w:val="22"/>
              </w:rPr>
              <w:t>开炼机</w:t>
            </w:r>
          </w:p>
        </w:tc>
        <w:tc>
          <w:tcPr>
            <w:tcW w:w="995" w:type="dxa"/>
            <w:shd w:val="clear" w:color="auto" w:fill="auto"/>
            <w:vAlign w:val="center"/>
          </w:tcPr>
          <w:p>
            <w:pPr>
              <w:pStyle w:val="107"/>
              <w:rPr>
                <w:rFonts w:cs="Times New Roman"/>
                <w:color w:val="000000"/>
                <w:sz w:val="22"/>
                <w:szCs w:val="22"/>
              </w:rPr>
            </w:pPr>
            <w:r>
              <w:rPr>
                <w:rFonts w:cs="Times New Roman"/>
                <w:color w:val="000000"/>
                <w:sz w:val="22"/>
                <w:szCs w:val="22"/>
              </w:rPr>
              <w:t>/</w:t>
            </w:r>
          </w:p>
        </w:tc>
        <w:tc>
          <w:tcPr>
            <w:tcW w:w="1164" w:type="dxa"/>
            <w:shd w:val="clear" w:color="auto" w:fill="auto"/>
            <w:vAlign w:val="center"/>
          </w:tcPr>
          <w:p>
            <w:pPr>
              <w:pStyle w:val="107"/>
            </w:pPr>
            <w:r>
              <w:t>50</w:t>
            </w:r>
          </w:p>
        </w:tc>
        <w:tc>
          <w:tcPr>
            <w:tcW w:w="1246" w:type="dxa"/>
            <w:shd w:val="clear" w:color="auto" w:fill="auto"/>
            <w:vAlign w:val="center"/>
          </w:tcPr>
          <w:p>
            <w:pPr>
              <w:pStyle w:val="107"/>
            </w:pPr>
            <w:r>
              <w:t>2</w:t>
            </w:r>
          </w:p>
        </w:tc>
        <w:tc>
          <w:tcPr>
            <w:tcW w:w="1134" w:type="dxa"/>
            <w:vAlign w:val="center"/>
          </w:tcPr>
          <w:p>
            <w:pPr>
              <w:pStyle w:val="107"/>
            </w:pPr>
            <w:r>
              <w:rPr>
                <w:rFonts w:hint="eastAsia"/>
              </w:rPr>
              <w:t>开炼</w:t>
            </w:r>
          </w:p>
        </w:tc>
        <w:tc>
          <w:tcPr>
            <w:tcW w:w="2534" w:type="dxa"/>
            <w:vAlign w:val="center"/>
          </w:tcPr>
          <w:p>
            <w:pPr>
              <w:pStyle w:val="107"/>
            </w:pP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pPr>
          </w:p>
        </w:tc>
        <w:tc>
          <w:tcPr>
            <w:tcW w:w="1354" w:type="dxa"/>
            <w:shd w:val="clear" w:color="auto" w:fill="auto"/>
            <w:vAlign w:val="center"/>
          </w:tcPr>
          <w:p>
            <w:pPr>
              <w:pStyle w:val="107"/>
              <w:rPr>
                <w:color w:val="000000"/>
                <w:sz w:val="22"/>
                <w:szCs w:val="22"/>
              </w:rPr>
            </w:pPr>
            <w:r>
              <w:rPr>
                <w:rFonts w:hint="eastAsia"/>
                <w:color w:val="000000"/>
                <w:sz w:val="22"/>
                <w:szCs w:val="22"/>
              </w:rPr>
              <w:t>裁切机</w:t>
            </w:r>
          </w:p>
        </w:tc>
        <w:tc>
          <w:tcPr>
            <w:tcW w:w="995" w:type="dxa"/>
            <w:shd w:val="clear" w:color="auto" w:fill="auto"/>
            <w:vAlign w:val="center"/>
          </w:tcPr>
          <w:p>
            <w:pPr>
              <w:pStyle w:val="107"/>
              <w:rPr>
                <w:rFonts w:cs="Times New Roman"/>
                <w:color w:val="000000"/>
                <w:sz w:val="22"/>
                <w:szCs w:val="22"/>
              </w:rPr>
            </w:pPr>
            <w:r>
              <w:rPr>
                <w:rFonts w:cs="Times New Roman"/>
                <w:color w:val="000000"/>
                <w:sz w:val="22"/>
                <w:szCs w:val="22"/>
              </w:rPr>
              <w:t>/</w:t>
            </w:r>
          </w:p>
        </w:tc>
        <w:tc>
          <w:tcPr>
            <w:tcW w:w="1164" w:type="dxa"/>
            <w:shd w:val="clear" w:color="auto" w:fill="auto"/>
            <w:vAlign w:val="center"/>
          </w:tcPr>
          <w:p>
            <w:pPr>
              <w:pStyle w:val="107"/>
            </w:pPr>
            <w:r>
              <w:t>/</w:t>
            </w:r>
          </w:p>
        </w:tc>
        <w:tc>
          <w:tcPr>
            <w:tcW w:w="1246" w:type="dxa"/>
            <w:shd w:val="clear" w:color="auto" w:fill="auto"/>
            <w:vAlign w:val="center"/>
          </w:tcPr>
          <w:p>
            <w:pPr>
              <w:pStyle w:val="107"/>
            </w:pPr>
            <w:r>
              <w:t>1</w:t>
            </w:r>
          </w:p>
        </w:tc>
        <w:tc>
          <w:tcPr>
            <w:tcW w:w="1134" w:type="dxa"/>
            <w:vAlign w:val="center"/>
          </w:tcPr>
          <w:p>
            <w:pPr>
              <w:pStyle w:val="107"/>
            </w:pPr>
            <w:r>
              <w:rPr>
                <w:rFonts w:hint="eastAsia"/>
              </w:rPr>
              <w:t>分条</w:t>
            </w:r>
          </w:p>
        </w:tc>
        <w:tc>
          <w:tcPr>
            <w:tcW w:w="2534" w:type="dxa"/>
            <w:vAlign w:val="center"/>
          </w:tcPr>
          <w:p>
            <w:pPr>
              <w:pStyle w:val="107"/>
            </w:pPr>
            <w:r>
              <w:rPr>
                <w:rFonts w:hint="eastAsia"/>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pPr>
          </w:p>
        </w:tc>
        <w:tc>
          <w:tcPr>
            <w:tcW w:w="1354" w:type="dxa"/>
            <w:shd w:val="clear" w:color="auto" w:fill="auto"/>
            <w:vAlign w:val="center"/>
          </w:tcPr>
          <w:p>
            <w:pPr>
              <w:pStyle w:val="107"/>
              <w:rPr>
                <w:color w:val="000000"/>
                <w:sz w:val="22"/>
                <w:szCs w:val="22"/>
              </w:rPr>
            </w:pPr>
            <w:r>
              <w:rPr>
                <w:rFonts w:hint="eastAsia"/>
                <w:color w:val="000000"/>
                <w:sz w:val="22"/>
                <w:szCs w:val="22"/>
              </w:rPr>
              <w:t>硫化机</w:t>
            </w:r>
          </w:p>
        </w:tc>
        <w:tc>
          <w:tcPr>
            <w:tcW w:w="995" w:type="dxa"/>
            <w:shd w:val="clear" w:color="auto" w:fill="auto"/>
            <w:vAlign w:val="center"/>
          </w:tcPr>
          <w:p>
            <w:pPr>
              <w:pStyle w:val="107"/>
              <w:rPr>
                <w:rFonts w:cs="Times New Roman"/>
                <w:color w:val="000000"/>
                <w:sz w:val="22"/>
                <w:szCs w:val="22"/>
              </w:rPr>
            </w:pPr>
            <w:r>
              <w:rPr>
                <w:rFonts w:cs="Times New Roman"/>
                <w:color w:val="000000"/>
                <w:sz w:val="22"/>
                <w:szCs w:val="22"/>
              </w:rPr>
              <w:t>/</w:t>
            </w:r>
          </w:p>
        </w:tc>
        <w:tc>
          <w:tcPr>
            <w:tcW w:w="1164" w:type="dxa"/>
            <w:shd w:val="clear" w:color="auto" w:fill="auto"/>
            <w:vAlign w:val="center"/>
          </w:tcPr>
          <w:p>
            <w:pPr>
              <w:pStyle w:val="107"/>
              <w:rPr>
                <w:color w:val="000000"/>
                <w:sz w:val="22"/>
                <w:szCs w:val="22"/>
              </w:rPr>
            </w:pPr>
            <w:r>
              <w:rPr>
                <w:color w:val="000000"/>
                <w:sz w:val="22"/>
                <w:szCs w:val="22"/>
              </w:rPr>
              <w:t>15</w:t>
            </w:r>
          </w:p>
        </w:tc>
        <w:tc>
          <w:tcPr>
            <w:tcW w:w="1246" w:type="dxa"/>
            <w:shd w:val="clear" w:color="auto" w:fill="auto"/>
            <w:vAlign w:val="center"/>
          </w:tcPr>
          <w:p>
            <w:pPr>
              <w:pStyle w:val="107"/>
              <w:rPr>
                <w:color w:val="000000"/>
                <w:sz w:val="22"/>
                <w:szCs w:val="22"/>
              </w:rPr>
            </w:pPr>
            <w:r>
              <w:rPr>
                <w:color w:val="000000"/>
                <w:sz w:val="22"/>
                <w:szCs w:val="22"/>
              </w:rPr>
              <w:t>10</w:t>
            </w:r>
          </w:p>
        </w:tc>
        <w:tc>
          <w:tcPr>
            <w:tcW w:w="1134" w:type="dxa"/>
            <w:vAlign w:val="center"/>
          </w:tcPr>
          <w:p>
            <w:pPr>
              <w:pStyle w:val="107"/>
            </w:pPr>
            <w:r>
              <w:rPr>
                <w:rFonts w:hint="eastAsia"/>
              </w:rPr>
              <w:t>硫化</w:t>
            </w:r>
          </w:p>
        </w:tc>
        <w:tc>
          <w:tcPr>
            <w:tcW w:w="2534" w:type="dxa"/>
            <w:vAlign w:val="center"/>
          </w:tcPr>
          <w:p>
            <w:pPr>
              <w:pStyle w:val="107"/>
            </w:pPr>
            <w:r>
              <w:rPr>
                <w:rFonts w:hint="eastAsia"/>
              </w:rPr>
              <w:t xml:space="preserve">电加热至140℃左右；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pPr>
          </w:p>
        </w:tc>
        <w:tc>
          <w:tcPr>
            <w:tcW w:w="1354" w:type="dxa"/>
            <w:shd w:val="clear" w:color="auto" w:fill="auto"/>
            <w:vAlign w:val="center"/>
          </w:tcPr>
          <w:p>
            <w:pPr>
              <w:pStyle w:val="107"/>
              <w:rPr>
                <w:color w:val="000000"/>
                <w:sz w:val="22"/>
                <w:szCs w:val="22"/>
              </w:rPr>
            </w:pPr>
            <w:r>
              <w:rPr>
                <w:rFonts w:hint="eastAsia"/>
                <w:color w:val="000000"/>
                <w:sz w:val="22"/>
                <w:szCs w:val="22"/>
              </w:rPr>
              <w:t>空气压缩机</w:t>
            </w:r>
          </w:p>
        </w:tc>
        <w:tc>
          <w:tcPr>
            <w:tcW w:w="995" w:type="dxa"/>
            <w:shd w:val="clear" w:color="auto" w:fill="auto"/>
            <w:vAlign w:val="center"/>
          </w:tcPr>
          <w:p>
            <w:pPr>
              <w:pStyle w:val="107"/>
              <w:rPr>
                <w:rFonts w:cs="Times New Roman"/>
                <w:color w:val="000000"/>
                <w:sz w:val="22"/>
                <w:szCs w:val="22"/>
              </w:rPr>
            </w:pPr>
            <w:r>
              <w:rPr>
                <w:rFonts w:hint="eastAsia"/>
                <w:color w:val="000000"/>
              </w:rPr>
              <w:t>＜</w:t>
            </w:r>
            <w:r>
              <w:rPr>
                <w:rFonts w:cs="Times New Roman"/>
                <w:color w:val="000000"/>
              </w:rPr>
              <w:t>0.8MPa</w:t>
            </w:r>
            <w:r>
              <w:rPr>
                <w:rFonts w:cs="Times New Roman"/>
                <w:color w:val="000000"/>
                <w:sz w:val="22"/>
                <w:szCs w:val="22"/>
              </w:rPr>
              <w:t xml:space="preserve"> </w:t>
            </w:r>
          </w:p>
        </w:tc>
        <w:tc>
          <w:tcPr>
            <w:tcW w:w="1164" w:type="dxa"/>
            <w:shd w:val="clear" w:color="auto" w:fill="auto"/>
            <w:vAlign w:val="center"/>
          </w:tcPr>
          <w:p>
            <w:pPr>
              <w:pStyle w:val="107"/>
              <w:rPr>
                <w:color w:val="000000"/>
                <w:sz w:val="22"/>
                <w:szCs w:val="22"/>
              </w:rPr>
            </w:pPr>
            <w:r>
              <w:rPr>
                <w:color w:val="000000"/>
                <w:sz w:val="22"/>
                <w:szCs w:val="22"/>
              </w:rPr>
              <w:t>5</w:t>
            </w:r>
          </w:p>
        </w:tc>
        <w:tc>
          <w:tcPr>
            <w:tcW w:w="1246" w:type="dxa"/>
            <w:shd w:val="clear" w:color="auto" w:fill="auto"/>
            <w:vAlign w:val="center"/>
          </w:tcPr>
          <w:p>
            <w:pPr>
              <w:pStyle w:val="107"/>
              <w:rPr>
                <w:color w:val="000000"/>
                <w:sz w:val="22"/>
                <w:szCs w:val="22"/>
              </w:rPr>
            </w:pPr>
            <w:r>
              <w:rPr>
                <w:rFonts w:hint="eastAsia"/>
                <w:color w:val="000000"/>
                <w:sz w:val="22"/>
                <w:szCs w:val="22"/>
              </w:rPr>
              <w:t>1</w:t>
            </w:r>
          </w:p>
        </w:tc>
        <w:tc>
          <w:tcPr>
            <w:tcW w:w="1134" w:type="dxa"/>
            <w:vAlign w:val="center"/>
          </w:tcPr>
          <w:p>
            <w:pPr>
              <w:pStyle w:val="107"/>
            </w:pPr>
            <w:r>
              <w:rPr>
                <w:rFonts w:hint="eastAsia"/>
              </w:rPr>
              <w:t>密炼</w:t>
            </w:r>
          </w:p>
        </w:tc>
        <w:tc>
          <w:tcPr>
            <w:tcW w:w="2534" w:type="dxa"/>
            <w:vAlign w:val="center"/>
          </w:tcPr>
          <w:p>
            <w:pPr>
              <w:pStyle w:val="107"/>
            </w:pPr>
            <w:r>
              <w:rPr>
                <w:rFonts w:hint="eastAsia"/>
              </w:rPr>
              <w:t>为密炼机的压胶器提供操纵动力</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pPr>
          </w:p>
        </w:tc>
        <w:tc>
          <w:tcPr>
            <w:tcW w:w="1354" w:type="dxa"/>
            <w:shd w:val="clear" w:color="auto" w:fill="auto"/>
            <w:vAlign w:val="center"/>
          </w:tcPr>
          <w:p>
            <w:pPr>
              <w:pStyle w:val="107"/>
              <w:rPr>
                <w:color w:val="000000"/>
                <w:sz w:val="22"/>
                <w:szCs w:val="22"/>
              </w:rPr>
            </w:pPr>
            <w:r>
              <w:rPr>
                <w:rFonts w:hint="eastAsia"/>
                <w:color w:val="000000"/>
                <w:sz w:val="22"/>
                <w:szCs w:val="22"/>
              </w:rPr>
              <w:t>风机</w:t>
            </w:r>
          </w:p>
        </w:tc>
        <w:tc>
          <w:tcPr>
            <w:tcW w:w="995" w:type="dxa"/>
            <w:shd w:val="clear" w:color="auto" w:fill="auto"/>
            <w:vAlign w:val="center"/>
          </w:tcPr>
          <w:p>
            <w:pPr>
              <w:pStyle w:val="107"/>
              <w:rPr>
                <w:color w:val="000000"/>
              </w:rPr>
            </w:pPr>
            <w:r>
              <w:rPr>
                <w:rFonts w:cs="Times New Roman"/>
                <w:color w:val="000000"/>
                <w:sz w:val="22"/>
                <w:szCs w:val="22"/>
              </w:rPr>
              <w:t>/</w:t>
            </w:r>
          </w:p>
        </w:tc>
        <w:tc>
          <w:tcPr>
            <w:tcW w:w="1164" w:type="dxa"/>
            <w:shd w:val="clear" w:color="auto" w:fill="auto"/>
            <w:vAlign w:val="center"/>
          </w:tcPr>
          <w:p>
            <w:pPr>
              <w:pStyle w:val="107"/>
              <w:rPr>
                <w:color w:val="000000"/>
                <w:sz w:val="22"/>
                <w:szCs w:val="22"/>
              </w:rPr>
            </w:pPr>
            <w:r>
              <w:rPr>
                <w:color w:val="000000"/>
                <w:sz w:val="22"/>
                <w:szCs w:val="22"/>
              </w:rPr>
              <w:t>10</w:t>
            </w:r>
          </w:p>
        </w:tc>
        <w:tc>
          <w:tcPr>
            <w:tcW w:w="1246" w:type="dxa"/>
            <w:shd w:val="clear" w:color="auto" w:fill="auto"/>
            <w:vAlign w:val="center"/>
          </w:tcPr>
          <w:p>
            <w:pPr>
              <w:pStyle w:val="107"/>
              <w:rPr>
                <w:color w:val="000000"/>
                <w:sz w:val="22"/>
                <w:szCs w:val="22"/>
              </w:rPr>
            </w:pPr>
            <w:r>
              <w:rPr>
                <w:color w:val="000000"/>
                <w:sz w:val="22"/>
                <w:szCs w:val="22"/>
              </w:rPr>
              <w:t>3</w:t>
            </w:r>
          </w:p>
        </w:tc>
        <w:tc>
          <w:tcPr>
            <w:tcW w:w="1134" w:type="dxa"/>
            <w:vAlign w:val="center"/>
          </w:tcPr>
          <w:p>
            <w:pPr>
              <w:pStyle w:val="107"/>
            </w:pPr>
            <w:r>
              <w:rPr>
                <w:rFonts w:hint="eastAsia"/>
              </w:rPr>
              <w:t>废气治理</w:t>
            </w:r>
          </w:p>
        </w:tc>
        <w:tc>
          <w:tcPr>
            <w:tcW w:w="2534" w:type="dxa"/>
            <w:vAlign w:val="center"/>
          </w:tcPr>
          <w:p>
            <w:pPr>
              <w:pStyle w:val="107"/>
            </w:pPr>
            <w:r>
              <w:rPr>
                <w:rFonts w:hint="eastAsia"/>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pPr>
          </w:p>
        </w:tc>
        <w:tc>
          <w:tcPr>
            <w:tcW w:w="1354" w:type="dxa"/>
            <w:vAlign w:val="center"/>
          </w:tcPr>
          <w:p>
            <w:pPr>
              <w:pStyle w:val="107"/>
              <w:rPr>
                <w:color w:val="000000"/>
                <w:sz w:val="22"/>
                <w:szCs w:val="22"/>
              </w:rPr>
            </w:pPr>
            <w:r>
              <w:rPr>
                <w:rFonts w:hint="eastAsia"/>
                <w:color w:val="000000"/>
                <w:sz w:val="22"/>
                <w:szCs w:val="22"/>
              </w:rPr>
              <w:t>水泵</w:t>
            </w:r>
          </w:p>
        </w:tc>
        <w:tc>
          <w:tcPr>
            <w:tcW w:w="995" w:type="dxa"/>
            <w:shd w:val="clear" w:color="auto" w:fill="auto"/>
            <w:vAlign w:val="center"/>
          </w:tcPr>
          <w:p>
            <w:pPr>
              <w:pStyle w:val="107"/>
              <w:rPr>
                <w:rFonts w:cs="Times New Roman"/>
                <w:color w:val="000000"/>
                <w:sz w:val="22"/>
                <w:szCs w:val="22"/>
              </w:rPr>
            </w:pPr>
            <w:r>
              <w:rPr>
                <w:rFonts w:cs="Times New Roman"/>
                <w:color w:val="000000"/>
                <w:sz w:val="22"/>
                <w:szCs w:val="22"/>
              </w:rPr>
              <w:t>/</w:t>
            </w:r>
          </w:p>
        </w:tc>
        <w:tc>
          <w:tcPr>
            <w:tcW w:w="1164" w:type="dxa"/>
            <w:shd w:val="clear" w:color="auto" w:fill="auto"/>
            <w:vAlign w:val="center"/>
          </w:tcPr>
          <w:p>
            <w:pPr>
              <w:pStyle w:val="107"/>
              <w:rPr>
                <w:color w:val="000000"/>
                <w:sz w:val="22"/>
                <w:szCs w:val="22"/>
              </w:rPr>
            </w:pPr>
            <w:r>
              <w:rPr>
                <w:color w:val="000000"/>
                <w:sz w:val="22"/>
                <w:szCs w:val="22"/>
              </w:rPr>
              <w:t>5</w:t>
            </w:r>
          </w:p>
        </w:tc>
        <w:tc>
          <w:tcPr>
            <w:tcW w:w="1246" w:type="dxa"/>
            <w:shd w:val="clear" w:color="auto" w:fill="auto"/>
            <w:vAlign w:val="center"/>
          </w:tcPr>
          <w:p>
            <w:pPr>
              <w:pStyle w:val="107"/>
              <w:rPr>
                <w:color w:val="000000"/>
                <w:sz w:val="22"/>
                <w:szCs w:val="22"/>
              </w:rPr>
            </w:pPr>
            <w:r>
              <w:rPr>
                <w:color w:val="000000"/>
                <w:sz w:val="22"/>
                <w:szCs w:val="22"/>
              </w:rPr>
              <w:t>3</w:t>
            </w:r>
          </w:p>
        </w:tc>
        <w:tc>
          <w:tcPr>
            <w:tcW w:w="1134" w:type="dxa"/>
            <w:vAlign w:val="center"/>
          </w:tcPr>
          <w:p>
            <w:pPr>
              <w:pStyle w:val="107"/>
            </w:pPr>
            <w:r>
              <w:rPr>
                <w:rFonts w:hint="eastAsia"/>
              </w:rPr>
              <w:t>开炼、密炼间接冷却</w:t>
            </w:r>
          </w:p>
        </w:tc>
        <w:tc>
          <w:tcPr>
            <w:tcW w:w="2534" w:type="dxa"/>
            <w:vAlign w:val="center"/>
          </w:tcPr>
          <w:p>
            <w:pPr>
              <w:pStyle w:val="107"/>
            </w:pPr>
            <w:r>
              <w:rPr>
                <w:rFonts w:hint="eastAsia"/>
              </w:rPr>
              <w:t>每台循环水量2</w:t>
            </w:r>
            <w:r>
              <w:t>.</w:t>
            </w:r>
            <w:r>
              <w:rPr>
                <w:rFonts w:hint="eastAsia"/>
              </w:rPr>
              <w:t>5m</w:t>
            </w:r>
            <w:r>
              <w:rPr>
                <w:rFonts w:hint="eastAsia"/>
                <w:vertAlign w:val="superscript"/>
              </w:rPr>
              <w:t>3</w:t>
            </w:r>
            <w:r>
              <w:rPr>
                <w:rFonts w:hint="eastAsia"/>
              </w:rPr>
              <w:t>/h，与炼胶设备一一对应</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trPr>
        <w:tc>
          <w:tcPr>
            <w:tcW w:w="613" w:type="dxa"/>
            <w:vAlign w:val="center"/>
          </w:tcPr>
          <w:p>
            <w:pPr>
              <w:pStyle w:val="107"/>
              <w:numPr>
                <w:ilvl w:val="0"/>
                <w:numId w:val="16"/>
              </w:numPr>
            </w:pPr>
          </w:p>
        </w:tc>
        <w:tc>
          <w:tcPr>
            <w:tcW w:w="1354" w:type="dxa"/>
            <w:vAlign w:val="center"/>
          </w:tcPr>
          <w:p>
            <w:pPr>
              <w:pStyle w:val="107"/>
              <w:rPr>
                <w:color w:val="000000"/>
                <w:sz w:val="22"/>
                <w:szCs w:val="22"/>
              </w:rPr>
            </w:pPr>
            <w:r>
              <w:rPr>
                <w:rFonts w:hint="eastAsia"/>
                <w:color w:val="000000"/>
                <w:sz w:val="22"/>
                <w:szCs w:val="22"/>
              </w:rPr>
              <w:t>抛丸机</w:t>
            </w:r>
          </w:p>
        </w:tc>
        <w:tc>
          <w:tcPr>
            <w:tcW w:w="995" w:type="dxa"/>
            <w:shd w:val="clear" w:color="auto" w:fill="auto"/>
            <w:vAlign w:val="center"/>
          </w:tcPr>
          <w:p>
            <w:pPr>
              <w:pStyle w:val="107"/>
              <w:rPr>
                <w:rFonts w:cs="Times New Roman"/>
                <w:color w:val="000000"/>
                <w:sz w:val="22"/>
                <w:szCs w:val="22"/>
              </w:rPr>
            </w:pPr>
            <w:r>
              <w:rPr>
                <w:rFonts w:hint="eastAsia" w:cs="Times New Roman"/>
                <w:color w:val="000000"/>
                <w:sz w:val="22"/>
                <w:szCs w:val="22"/>
              </w:rPr>
              <w:t>/</w:t>
            </w:r>
          </w:p>
        </w:tc>
        <w:tc>
          <w:tcPr>
            <w:tcW w:w="1164" w:type="dxa"/>
            <w:shd w:val="clear" w:color="auto" w:fill="auto"/>
            <w:vAlign w:val="center"/>
          </w:tcPr>
          <w:p>
            <w:pPr>
              <w:pStyle w:val="107"/>
              <w:rPr>
                <w:color w:val="000000"/>
                <w:sz w:val="22"/>
                <w:szCs w:val="22"/>
              </w:rPr>
            </w:pPr>
            <w:r>
              <w:rPr>
                <w:rFonts w:hint="eastAsia"/>
                <w:color w:val="000000"/>
                <w:sz w:val="22"/>
                <w:szCs w:val="22"/>
              </w:rPr>
              <w:t>/</w:t>
            </w:r>
          </w:p>
        </w:tc>
        <w:tc>
          <w:tcPr>
            <w:tcW w:w="1246" w:type="dxa"/>
            <w:shd w:val="clear" w:color="auto" w:fill="auto"/>
            <w:vAlign w:val="center"/>
          </w:tcPr>
          <w:p>
            <w:pPr>
              <w:pStyle w:val="107"/>
              <w:rPr>
                <w:color w:val="000000"/>
                <w:sz w:val="22"/>
                <w:szCs w:val="22"/>
              </w:rPr>
            </w:pPr>
            <w:r>
              <w:rPr>
                <w:rFonts w:hint="eastAsia"/>
                <w:color w:val="000000"/>
                <w:sz w:val="22"/>
                <w:szCs w:val="22"/>
              </w:rPr>
              <w:t>1</w:t>
            </w:r>
          </w:p>
        </w:tc>
        <w:tc>
          <w:tcPr>
            <w:tcW w:w="1134" w:type="dxa"/>
            <w:vAlign w:val="center"/>
          </w:tcPr>
          <w:p>
            <w:pPr>
              <w:pStyle w:val="107"/>
            </w:pPr>
            <w:r>
              <w:rPr>
                <w:rFonts w:hint="eastAsia"/>
              </w:rPr>
              <w:t>抛丸</w:t>
            </w:r>
          </w:p>
        </w:tc>
        <w:tc>
          <w:tcPr>
            <w:tcW w:w="2534" w:type="dxa"/>
            <w:vAlign w:val="center"/>
          </w:tcPr>
          <w:p>
            <w:pPr>
              <w:pStyle w:val="107"/>
            </w:pPr>
            <w:r>
              <w:rPr>
                <w:rFonts w:hint="eastAsia"/>
              </w:rPr>
              <w:t>用于配件铁芯抛丸</w:t>
            </w:r>
          </w:p>
        </w:tc>
      </w:tr>
    </w:tbl>
    <w:p>
      <w:pPr>
        <w:pStyle w:val="4"/>
        <w:rPr>
          <w:rStyle w:val="63"/>
          <w:color w:val="000000" w:themeColor="text1"/>
          <w14:textFill>
            <w14:solidFill>
              <w14:schemeClr w14:val="tx1"/>
            </w14:solidFill>
          </w14:textFill>
        </w:rPr>
      </w:pPr>
      <w:bookmarkStart w:id="170" w:name="_Toc3538780"/>
      <w:bookmarkStart w:id="171" w:name="_Hlk3497820"/>
      <w:r>
        <w:rPr>
          <w:rStyle w:val="63"/>
          <w:rFonts w:hint="eastAsia"/>
          <w:color w:val="000000" w:themeColor="text1"/>
          <w14:textFill>
            <w14:solidFill>
              <w14:schemeClr w14:val="tx1"/>
            </w14:solidFill>
          </w14:textFill>
        </w:rPr>
        <w:t>储运工程</w:t>
      </w:r>
      <w:bookmarkEnd w:id="170"/>
    </w:p>
    <w:bookmarkEnd w:id="171"/>
    <w:p>
      <w:pPr>
        <w:pStyle w:val="99"/>
        <w:numPr>
          <w:ilvl w:val="0"/>
          <w:numId w:val="17"/>
        </w:numPr>
        <w:ind w:firstLineChars="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仓储设施</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项目原料储运情况详见</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REF _Ref523656069 \h</w:instrText>
      </w:r>
      <w:r>
        <w:rPr>
          <w:rStyle w:val="63"/>
          <w:color w:val="000000" w:themeColor="text1"/>
          <w14:textFill>
            <w14:solidFill>
              <w14:schemeClr w14:val="tx1"/>
            </w14:solidFill>
          </w14:textFill>
        </w:rPr>
        <w:instrText xml:space="preserve">  \* MERGEFORMAT </w:instrText>
      </w:r>
      <w:r>
        <w:rPr>
          <w:rStyle w:val="63"/>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t>2.2</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1</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t>。</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在厂房设有原料仓库、化学品仓库、成品仓库。其中原料仓库用于橡胶等原辅材料的储存，布置在裁切车间和硫化车间之间，用于存放生产用原辅材料，方便配料及密炼；化学品仓库用于存放硫磺粉等危险化学品；成品仓库位于厂区的东面位置，且靠近出入口，方便产品运出厂外，用于产品的包装和成品的储存。</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对于硫磺粉等危险化学品的运输和仓储，必须严格按《危险化学品安全管理条例》（国务院令第591号，2</w:t>
      </w:r>
      <w:r>
        <w:rPr>
          <w:rStyle w:val="63"/>
          <w:color w:val="000000" w:themeColor="text1"/>
          <w14:textFill>
            <w14:solidFill>
              <w14:schemeClr w14:val="tx1"/>
            </w14:solidFill>
          </w14:textFill>
        </w:rPr>
        <w:t>013</w:t>
      </w:r>
      <w:r>
        <w:rPr>
          <w:rStyle w:val="63"/>
          <w:rFonts w:hint="eastAsia"/>
          <w:color w:val="000000" w:themeColor="text1"/>
          <w14:textFill>
            <w14:solidFill>
              <w14:schemeClr w14:val="tx1"/>
            </w14:solidFill>
          </w14:textFill>
        </w:rPr>
        <w:t>年修正本）的要求进行。</w:t>
      </w:r>
    </w:p>
    <w:p>
      <w:pPr>
        <w:pStyle w:val="99"/>
        <w:numPr>
          <w:ilvl w:val="0"/>
          <w:numId w:val="17"/>
        </w:numPr>
        <w:ind w:firstLineChars="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危险废物</w:t>
      </w:r>
      <w:r>
        <w:rPr>
          <w:rStyle w:val="63"/>
          <w:color w:val="000000" w:themeColor="text1"/>
          <w14:textFill>
            <w14:solidFill>
              <w14:schemeClr w14:val="tx1"/>
            </w14:solidFill>
          </w14:textFill>
        </w:rPr>
        <w:t>暂存区</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危险废物</w:t>
      </w:r>
      <w:r>
        <w:rPr>
          <w:rStyle w:val="63"/>
          <w:color w:val="000000" w:themeColor="text1"/>
          <w14:textFill>
            <w14:solidFill>
              <w14:schemeClr w14:val="tx1"/>
            </w14:solidFill>
          </w14:textFill>
        </w:rPr>
        <w:t>暂存</w:t>
      </w:r>
      <w:r>
        <w:rPr>
          <w:rStyle w:val="63"/>
          <w:rFonts w:hint="eastAsia"/>
          <w:color w:val="000000" w:themeColor="text1"/>
          <w14:textFill>
            <w14:solidFill>
              <w14:schemeClr w14:val="tx1"/>
            </w14:solidFill>
          </w14:textFill>
        </w:rPr>
        <w:t>仓库</w:t>
      </w:r>
      <w:r>
        <w:rPr>
          <w:rStyle w:val="63"/>
          <w:color w:val="000000" w:themeColor="text1"/>
          <w14:textFill>
            <w14:solidFill>
              <w14:schemeClr w14:val="tx1"/>
            </w14:solidFill>
          </w14:textFill>
        </w:rPr>
        <w:t>位于</w:t>
      </w:r>
      <w:r>
        <w:rPr>
          <w:rStyle w:val="63"/>
          <w:rFonts w:hint="eastAsia"/>
          <w:color w:val="000000" w:themeColor="text1"/>
          <w14:textFill>
            <w14:solidFill>
              <w14:schemeClr w14:val="tx1"/>
            </w14:solidFill>
          </w14:textFill>
        </w:rPr>
        <w:t>包装车间的东北角</w:t>
      </w:r>
      <w:r>
        <w:rPr>
          <w:rStyle w:val="63"/>
          <w:color w:val="000000" w:themeColor="text1"/>
          <w14:textFill>
            <w14:solidFill>
              <w14:schemeClr w14:val="tx1"/>
            </w14:solidFill>
          </w14:textFill>
        </w:rPr>
        <w:t>，</w:t>
      </w:r>
      <w:r>
        <w:rPr>
          <w:rStyle w:val="63"/>
          <w:rFonts w:hint="eastAsia"/>
          <w:color w:val="000000" w:themeColor="text1"/>
          <w14:textFill>
            <w14:solidFill>
              <w14:schemeClr w14:val="tx1"/>
            </w14:solidFill>
          </w14:textFill>
        </w:rPr>
        <w:t>面积约</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0m</w:t>
      </w:r>
      <w:r>
        <w:rPr>
          <w:rStyle w:val="63"/>
          <w:rFonts w:hint="eastAsia"/>
          <w:color w:val="000000" w:themeColor="text1"/>
          <w:vertAlign w:val="superscript"/>
          <w14:textFill>
            <w14:solidFill>
              <w14:schemeClr w14:val="tx1"/>
            </w14:solidFill>
          </w14:textFill>
        </w:rPr>
        <w:t>2</w:t>
      </w:r>
      <w:r>
        <w:rPr>
          <w:rStyle w:val="63"/>
          <w:rFonts w:hint="eastAsia"/>
          <w:color w:val="000000" w:themeColor="text1"/>
          <w14:textFill>
            <w14:solidFill>
              <w14:schemeClr w14:val="tx1"/>
            </w14:solidFill>
          </w14:textFill>
        </w:rPr>
        <w:t>，</w:t>
      </w:r>
      <w:r>
        <w:rPr>
          <w:rStyle w:val="63"/>
          <w:color w:val="000000" w:themeColor="text1"/>
          <w14:textFill>
            <w14:solidFill>
              <w14:schemeClr w14:val="tx1"/>
            </w14:solidFill>
          </w14:textFill>
        </w:rPr>
        <w:t>用于</w:t>
      </w:r>
      <w:r>
        <w:rPr>
          <w:rStyle w:val="63"/>
          <w:rFonts w:hint="eastAsia"/>
          <w:color w:val="000000" w:themeColor="text1"/>
          <w14:textFill>
            <w14:solidFill>
              <w14:schemeClr w14:val="tx1"/>
            </w14:solidFill>
          </w14:textFill>
        </w:rPr>
        <w:t>储存废气治理过程中产生的废饱和活性炭以及设备维修过程中产生的废润滑油、含油废抹布</w:t>
      </w:r>
      <w:r>
        <w:rPr>
          <w:rStyle w:val="63"/>
          <w:color w:val="000000" w:themeColor="text1"/>
          <w14:textFill>
            <w14:solidFill>
              <w14:schemeClr w14:val="tx1"/>
            </w14:solidFill>
          </w14:textFill>
        </w:rPr>
        <w:t>。危废暂存区</w:t>
      </w:r>
      <w:r>
        <w:rPr>
          <w:rStyle w:val="63"/>
          <w:rFonts w:hint="eastAsia"/>
          <w:color w:val="000000" w:themeColor="text1"/>
          <w14:textFill>
            <w14:solidFill>
              <w14:schemeClr w14:val="tx1"/>
            </w14:solidFill>
          </w14:textFill>
        </w:rPr>
        <w:t>地面应采取防腐防渗处理，四周设高20cm围堰。</w:t>
      </w:r>
    </w:p>
    <w:p>
      <w:pPr>
        <w:ind w:firstLine="480"/>
        <w:rPr>
          <w:rStyle w:val="63"/>
          <w:color w:val="000000" w:themeColor="text1"/>
          <w14:textFill>
            <w14:solidFill>
              <w14:schemeClr w14:val="tx1"/>
            </w14:solidFill>
          </w14:textFill>
        </w:rPr>
      </w:pPr>
      <w:r>
        <w:rPr>
          <w:rStyle w:val="63"/>
          <w:color w:val="000000" w:themeColor="text1"/>
          <w14:textFill>
            <w14:solidFill>
              <w14:schemeClr w14:val="tx1"/>
            </w14:solidFill>
          </w14:textFill>
        </w:rPr>
        <w:t>危险废物贮存</w:t>
      </w:r>
      <w:r>
        <w:rPr>
          <w:rStyle w:val="63"/>
          <w:rFonts w:hint="eastAsia"/>
          <w:color w:val="000000" w:themeColor="text1"/>
          <w14:textFill>
            <w14:solidFill>
              <w14:schemeClr w14:val="tx1"/>
            </w14:solidFill>
          </w14:textFill>
        </w:rPr>
        <w:t>运输必须严格</w:t>
      </w:r>
      <w:r>
        <w:rPr>
          <w:rStyle w:val="63"/>
          <w:color w:val="000000" w:themeColor="text1"/>
          <w14:textFill>
            <w14:solidFill>
              <w14:schemeClr w14:val="tx1"/>
            </w14:solidFill>
          </w14:textFill>
        </w:rPr>
        <w:t>按照《国家危险废物名录》（2016年版）要求管理，</w:t>
      </w:r>
      <w:r>
        <w:rPr>
          <w:rStyle w:val="63"/>
          <w:rFonts w:hint="eastAsia"/>
          <w:color w:val="000000" w:themeColor="text1"/>
          <w14:textFill>
            <w14:solidFill>
              <w14:schemeClr w14:val="tx1"/>
            </w14:solidFill>
          </w14:textFill>
        </w:rPr>
        <w:t>并</w:t>
      </w:r>
      <w:r>
        <w:rPr>
          <w:rStyle w:val="63"/>
          <w:color w:val="000000" w:themeColor="text1"/>
          <w14:textFill>
            <w14:solidFill>
              <w14:schemeClr w14:val="tx1"/>
            </w14:solidFill>
          </w14:textFill>
        </w:rPr>
        <w:t>符合《危险废物贮存污染控制标准</w:t>
      </w:r>
      <w:r>
        <w:rPr>
          <w:rStyle w:val="63"/>
          <w:rFonts w:hint="eastAsia"/>
          <w:color w:val="000000" w:themeColor="text1"/>
          <w14:textFill>
            <w14:solidFill>
              <w14:schemeClr w14:val="tx1"/>
            </w14:solidFill>
          </w14:textFill>
        </w:rPr>
        <w:t>》（GB</w:t>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18597－2001）及2013年修改单</w:t>
      </w:r>
      <w:r>
        <w:rPr>
          <w:rStyle w:val="63"/>
          <w:color w:val="000000" w:themeColor="text1"/>
          <w14:textFill>
            <w14:solidFill>
              <w14:schemeClr w14:val="tx1"/>
            </w14:solidFill>
          </w14:textFill>
        </w:rPr>
        <w:t>要求。</w:t>
      </w:r>
      <w:r>
        <w:rPr>
          <w:rStyle w:val="63"/>
          <w:rFonts w:hint="eastAsia"/>
          <w:color w:val="000000" w:themeColor="text1"/>
          <w14:textFill>
            <w14:solidFill>
              <w14:schemeClr w14:val="tx1"/>
            </w14:solidFill>
          </w14:textFill>
        </w:rPr>
        <w:t>有关要求详见</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REF _Ref3537420 \n \h</w:instrText>
      </w:r>
      <w:r>
        <w:rPr>
          <w:rStyle w:val="63"/>
          <w:color w:val="000000" w:themeColor="text1"/>
          <w14:textFill>
            <w14:solidFill>
              <w14:schemeClr w14:val="tx1"/>
            </w14:solidFill>
          </w14:textFill>
        </w:rPr>
        <w:instrText xml:space="preserve">  \* MERGEFORMAT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4.6</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小节和</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REF _Ref3537430 \n \h  \* MERGEFORMAT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5.4</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小节。</w:t>
      </w:r>
    </w:p>
    <w:p>
      <w:pPr>
        <w:pStyle w:val="4"/>
      </w:pPr>
      <w:bookmarkStart w:id="172" w:name="_Toc3538781"/>
      <w:r>
        <w:t>公用</w:t>
      </w:r>
      <w:r>
        <w:rPr>
          <w:rFonts w:hint="eastAsia"/>
        </w:rPr>
        <w:t>及辅助</w:t>
      </w:r>
      <w:r>
        <w:t>工程</w:t>
      </w:r>
      <w:bookmarkEnd w:id="172"/>
    </w:p>
    <w:p>
      <w:pPr>
        <w:pStyle w:val="5"/>
      </w:pPr>
      <w:bookmarkStart w:id="173" w:name="_Hlk3497854"/>
      <w:r>
        <w:rPr>
          <w:rFonts w:hint="eastAsia"/>
        </w:rPr>
        <w:t>给排水</w:t>
      </w:r>
    </w:p>
    <w:bookmarkEnd w:id="173"/>
    <w:p>
      <w:pPr>
        <w:pStyle w:val="102"/>
        <w:numPr>
          <w:ilvl w:val="0"/>
          <w:numId w:val="18"/>
        </w:numPr>
        <w:ind w:firstLine="480"/>
        <w:rPr>
          <w:rFonts w:asciiTheme="minorHAnsi" w:hAnsiTheme="minorHAnsi" w:eastAsiaTheme="minorEastAsia"/>
        </w:rPr>
      </w:pPr>
      <w:r>
        <w:rPr>
          <w:rFonts w:hint="eastAsia" w:asciiTheme="minorHAnsi" w:hAnsiTheme="minorHAnsi" w:eastAsiaTheme="minorEastAsia"/>
        </w:rPr>
        <w:t>给水</w:t>
      </w:r>
    </w:p>
    <w:p>
      <w:pPr>
        <w:snapToGrid w:val="0"/>
        <w:ind w:firstLine="480"/>
        <w:rPr>
          <w:rFonts w:eastAsiaTheme="minorEastAsia"/>
        </w:rPr>
      </w:pPr>
      <w:r>
        <w:rPr>
          <w:rFonts w:eastAsiaTheme="minorEastAsia"/>
        </w:rPr>
        <w:t>项目</w:t>
      </w:r>
      <w:r>
        <w:rPr>
          <w:rFonts w:hint="eastAsia" w:eastAsiaTheme="minorEastAsia"/>
        </w:rPr>
        <w:t>用水由</w:t>
      </w:r>
      <w:r>
        <w:rPr>
          <w:rFonts w:eastAsiaTheme="minorEastAsia"/>
        </w:rPr>
        <w:t>市政自来水供水管网</w:t>
      </w:r>
      <w:r>
        <w:rPr>
          <w:rFonts w:hint="eastAsia" w:eastAsiaTheme="minorEastAsia"/>
        </w:rPr>
        <w:t>供给，项目用水包括循环冷却用水、员工办公生活用水等，总用水量为</w:t>
      </w:r>
      <w:r>
        <w:rPr>
          <w:rFonts w:eastAsiaTheme="minorEastAsia"/>
        </w:rPr>
        <w:t>746m</w:t>
      </w:r>
      <w:r>
        <w:rPr>
          <w:rFonts w:eastAsiaTheme="minorEastAsia"/>
          <w:vertAlign w:val="superscript"/>
        </w:rPr>
        <w:t>3</w:t>
      </w:r>
      <w:r>
        <w:rPr>
          <w:rFonts w:hint="eastAsia" w:eastAsiaTheme="minorEastAsia"/>
        </w:rPr>
        <w:t>/a，具体用量如下：</w:t>
      </w:r>
    </w:p>
    <w:p>
      <w:pPr>
        <w:pStyle w:val="99"/>
        <w:numPr>
          <w:ilvl w:val="0"/>
          <w:numId w:val="19"/>
        </w:numPr>
        <w:snapToGrid w:val="0"/>
        <w:ind w:firstLineChars="0"/>
        <w:rPr>
          <w:rFonts w:eastAsiaTheme="minorEastAsia"/>
        </w:rPr>
      </w:pPr>
      <w:r>
        <w:rPr>
          <w:rFonts w:hint="eastAsia" w:eastAsiaTheme="minorEastAsia"/>
        </w:rPr>
        <w:t>设备冷却水</w:t>
      </w:r>
    </w:p>
    <w:p>
      <w:pPr>
        <w:snapToGrid w:val="0"/>
        <w:ind w:firstLine="480"/>
        <w:rPr>
          <w:rFonts w:eastAsiaTheme="minorEastAsia"/>
        </w:rPr>
      </w:pPr>
      <w:r>
        <w:rPr>
          <w:rFonts w:hint="eastAsia" w:eastAsiaTheme="minorEastAsia"/>
        </w:rPr>
        <w:t>项目设有</w:t>
      </w:r>
      <w:r>
        <w:rPr>
          <w:rFonts w:eastAsiaTheme="minorEastAsia"/>
        </w:rPr>
        <w:t>1</w:t>
      </w:r>
      <w:r>
        <w:rPr>
          <w:rFonts w:hint="eastAsia" w:eastAsiaTheme="minorEastAsia"/>
        </w:rPr>
        <w:t>台密炼机和</w:t>
      </w:r>
      <w:r>
        <w:rPr>
          <w:rFonts w:eastAsiaTheme="minorEastAsia"/>
        </w:rPr>
        <w:t>2</w:t>
      </w:r>
      <w:r>
        <w:rPr>
          <w:rFonts w:hint="eastAsia" w:eastAsiaTheme="minorEastAsia"/>
        </w:rPr>
        <w:t>台开炼机，为了使以上设备保持恒定的温度，需要使用水对设备进行冷却。采取开放式间接冷却形式，冷却用水通过车间外冷却水池降温后直接回到生产过程，循环使用不外排，定期补充新鲜水，因此不排放生产性废水。</w:t>
      </w:r>
    </w:p>
    <w:p>
      <w:pPr>
        <w:snapToGrid w:val="0"/>
        <w:ind w:firstLine="480"/>
        <w:rPr>
          <w:rFonts w:eastAsiaTheme="minorEastAsia"/>
        </w:rPr>
      </w:pPr>
      <w:r>
        <w:rPr>
          <w:rFonts w:eastAsiaTheme="minorEastAsia"/>
        </w:rPr>
        <w:t>项目使用</w:t>
      </w:r>
      <w:r>
        <w:rPr>
          <w:rFonts w:hint="eastAsia" w:eastAsiaTheme="minorEastAsia"/>
        </w:rPr>
        <w:t>1套自建冷却水循环系统，共设</w:t>
      </w:r>
      <w:r>
        <w:rPr>
          <w:rFonts w:eastAsiaTheme="minorEastAsia"/>
        </w:rPr>
        <w:t>3</w:t>
      </w:r>
      <w:r>
        <w:rPr>
          <w:rFonts w:hint="eastAsia" w:eastAsiaTheme="minorEastAsia"/>
        </w:rPr>
        <w:t>台水泵，分别对应</w:t>
      </w:r>
      <w:r>
        <w:rPr>
          <w:rFonts w:eastAsiaTheme="minorEastAsia"/>
        </w:rPr>
        <w:t>1</w:t>
      </w:r>
      <w:r>
        <w:rPr>
          <w:rFonts w:hint="eastAsia" w:eastAsiaTheme="minorEastAsia"/>
        </w:rPr>
        <w:t>台密炼机和</w:t>
      </w:r>
      <w:r>
        <w:rPr>
          <w:rFonts w:eastAsiaTheme="minorEastAsia"/>
        </w:rPr>
        <w:t>2</w:t>
      </w:r>
      <w:r>
        <w:rPr>
          <w:rFonts w:hint="eastAsia" w:eastAsiaTheme="minorEastAsia"/>
        </w:rPr>
        <w:t>台开炼机，每台水泵的循环水量约</w:t>
      </w:r>
      <w:r>
        <w:rPr>
          <w:rFonts w:eastAsiaTheme="minorEastAsia"/>
        </w:rPr>
        <w:t>2.5m</w:t>
      </w:r>
      <w:r>
        <w:rPr>
          <w:rFonts w:eastAsiaTheme="minorEastAsia"/>
          <w:vertAlign w:val="superscript"/>
        </w:rPr>
        <w:t>3</w:t>
      </w:r>
      <w:r>
        <w:rPr>
          <w:rFonts w:eastAsiaTheme="minorEastAsia"/>
        </w:rPr>
        <w:t>/h</w:t>
      </w:r>
      <w:r>
        <w:rPr>
          <w:rFonts w:hint="eastAsia" w:eastAsiaTheme="minorEastAsia"/>
        </w:rPr>
        <w:t>。项目正常生产中同一时段内只启用1台密炼机和1台开炼机及配套的循环水泵，总循环水量约5.0</w:t>
      </w:r>
      <w:r>
        <w:rPr>
          <w:rFonts w:eastAsiaTheme="minorEastAsia"/>
        </w:rPr>
        <w:t>m</w:t>
      </w:r>
      <w:r>
        <w:rPr>
          <w:rFonts w:eastAsiaTheme="minorEastAsia"/>
          <w:vertAlign w:val="superscript"/>
        </w:rPr>
        <w:t>3</w:t>
      </w:r>
      <w:r>
        <w:rPr>
          <w:rFonts w:eastAsiaTheme="minorEastAsia"/>
        </w:rPr>
        <w:t>/h</w:t>
      </w:r>
      <w:r>
        <w:rPr>
          <w:rFonts w:hint="eastAsia" w:eastAsiaTheme="minorEastAsia"/>
        </w:rPr>
        <w:t>。</w:t>
      </w:r>
      <w:r>
        <w:rPr>
          <w:rFonts w:eastAsiaTheme="minorEastAsia"/>
        </w:rPr>
        <w:t>结合一般冷却水塔的实际经验系数和</w:t>
      </w:r>
      <w:r>
        <w:rPr>
          <w:rFonts w:hint="eastAsia" w:eastAsiaTheme="minorEastAsia"/>
        </w:rPr>
        <w:t>《工业循环冷却设计规范》（GB</w:t>
      </w:r>
      <w:r>
        <w:rPr>
          <w:rFonts w:eastAsiaTheme="minorEastAsia"/>
        </w:rPr>
        <w:t xml:space="preserve"> </w:t>
      </w:r>
      <w:r>
        <w:rPr>
          <w:rFonts w:hint="eastAsia" w:eastAsiaTheme="minorEastAsia"/>
        </w:rPr>
        <w:t>50102-2014），循环冷却系统蒸发水量约占总循环水量的</w:t>
      </w:r>
      <w:r>
        <w:rPr>
          <w:rFonts w:eastAsiaTheme="minorEastAsia"/>
        </w:rPr>
        <w:t>2</w:t>
      </w:r>
      <w:r>
        <w:rPr>
          <w:rFonts w:hint="eastAsia" w:eastAsiaTheme="minorEastAsia"/>
        </w:rPr>
        <w:t>.0%，风吹损失水率约为0</w:t>
      </w:r>
      <w:r>
        <w:rPr>
          <w:rFonts w:eastAsiaTheme="minorEastAsia"/>
        </w:rPr>
        <w:t>.8</w:t>
      </w:r>
      <w:r>
        <w:rPr>
          <w:rFonts w:hint="eastAsia" w:eastAsiaTheme="minorEastAsia"/>
        </w:rPr>
        <w:t>%。设备满负荷运行，混炼车间工作时间按照每天</w:t>
      </w:r>
      <w:r>
        <w:rPr>
          <w:rFonts w:eastAsiaTheme="minorEastAsia"/>
        </w:rPr>
        <w:t>8</w:t>
      </w:r>
      <w:r>
        <w:rPr>
          <w:rFonts w:hint="eastAsia" w:eastAsiaTheme="minorEastAsia"/>
        </w:rPr>
        <w:t>h，年工作</w:t>
      </w:r>
      <w:r>
        <w:rPr>
          <w:rFonts w:eastAsiaTheme="minorEastAsia"/>
        </w:rPr>
        <w:t>300</w:t>
      </w:r>
      <w:r>
        <w:rPr>
          <w:rFonts w:hint="eastAsia" w:eastAsiaTheme="minorEastAsia"/>
        </w:rPr>
        <w:t>天，</w:t>
      </w:r>
      <w:r>
        <w:rPr>
          <w:rFonts w:eastAsiaTheme="minorEastAsia"/>
        </w:rPr>
        <w:t>总循环水量为4</w:t>
      </w:r>
      <w:r>
        <w:rPr>
          <w:rFonts w:hint="eastAsia" w:eastAsiaTheme="minorEastAsia"/>
        </w:rPr>
        <w:t>0</w:t>
      </w:r>
      <w:r>
        <w:rPr>
          <w:rFonts w:eastAsiaTheme="minorEastAsia"/>
        </w:rPr>
        <w:t xml:space="preserve"> m</w:t>
      </w:r>
      <w:r>
        <w:rPr>
          <w:rFonts w:eastAsiaTheme="minorEastAsia"/>
          <w:vertAlign w:val="superscript"/>
        </w:rPr>
        <w:t>3</w:t>
      </w:r>
      <w:r>
        <w:rPr>
          <w:rFonts w:eastAsiaTheme="minorEastAsia"/>
        </w:rPr>
        <w:t>/</w:t>
      </w:r>
      <w:r>
        <w:rPr>
          <w:rFonts w:hint="eastAsia" w:eastAsiaTheme="minorEastAsia"/>
        </w:rPr>
        <w:t>d（1</w:t>
      </w:r>
      <w:r>
        <w:rPr>
          <w:rFonts w:eastAsiaTheme="minorEastAsia"/>
        </w:rPr>
        <w:t>2000m</w:t>
      </w:r>
      <w:r>
        <w:rPr>
          <w:rFonts w:eastAsiaTheme="minorEastAsia"/>
          <w:vertAlign w:val="superscript"/>
        </w:rPr>
        <w:t>3</w:t>
      </w:r>
      <w:r>
        <w:rPr>
          <w:rFonts w:eastAsiaTheme="minorEastAsia"/>
        </w:rPr>
        <w:t>/</w:t>
      </w:r>
      <w:r>
        <w:rPr>
          <w:rFonts w:hint="eastAsia" w:eastAsiaTheme="minorEastAsia"/>
        </w:rPr>
        <w:t>a）</w:t>
      </w:r>
      <w:r>
        <w:rPr>
          <w:rFonts w:eastAsiaTheme="minorEastAsia"/>
        </w:rPr>
        <w:t>，</w:t>
      </w:r>
      <w:r>
        <w:rPr>
          <w:rFonts w:hint="eastAsia" w:eastAsiaTheme="minorEastAsia"/>
        </w:rPr>
        <w:t>总</w:t>
      </w:r>
      <w:r>
        <w:rPr>
          <w:rFonts w:eastAsiaTheme="minorEastAsia"/>
        </w:rPr>
        <w:t>新鲜水补充量为1.12 m</w:t>
      </w:r>
      <w:r>
        <w:rPr>
          <w:rFonts w:eastAsiaTheme="minorEastAsia"/>
          <w:vertAlign w:val="superscript"/>
        </w:rPr>
        <w:t>3</w:t>
      </w:r>
      <w:r>
        <w:rPr>
          <w:rFonts w:eastAsiaTheme="minorEastAsia"/>
        </w:rPr>
        <w:t>/</w:t>
      </w:r>
      <w:r>
        <w:rPr>
          <w:rFonts w:hint="eastAsia" w:eastAsiaTheme="minorEastAsia"/>
        </w:rPr>
        <w:t>d（</w:t>
      </w:r>
      <w:r>
        <w:rPr>
          <w:rFonts w:eastAsiaTheme="minorEastAsia"/>
        </w:rPr>
        <w:t>336m</w:t>
      </w:r>
      <w:r>
        <w:rPr>
          <w:rFonts w:eastAsiaTheme="minorEastAsia"/>
          <w:vertAlign w:val="superscript"/>
        </w:rPr>
        <w:t>3</w:t>
      </w:r>
      <w:r>
        <w:rPr>
          <w:rFonts w:eastAsiaTheme="minorEastAsia"/>
        </w:rPr>
        <w:t>/a</w:t>
      </w:r>
      <w:r>
        <w:rPr>
          <w:rFonts w:hint="eastAsia" w:eastAsiaTheme="minorEastAsia"/>
        </w:rPr>
        <w:t>）。</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rPr>
          <w:rFonts w:hint="eastAsia"/>
        </w:rPr>
        <w:t>生产设备循环冷却水的消耗情况一览表</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308"/>
        <w:gridCol w:w="1549"/>
        <w:gridCol w:w="1219"/>
        <w:gridCol w:w="1078"/>
        <w:gridCol w:w="873"/>
        <w:gridCol w:w="1060"/>
        <w:gridCol w:w="8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1134" w:type="dxa"/>
            <w:shd w:val="clear" w:color="auto" w:fill="D8D8D8" w:themeFill="background1" w:themeFillShade="D9"/>
            <w:vAlign w:val="center"/>
          </w:tcPr>
          <w:p>
            <w:pPr>
              <w:pStyle w:val="107"/>
              <w:rPr>
                <w:b/>
              </w:rPr>
            </w:pPr>
            <w:r>
              <w:rPr>
                <w:rFonts w:hint="eastAsia"/>
                <w:b/>
              </w:rPr>
              <w:t>车间名称</w:t>
            </w:r>
          </w:p>
        </w:tc>
        <w:tc>
          <w:tcPr>
            <w:tcW w:w="1308" w:type="dxa"/>
            <w:shd w:val="clear" w:color="auto" w:fill="D8D8D8" w:themeFill="background1" w:themeFillShade="D9"/>
            <w:vAlign w:val="center"/>
          </w:tcPr>
          <w:p>
            <w:pPr>
              <w:pStyle w:val="107"/>
              <w:rPr>
                <w:b/>
              </w:rPr>
            </w:pPr>
            <w:r>
              <w:rPr>
                <w:rFonts w:hint="eastAsia"/>
                <w:b/>
              </w:rPr>
              <w:t>设备</w:t>
            </w:r>
          </w:p>
        </w:tc>
        <w:tc>
          <w:tcPr>
            <w:tcW w:w="1549" w:type="dxa"/>
            <w:shd w:val="clear" w:color="auto" w:fill="D8D8D8" w:themeFill="background1" w:themeFillShade="D9"/>
            <w:vAlign w:val="center"/>
          </w:tcPr>
          <w:p>
            <w:pPr>
              <w:pStyle w:val="107"/>
              <w:rPr>
                <w:b/>
              </w:rPr>
            </w:pPr>
            <w:r>
              <w:rPr>
                <w:rFonts w:hint="eastAsia"/>
                <w:b/>
              </w:rPr>
              <w:t>单位</w:t>
            </w:r>
          </w:p>
        </w:tc>
        <w:tc>
          <w:tcPr>
            <w:tcW w:w="1219" w:type="dxa"/>
            <w:shd w:val="clear" w:color="auto" w:fill="D8D8D8" w:themeFill="background1" w:themeFillShade="D9"/>
            <w:vAlign w:val="center"/>
          </w:tcPr>
          <w:p>
            <w:pPr>
              <w:pStyle w:val="107"/>
              <w:rPr>
                <w:b/>
              </w:rPr>
            </w:pPr>
            <w:r>
              <w:rPr>
                <w:rFonts w:hint="eastAsia"/>
                <w:b/>
              </w:rPr>
              <w:t>循环水量</w:t>
            </w:r>
          </w:p>
        </w:tc>
        <w:tc>
          <w:tcPr>
            <w:tcW w:w="1078" w:type="dxa"/>
            <w:shd w:val="clear" w:color="auto" w:fill="D8D8D8" w:themeFill="background1" w:themeFillShade="D9"/>
            <w:vAlign w:val="center"/>
          </w:tcPr>
          <w:p>
            <w:pPr>
              <w:pStyle w:val="107"/>
              <w:rPr>
                <w:b/>
              </w:rPr>
            </w:pPr>
            <w:r>
              <w:rPr>
                <w:rFonts w:hint="eastAsia"/>
                <w:b/>
              </w:rPr>
              <w:t>蒸发损失水量</w:t>
            </w:r>
          </w:p>
        </w:tc>
        <w:tc>
          <w:tcPr>
            <w:tcW w:w="873" w:type="dxa"/>
            <w:shd w:val="clear" w:color="auto" w:fill="D8D8D8" w:themeFill="background1" w:themeFillShade="D9"/>
            <w:vAlign w:val="center"/>
          </w:tcPr>
          <w:p>
            <w:pPr>
              <w:pStyle w:val="107"/>
              <w:rPr>
                <w:b/>
              </w:rPr>
            </w:pPr>
            <w:r>
              <w:rPr>
                <w:rFonts w:hint="eastAsia"/>
                <w:b/>
              </w:rPr>
              <w:t>风吹损失水量</w:t>
            </w:r>
          </w:p>
        </w:tc>
        <w:tc>
          <w:tcPr>
            <w:tcW w:w="1060" w:type="dxa"/>
            <w:shd w:val="clear" w:color="auto" w:fill="D8D8D8" w:themeFill="background1" w:themeFillShade="D9"/>
            <w:vAlign w:val="center"/>
          </w:tcPr>
          <w:p>
            <w:pPr>
              <w:pStyle w:val="107"/>
              <w:rPr>
                <w:b/>
              </w:rPr>
            </w:pPr>
            <w:r>
              <w:rPr>
                <w:rFonts w:hint="eastAsia"/>
                <w:b/>
              </w:rPr>
              <w:t>排污水量</w:t>
            </w:r>
          </w:p>
        </w:tc>
        <w:tc>
          <w:tcPr>
            <w:tcW w:w="839" w:type="dxa"/>
            <w:shd w:val="clear" w:color="auto" w:fill="D8D8D8" w:themeFill="background1" w:themeFillShade="D9"/>
            <w:vAlign w:val="center"/>
          </w:tcPr>
          <w:p>
            <w:pPr>
              <w:pStyle w:val="107"/>
              <w:rPr>
                <w:b/>
              </w:rPr>
            </w:pPr>
            <w:r>
              <w:rPr>
                <w:rFonts w:hint="eastAsia"/>
                <w:b/>
              </w:rPr>
              <w:t>补充水量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trPr>
        <w:tc>
          <w:tcPr>
            <w:tcW w:w="1134" w:type="dxa"/>
            <w:vMerge w:val="restart"/>
            <w:shd w:val="clear" w:color="auto" w:fill="auto"/>
            <w:vAlign w:val="center"/>
          </w:tcPr>
          <w:p>
            <w:pPr>
              <w:pStyle w:val="107"/>
            </w:pPr>
            <w:r>
              <w:rPr>
                <w:rFonts w:hint="eastAsia"/>
              </w:rPr>
              <w:t>混炼车间</w:t>
            </w:r>
          </w:p>
        </w:tc>
        <w:tc>
          <w:tcPr>
            <w:tcW w:w="1308" w:type="dxa"/>
            <w:vMerge w:val="restart"/>
            <w:shd w:val="clear" w:color="auto" w:fill="auto"/>
            <w:vAlign w:val="center"/>
          </w:tcPr>
          <w:p>
            <w:pPr>
              <w:pStyle w:val="107"/>
            </w:pPr>
            <w:r>
              <w:rPr>
                <w:rFonts w:hint="eastAsia"/>
              </w:rPr>
              <w:t>密炼机、开炼机</w:t>
            </w:r>
          </w:p>
        </w:tc>
        <w:tc>
          <w:tcPr>
            <w:tcW w:w="1549" w:type="dxa"/>
            <w:shd w:val="clear" w:color="auto" w:fill="auto"/>
            <w:vAlign w:val="center"/>
          </w:tcPr>
          <w:p>
            <w:pPr>
              <w:pStyle w:val="107"/>
              <w:rPr>
                <w:rFonts w:cs="Arial"/>
              </w:rPr>
            </w:pPr>
            <w:r>
              <w:rPr>
                <w:rFonts w:cs="Arial"/>
              </w:rPr>
              <w:t>m</w:t>
            </w:r>
            <w:r>
              <w:rPr>
                <w:rFonts w:cs="Arial"/>
                <w:vertAlign w:val="superscript"/>
              </w:rPr>
              <w:t>3</w:t>
            </w:r>
            <w:r>
              <w:rPr>
                <w:rFonts w:cs="Arial"/>
              </w:rPr>
              <w:t>/h</w:t>
            </w:r>
          </w:p>
        </w:tc>
        <w:tc>
          <w:tcPr>
            <w:tcW w:w="1219" w:type="dxa"/>
            <w:shd w:val="clear" w:color="auto" w:fill="auto"/>
            <w:vAlign w:val="center"/>
          </w:tcPr>
          <w:p>
            <w:pPr>
              <w:pStyle w:val="107"/>
              <w:rPr>
                <w:rFonts w:cs="Arial"/>
              </w:rPr>
            </w:pPr>
            <w:r>
              <w:rPr>
                <w:rFonts w:cs="Arial"/>
              </w:rPr>
              <w:t>5</w:t>
            </w:r>
          </w:p>
        </w:tc>
        <w:tc>
          <w:tcPr>
            <w:tcW w:w="1078" w:type="dxa"/>
            <w:shd w:val="clear" w:color="auto" w:fill="auto"/>
            <w:vAlign w:val="center"/>
          </w:tcPr>
          <w:p>
            <w:pPr>
              <w:pStyle w:val="107"/>
              <w:rPr>
                <w:rFonts w:cs="Arial"/>
              </w:rPr>
            </w:pPr>
            <w:r>
              <w:rPr>
                <w:rFonts w:cs="Arial"/>
              </w:rPr>
              <w:t>0.1</w:t>
            </w:r>
          </w:p>
        </w:tc>
        <w:tc>
          <w:tcPr>
            <w:tcW w:w="873" w:type="dxa"/>
            <w:shd w:val="clear" w:color="auto" w:fill="auto"/>
            <w:vAlign w:val="center"/>
          </w:tcPr>
          <w:p>
            <w:pPr>
              <w:pStyle w:val="107"/>
              <w:rPr>
                <w:rFonts w:cs="Arial"/>
              </w:rPr>
            </w:pPr>
            <w:r>
              <w:rPr>
                <w:rFonts w:cs="Arial"/>
              </w:rPr>
              <w:t>0.04</w:t>
            </w:r>
          </w:p>
        </w:tc>
        <w:tc>
          <w:tcPr>
            <w:tcW w:w="1060" w:type="dxa"/>
            <w:shd w:val="clear" w:color="auto" w:fill="auto"/>
            <w:vAlign w:val="center"/>
          </w:tcPr>
          <w:p>
            <w:pPr>
              <w:pStyle w:val="107"/>
              <w:rPr>
                <w:rFonts w:cs="Arial"/>
              </w:rPr>
            </w:pPr>
            <w:r>
              <w:rPr>
                <w:rFonts w:cs="Arial"/>
              </w:rPr>
              <w:t>0</w:t>
            </w:r>
          </w:p>
        </w:tc>
        <w:tc>
          <w:tcPr>
            <w:tcW w:w="839" w:type="dxa"/>
            <w:shd w:val="clear" w:color="auto" w:fill="auto"/>
            <w:vAlign w:val="center"/>
          </w:tcPr>
          <w:p>
            <w:pPr>
              <w:pStyle w:val="107"/>
              <w:rPr>
                <w:rFonts w:cs="Arial"/>
              </w:rPr>
            </w:pPr>
            <w:r>
              <w:rPr>
                <w:rFonts w:cs="Arial"/>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trPr>
        <w:tc>
          <w:tcPr>
            <w:tcW w:w="1134" w:type="dxa"/>
            <w:vMerge w:val="continue"/>
            <w:vAlign w:val="center"/>
          </w:tcPr>
          <w:p>
            <w:pPr>
              <w:pStyle w:val="107"/>
            </w:pPr>
          </w:p>
        </w:tc>
        <w:tc>
          <w:tcPr>
            <w:tcW w:w="1308" w:type="dxa"/>
            <w:vMerge w:val="continue"/>
            <w:vAlign w:val="center"/>
          </w:tcPr>
          <w:p>
            <w:pPr>
              <w:pStyle w:val="107"/>
            </w:pPr>
          </w:p>
        </w:tc>
        <w:tc>
          <w:tcPr>
            <w:tcW w:w="1549" w:type="dxa"/>
            <w:shd w:val="clear" w:color="auto" w:fill="auto"/>
            <w:vAlign w:val="center"/>
          </w:tcPr>
          <w:p>
            <w:pPr>
              <w:pStyle w:val="107"/>
              <w:rPr>
                <w:rFonts w:cs="Arial"/>
              </w:rPr>
            </w:pPr>
            <w:r>
              <w:rPr>
                <w:rFonts w:cs="Arial"/>
              </w:rPr>
              <w:t>m</w:t>
            </w:r>
            <w:r>
              <w:rPr>
                <w:rFonts w:cs="Arial"/>
                <w:vertAlign w:val="superscript"/>
              </w:rPr>
              <w:t>3</w:t>
            </w:r>
            <w:r>
              <w:rPr>
                <w:rFonts w:cs="Arial"/>
              </w:rPr>
              <w:t>/d</w:t>
            </w:r>
          </w:p>
        </w:tc>
        <w:tc>
          <w:tcPr>
            <w:tcW w:w="1219" w:type="dxa"/>
            <w:shd w:val="clear" w:color="auto" w:fill="auto"/>
            <w:vAlign w:val="center"/>
          </w:tcPr>
          <w:p>
            <w:pPr>
              <w:pStyle w:val="107"/>
            </w:pPr>
            <w:r>
              <w:t>40</w:t>
            </w:r>
          </w:p>
        </w:tc>
        <w:tc>
          <w:tcPr>
            <w:tcW w:w="1078" w:type="dxa"/>
            <w:shd w:val="clear" w:color="auto" w:fill="auto"/>
            <w:vAlign w:val="center"/>
          </w:tcPr>
          <w:p>
            <w:pPr>
              <w:pStyle w:val="107"/>
            </w:pPr>
            <w:r>
              <w:t>0.8</w:t>
            </w:r>
          </w:p>
        </w:tc>
        <w:tc>
          <w:tcPr>
            <w:tcW w:w="873" w:type="dxa"/>
            <w:shd w:val="clear" w:color="auto" w:fill="auto"/>
            <w:vAlign w:val="center"/>
          </w:tcPr>
          <w:p>
            <w:pPr>
              <w:pStyle w:val="107"/>
            </w:pPr>
            <w:r>
              <w:t>0.32</w:t>
            </w:r>
          </w:p>
        </w:tc>
        <w:tc>
          <w:tcPr>
            <w:tcW w:w="1060" w:type="dxa"/>
            <w:shd w:val="clear" w:color="auto" w:fill="auto"/>
            <w:vAlign w:val="center"/>
          </w:tcPr>
          <w:p>
            <w:pPr>
              <w:pStyle w:val="107"/>
            </w:pPr>
            <w:r>
              <w:t>0</w:t>
            </w:r>
          </w:p>
        </w:tc>
        <w:tc>
          <w:tcPr>
            <w:tcW w:w="839" w:type="dxa"/>
            <w:shd w:val="clear" w:color="auto" w:fill="auto"/>
            <w:vAlign w:val="center"/>
          </w:tcPr>
          <w:p>
            <w:pPr>
              <w:pStyle w:val="107"/>
            </w:pPr>
            <w: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0" w:hRule="atLeast"/>
        </w:trPr>
        <w:tc>
          <w:tcPr>
            <w:tcW w:w="1134" w:type="dxa"/>
            <w:vMerge w:val="continue"/>
            <w:vAlign w:val="center"/>
          </w:tcPr>
          <w:p>
            <w:pPr>
              <w:pStyle w:val="107"/>
            </w:pPr>
          </w:p>
        </w:tc>
        <w:tc>
          <w:tcPr>
            <w:tcW w:w="1308" w:type="dxa"/>
            <w:vMerge w:val="continue"/>
            <w:vAlign w:val="center"/>
          </w:tcPr>
          <w:p>
            <w:pPr>
              <w:pStyle w:val="107"/>
            </w:pPr>
          </w:p>
        </w:tc>
        <w:tc>
          <w:tcPr>
            <w:tcW w:w="1549" w:type="dxa"/>
            <w:shd w:val="clear" w:color="auto" w:fill="auto"/>
            <w:vAlign w:val="center"/>
          </w:tcPr>
          <w:p>
            <w:pPr>
              <w:pStyle w:val="107"/>
              <w:rPr>
                <w:rFonts w:cs="Arial"/>
              </w:rPr>
            </w:pPr>
            <w:r>
              <w:rPr>
                <w:rFonts w:cs="Arial"/>
              </w:rPr>
              <w:t>m</w:t>
            </w:r>
            <w:r>
              <w:rPr>
                <w:rFonts w:cs="Arial"/>
                <w:vertAlign w:val="superscript"/>
              </w:rPr>
              <w:t>3</w:t>
            </w:r>
            <w:r>
              <w:rPr>
                <w:rFonts w:cs="Arial"/>
              </w:rPr>
              <w:t>/a</w:t>
            </w:r>
          </w:p>
        </w:tc>
        <w:tc>
          <w:tcPr>
            <w:tcW w:w="1219" w:type="dxa"/>
            <w:shd w:val="clear" w:color="auto" w:fill="auto"/>
            <w:vAlign w:val="center"/>
          </w:tcPr>
          <w:p>
            <w:pPr>
              <w:pStyle w:val="107"/>
            </w:pPr>
            <w:r>
              <w:t>12000</w:t>
            </w:r>
          </w:p>
        </w:tc>
        <w:tc>
          <w:tcPr>
            <w:tcW w:w="1078" w:type="dxa"/>
            <w:shd w:val="clear" w:color="auto" w:fill="auto"/>
            <w:vAlign w:val="center"/>
          </w:tcPr>
          <w:p>
            <w:pPr>
              <w:pStyle w:val="107"/>
            </w:pPr>
            <w:r>
              <w:t>240</w:t>
            </w:r>
          </w:p>
        </w:tc>
        <w:tc>
          <w:tcPr>
            <w:tcW w:w="873" w:type="dxa"/>
            <w:shd w:val="clear" w:color="auto" w:fill="auto"/>
            <w:vAlign w:val="center"/>
          </w:tcPr>
          <w:p>
            <w:pPr>
              <w:pStyle w:val="107"/>
            </w:pPr>
            <w:r>
              <w:t>96</w:t>
            </w:r>
          </w:p>
        </w:tc>
        <w:tc>
          <w:tcPr>
            <w:tcW w:w="1060" w:type="dxa"/>
            <w:shd w:val="clear" w:color="auto" w:fill="auto"/>
            <w:vAlign w:val="center"/>
          </w:tcPr>
          <w:p>
            <w:pPr>
              <w:pStyle w:val="107"/>
            </w:pPr>
            <w:r>
              <w:t>0</w:t>
            </w:r>
          </w:p>
        </w:tc>
        <w:tc>
          <w:tcPr>
            <w:tcW w:w="839" w:type="dxa"/>
            <w:shd w:val="clear" w:color="auto" w:fill="auto"/>
            <w:vAlign w:val="center"/>
          </w:tcPr>
          <w:p>
            <w:pPr>
              <w:pStyle w:val="107"/>
            </w:pPr>
            <w:r>
              <w:t>336</w:t>
            </w:r>
          </w:p>
        </w:tc>
      </w:tr>
    </w:tbl>
    <w:p>
      <w:pPr>
        <w:pStyle w:val="99"/>
        <w:numPr>
          <w:ilvl w:val="0"/>
          <w:numId w:val="19"/>
        </w:numPr>
        <w:snapToGrid w:val="0"/>
        <w:ind w:firstLineChars="0"/>
        <w:rPr>
          <w:rFonts w:eastAsiaTheme="minorEastAsia"/>
        </w:rPr>
      </w:pPr>
      <w:r>
        <w:rPr>
          <w:rFonts w:hint="eastAsia" w:eastAsiaTheme="minorEastAsia"/>
        </w:rPr>
        <w:t>员工办公生活用水</w:t>
      </w:r>
    </w:p>
    <w:p>
      <w:pPr>
        <w:snapToGrid w:val="0"/>
        <w:ind w:firstLine="480"/>
        <w:rPr>
          <w:rFonts w:eastAsiaTheme="minorEastAsia"/>
        </w:rPr>
      </w:pPr>
      <w:r>
        <w:rPr>
          <w:rFonts w:hint="eastAsia" w:eastAsiaTheme="minorEastAsia"/>
        </w:rPr>
        <w:t>本项目员工总人数</w:t>
      </w:r>
      <w:r>
        <w:rPr>
          <w:rFonts w:eastAsiaTheme="minorEastAsia"/>
        </w:rPr>
        <w:t>30</w:t>
      </w:r>
      <w:r>
        <w:rPr>
          <w:rFonts w:hint="eastAsia" w:eastAsiaTheme="minorEastAsia"/>
        </w:rPr>
        <w:t>人，项目不提供食宿。该区域属于中等城镇，参照《广东省用水定额》（</w:t>
      </w:r>
      <w:r>
        <w:rPr>
          <w:rFonts w:eastAsiaTheme="minorEastAsia"/>
        </w:rPr>
        <w:t>DB44/T 1461-2014</w:t>
      </w:r>
      <w:r>
        <w:rPr>
          <w:rFonts w:hint="eastAsia" w:eastAsiaTheme="minorEastAsia"/>
        </w:rPr>
        <w:t>）中的表4城镇生活用水定额表机关事业单位办公楼中无食堂和浴室</w:t>
      </w:r>
      <w:r>
        <w:rPr>
          <w:rFonts w:eastAsiaTheme="minorEastAsia"/>
        </w:rPr>
        <w:t>40L/</w:t>
      </w:r>
      <w:r>
        <w:rPr>
          <w:rFonts w:hint="eastAsia" w:eastAsiaTheme="minorEastAsia"/>
        </w:rPr>
        <w:t>人.d计。项目年工作日为</w:t>
      </w:r>
      <w:r>
        <w:rPr>
          <w:rFonts w:eastAsiaTheme="minorEastAsia"/>
        </w:rPr>
        <w:t>30</w:t>
      </w:r>
      <w:r>
        <w:rPr>
          <w:rFonts w:hint="eastAsia" w:eastAsiaTheme="minorEastAsia"/>
        </w:rPr>
        <w:t>0天，则生活用水量约为</w:t>
      </w:r>
      <w:r>
        <w:rPr>
          <w:rFonts w:eastAsiaTheme="minorEastAsia"/>
        </w:rPr>
        <w:t>1.2</w:t>
      </w:r>
      <w:r>
        <w:rPr>
          <w:rFonts w:hint="eastAsia" w:eastAsiaTheme="minorEastAsia"/>
        </w:rPr>
        <w:t>m</w:t>
      </w:r>
      <w:r>
        <w:rPr>
          <w:rFonts w:eastAsiaTheme="minorEastAsia"/>
          <w:vertAlign w:val="superscript"/>
        </w:rPr>
        <w:t>3</w:t>
      </w:r>
      <w:r>
        <w:rPr>
          <w:rFonts w:eastAsiaTheme="minorEastAsia"/>
        </w:rPr>
        <w:t>/d</w:t>
      </w:r>
      <w:r>
        <w:rPr>
          <w:rFonts w:hint="eastAsia" w:eastAsiaTheme="minorEastAsia"/>
        </w:rPr>
        <w:t>（</w:t>
      </w:r>
      <w:r>
        <w:rPr>
          <w:rStyle w:val="63"/>
          <w:color w:val="000000" w:themeColor="text1"/>
          <w14:textFill>
            <w14:solidFill>
              <w14:schemeClr w14:val="tx1"/>
            </w14:solidFill>
          </w14:textFill>
        </w:rPr>
        <w:t>360</w:t>
      </w:r>
      <w:r>
        <w:rPr>
          <w:rFonts w:hint="eastAsia" w:eastAsiaTheme="minorEastAsia"/>
          <w:color w:val="000000" w:themeColor="text1"/>
          <w14:textFill>
            <w14:solidFill>
              <w14:schemeClr w14:val="tx1"/>
            </w14:solidFill>
          </w14:textFill>
        </w:rPr>
        <w:t xml:space="preserve"> </w:t>
      </w:r>
      <w:r>
        <w:rPr>
          <w:rFonts w:hint="eastAsia" w:eastAsiaTheme="minorEastAsia"/>
        </w:rPr>
        <w:t>m</w:t>
      </w:r>
      <w:r>
        <w:rPr>
          <w:rFonts w:eastAsiaTheme="minorEastAsia"/>
          <w:vertAlign w:val="superscript"/>
        </w:rPr>
        <w:t>3</w:t>
      </w:r>
      <w:r>
        <w:rPr>
          <w:rFonts w:eastAsiaTheme="minorEastAsia"/>
        </w:rPr>
        <w:t>/</w:t>
      </w:r>
      <w:r>
        <w:rPr>
          <w:rFonts w:hint="eastAsia" w:eastAsiaTheme="minorEastAsia"/>
        </w:rPr>
        <w:t>a）。生活污水产生系数取0</w:t>
      </w:r>
      <w:r>
        <w:rPr>
          <w:rFonts w:eastAsiaTheme="minorEastAsia"/>
        </w:rPr>
        <w:t>.9</w:t>
      </w:r>
      <w:r>
        <w:rPr>
          <w:rFonts w:hint="eastAsia" w:eastAsiaTheme="minorEastAsia"/>
        </w:rPr>
        <w:t>，则生活污水产生量约为</w:t>
      </w:r>
      <w:r>
        <w:rPr>
          <w:rFonts w:eastAsiaTheme="minorEastAsia"/>
        </w:rPr>
        <w:t>1.08</w:t>
      </w:r>
      <w:r>
        <w:rPr>
          <w:rFonts w:hint="eastAsia" w:eastAsiaTheme="minorEastAsia"/>
        </w:rPr>
        <w:t>m</w:t>
      </w:r>
      <w:r>
        <w:rPr>
          <w:rFonts w:eastAsiaTheme="minorEastAsia"/>
          <w:vertAlign w:val="superscript"/>
        </w:rPr>
        <w:t>3</w:t>
      </w:r>
      <w:r>
        <w:rPr>
          <w:rFonts w:eastAsiaTheme="minorEastAsia"/>
        </w:rPr>
        <w:t>/d</w:t>
      </w:r>
      <w:r>
        <w:rPr>
          <w:rFonts w:hint="eastAsia" w:eastAsiaTheme="minorEastAsia"/>
        </w:rPr>
        <w:t>（</w:t>
      </w:r>
      <w:r>
        <w:rPr>
          <w:rStyle w:val="63"/>
          <w:color w:val="000000" w:themeColor="text1"/>
          <w14:textFill>
            <w14:solidFill>
              <w14:schemeClr w14:val="tx1"/>
            </w14:solidFill>
          </w14:textFill>
        </w:rPr>
        <w:t>324</w:t>
      </w:r>
      <w:r>
        <w:rPr>
          <w:rFonts w:hint="eastAsia" w:eastAsiaTheme="minorEastAsia"/>
        </w:rPr>
        <w:t xml:space="preserve"> m</w:t>
      </w:r>
      <w:r>
        <w:rPr>
          <w:rFonts w:eastAsiaTheme="minorEastAsia"/>
          <w:vertAlign w:val="superscript"/>
        </w:rPr>
        <w:t>3</w:t>
      </w:r>
      <w:r>
        <w:rPr>
          <w:rFonts w:eastAsiaTheme="minorEastAsia"/>
        </w:rPr>
        <w:t>/</w:t>
      </w:r>
      <w:r>
        <w:rPr>
          <w:rFonts w:hint="eastAsia" w:eastAsiaTheme="minorEastAsia"/>
        </w:rPr>
        <w:t>a）。</w:t>
      </w:r>
    </w:p>
    <w:p>
      <w:pPr>
        <w:pStyle w:val="99"/>
        <w:numPr>
          <w:ilvl w:val="0"/>
          <w:numId w:val="19"/>
        </w:numPr>
        <w:snapToGrid w:val="0"/>
        <w:ind w:firstLineChars="0"/>
        <w:rPr>
          <w:rFonts w:eastAsiaTheme="minorEastAsia"/>
        </w:rPr>
      </w:pPr>
      <w:r>
        <w:rPr>
          <w:rFonts w:hint="eastAsia" w:eastAsiaTheme="minorEastAsia"/>
        </w:rPr>
        <w:t>喷淋水</w:t>
      </w:r>
    </w:p>
    <w:p>
      <w:pPr>
        <w:ind w:firstLine="480"/>
        <w:rPr>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项目拟设喷淋装置，喷淋水年用量5</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 xml:space="preserve"> m</w:t>
      </w:r>
      <w:r>
        <w:rPr>
          <w:rStyle w:val="63"/>
          <w:rFonts w:hint="eastAsia"/>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/a</w:t>
      </w:r>
      <w:r>
        <w:rPr>
          <w:rStyle w:val="63"/>
          <w:rFonts w:hint="eastAsia"/>
          <w:color w:val="000000" w:themeColor="text1"/>
          <w14:textFill>
            <w14:solidFill>
              <w14:schemeClr w14:val="tx1"/>
            </w14:solidFill>
          </w14:textFill>
        </w:rPr>
        <w:t>，喷淋废水每半年更换一次，每次更换水量约5 m</w:t>
      </w:r>
      <w:r>
        <w:rPr>
          <w:rStyle w:val="63"/>
          <w:rFonts w:hint="eastAsia"/>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，则喷淋废水年更换量为10m</w:t>
      </w:r>
      <w:r>
        <w:rPr>
          <w:rStyle w:val="63"/>
          <w:rFonts w:hint="eastAsia"/>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，更换的喷淋废水直接委托有资质的单位运走，本项目厂区内不设废水收集池，本项目无生产废水排放。</w:t>
      </w:r>
    </w:p>
    <w:p>
      <w:pPr>
        <w:pStyle w:val="99"/>
        <w:numPr>
          <w:ilvl w:val="0"/>
          <w:numId w:val="20"/>
        </w:numPr>
        <w:snapToGrid w:val="0"/>
        <w:ind w:firstLineChars="0"/>
        <w:rPr>
          <w:rFonts w:eastAsiaTheme="minorEastAsia"/>
        </w:rPr>
      </w:pPr>
      <w:r>
        <w:rPr>
          <w:rFonts w:hint="eastAsia" w:eastAsiaTheme="minorEastAsia"/>
        </w:rPr>
        <w:t>其他情况说明</w:t>
      </w:r>
    </w:p>
    <w:p>
      <w:pPr>
        <w:snapToGrid w:val="0"/>
        <w:ind w:firstLine="480"/>
        <w:rPr>
          <w:rFonts w:eastAsiaTheme="minorEastAsia"/>
        </w:rPr>
      </w:pPr>
      <w:r>
        <w:rPr>
          <w:rFonts w:hint="eastAsia" w:eastAsiaTheme="minorEastAsia"/>
        </w:rPr>
        <w:t>生产车间均为混凝土砖结构或钢棚结构，有顶盖和墙身，车间内清洁只是需要扫除，不需冲洗；项目的原料、产品装卸储存以及生产均在车间内进行。</w:t>
      </w:r>
    </w:p>
    <w:p>
      <w:pPr>
        <w:pStyle w:val="102"/>
        <w:ind w:firstLine="480"/>
        <w:rPr>
          <w:rFonts w:asciiTheme="minorHAnsi" w:hAnsiTheme="minorHAnsi" w:eastAsiaTheme="minorEastAsia"/>
        </w:rPr>
      </w:pPr>
      <w:r>
        <w:rPr>
          <w:rFonts w:asciiTheme="minorHAnsi" w:hAnsiTheme="minorHAnsi" w:eastAsiaTheme="minorEastAsia"/>
        </w:rPr>
        <w:t>排水</w:t>
      </w:r>
    </w:p>
    <w:p>
      <w:pPr>
        <w:ind w:firstLine="480"/>
        <w:rPr>
          <w:rFonts w:eastAsiaTheme="minorEastAsia"/>
        </w:rPr>
      </w:pPr>
      <w:r>
        <w:rPr>
          <w:rFonts w:hint="eastAsia" w:eastAsiaTheme="minorEastAsia"/>
        </w:rPr>
        <w:t>全厂排水实行“清污分流、雨污分流”的排水体制。</w:t>
      </w:r>
    </w:p>
    <w:p>
      <w:pPr>
        <w:ind w:firstLine="480"/>
        <w:rPr>
          <w:rFonts w:eastAsiaTheme="minorEastAsia"/>
        </w:rPr>
      </w:pPr>
      <w:r>
        <w:rPr>
          <w:rFonts w:hint="eastAsia" w:eastAsiaTheme="minorEastAsia"/>
        </w:rPr>
        <w:t>屋面及路面雨水经厂区内明渠汇集后就近排入厂区东</w:t>
      </w:r>
      <w:r>
        <w:rPr>
          <w:rFonts w:hint="eastAsia" w:eastAsiaTheme="minorEastAsia"/>
          <w:color w:val="000000" w:themeColor="text1"/>
          <w14:textFill>
            <w14:solidFill>
              <w14:schemeClr w14:val="tx1"/>
            </w14:solidFill>
          </w14:textFill>
        </w:rPr>
        <w:t>侧镇海水</w:t>
      </w:r>
      <w:r>
        <w:rPr>
          <w:rFonts w:hint="eastAsia" w:eastAsiaTheme="minorEastAsia"/>
        </w:rPr>
        <w:t>。大量的研究表明，雨水径流有明显的初期冲刷作用，即在多数情况下，污染物集中在初期的数毫米雨量中。由于项目对生产材料及废品等作了严格管理，禁止物料露天堆放，所以初期雨水的主要污染物为SS，通过雨水管道直接排放至附近水体（镇海水）。</w:t>
      </w:r>
    </w:p>
    <w:p>
      <w:pPr>
        <w:ind w:firstLine="480"/>
        <w:rPr>
          <w:rFonts w:eastAsiaTheme="minorEastAsia"/>
        </w:rPr>
      </w:pPr>
      <w:r>
        <w:rPr>
          <w:rFonts w:hint="eastAsia" w:eastAsiaTheme="minorEastAsia"/>
        </w:rPr>
        <w:t>本项目生产用冷却水循环使用不外排，定期补充新鲜水；则项目外排废水为生活污水。项目所在地属于苍城污水处理厂的纳污范围，项目生活污水经预处理达到GB 27632-2011表2 新建企业水污染物排放限值中轮胎企业和其他制品企业间接排放限值和</w:t>
      </w:r>
      <w:r>
        <w:rPr>
          <w:rFonts w:hint="eastAsia" w:cs="Times New Roman" w:eastAsiaTheme="minorEastAsia"/>
          <w:bCs/>
        </w:rPr>
        <w:t>（DB</w:t>
      </w:r>
      <w:r>
        <w:rPr>
          <w:rFonts w:cs="Times New Roman" w:eastAsiaTheme="minorEastAsia"/>
          <w:bCs/>
        </w:rPr>
        <w:t xml:space="preserve"> </w:t>
      </w:r>
      <w:r>
        <w:rPr>
          <w:rFonts w:hint="eastAsia" w:cs="Times New Roman" w:eastAsiaTheme="minorEastAsia"/>
          <w:bCs/>
        </w:rPr>
        <w:t>44/26-2001）第二时段三级标准两者间较严者</w:t>
      </w:r>
      <w:r>
        <w:rPr>
          <w:rFonts w:hint="eastAsia" w:eastAsiaTheme="minorEastAsia"/>
        </w:rPr>
        <w:t>后进入市政污水管网，排往苍城污水处理厂集中处理达标后排放。</w:t>
      </w:r>
    </w:p>
    <w:p>
      <w:pPr>
        <w:pStyle w:val="5"/>
      </w:pPr>
      <w:bookmarkStart w:id="174" w:name="_Toc528868005"/>
      <w:bookmarkEnd w:id="174"/>
      <w:bookmarkStart w:id="175" w:name="_Toc528868014"/>
      <w:bookmarkEnd w:id="175"/>
      <w:bookmarkStart w:id="176" w:name="_Toc528868032"/>
      <w:bookmarkEnd w:id="176"/>
      <w:bookmarkStart w:id="177" w:name="_Toc528868023"/>
      <w:bookmarkEnd w:id="177"/>
      <w:bookmarkStart w:id="178" w:name="_Toc528868059"/>
      <w:bookmarkEnd w:id="178"/>
      <w:bookmarkStart w:id="179" w:name="_Toc528867987"/>
      <w:bookmarkEnd w:id="179"/>
      <w:bookmarkStart w:id="180" w:name="_Toc528868058"/>
      <w:bookmarkEnd w:id="180"/>
      <w:bookmarkStart w:id="181" w:name="_Toc528867976"/>
      <w:bookmarkEnd w:id="181"/>
      <w:r>
        <w:rPr>
          <w:rFonts w:hint="eastAsia"/>
        </w:rPr>
        <w:t>供电系统</w:t>
      </w:r>
    </w:p>
    <w:p>
      <w:pPr>
        <w:overflowPunct w:val="0"/>
        <w:ind w:firstLine="480"/>
        <w:rPr>
          <w:rFonts w:eastAsiaTheme="minorEastAsia"/>
        </w:rPr>
      </w:pPr>
      <w:r>
        <w:rPr>
          <w:rFonts w:hint="eastAsia" w:eastAsiaTheme="minorEastAsia"/>
          <w:bCs/>
        </w:rPr>
        <w:t>本项目用电主要</w:t>
      </w:r>
      <w:r>
        <w:rPr>
          <w:rFonts w:eastAsiaTheme="minorEastAsia"/>
          <w:bCs/>
        </w:rPr>
        <w:t>由市供电局供应</w:t>
      </w:r>
      <w:r>
        <w:rPr>
          <w:rFonts w:hint="eastAsia" w:eastAsiaTheme="minorEastAsia"/>
          <w:bCs/>
        </w:rPr>
        <w:t>，</w:t>
      </w:r>
      <w:r>
        <w:rPr>
          <w:rFonts w:eastAsiaTheme="minorEastAsia"/>
          <w:bCs/>
        </w:rPr>
        <w:t>总耗电量约100</w:t>
      </w:r>
      <w:r>
        <w:rPr>
          <w:rFonts w:hint="eastAsia" w:eastAsiaTheme="minorEastAsia"/>
          <w:bCs/>
        </w:rPr>
        <w:t>万度/年</w:t>
      </w:r>
      <w:r>
        <w:rPr>
          <w:rFonts w:eastAsiaTheme="minorEastAsia"/>
          <w:bCs/>
        </w:rPr>
        <w:t>。</w:t>
      </w:r>
    </w:p>
    <w:p>
      <w:pPr>
        <w:pStyle w:val="5"/>
      </w:pPr>
      <w:r>
        <w:rPr>
          <w:rFonts w:hint="eastAsia"/>
        </w:rPr>
        <w:t>消防系统</w:t>
      </w:r>
    </w:p>
    <w:p>
      <w:pPr>
        <w:spacing w:line="500" w:lineRule="exact"/>
        <w:ind w:firstLine="480"/>
        <w:rPr>
          <w:rFonts w:eastAsiaTheme="minorEastAsia"/>
        </w:rPr>
      </w:pPr>
      <w:r>
        <w:rPr>
          <w:rFonts w:hint="eastAsia" w:eastAsiaTheme="minorEastAsia"/>
        </w:rPr>
        <w:t>本项目按照《建筑灭火器配置设计规范》（GB</w:t>
      </w:r>
      <w:r>
        <w:rPr>
          <w:rFonts w:eastAsiaTheme="minorEastAsia"/>
        </w:rPr>
        <w:t xml:space="preserve"> </w:t>
      </w:r>
      <w:r>
        <w:rPr>
          <w:rFonts w:hint="eastAsia" w:eastAsiaTheme="minorEastAsia"/>
        </w:rPr>
        <w:t>50140-2005）等有关要求敷设消火栓，车间布设干粉灭火器，消防用水接入市政消防给水管网。</w:t>
      </w:r>
    </w:p>
    <w:p>
      <w:pPr>
        <w:pStyle w:val="4"/>
      </w:pPr>
      <w:bookmarkStart w:id="182" w:name="_Toc3538782"/>
      <w:r>
        <w:rPr>
          <w:rFonts w:hint="eastAsia"/>
        </w:rPr>
        <w:t>工艺流程及产污环节</w:t>
      </w:r>
      <w:bookmarkEnd w:id="182"/>
    </w:p>
    <w:p>
      <w:pPr>
        <w:ind w:firstLine="480"/>
        <w:rPr>
          <w:rFonts w:eastAsiaTheme="minorEastAsia"/>
        </w:rPr>
      </w:pPr>
      <w:r>
        <w:rPr>
          <w:rFonts w:eastAsiaTheme="minorEastAsia"/>
        </w:rPr>
        <w:t>项目</w:t>
      </w:r>
      <w:r>
        <w:rPr>
          <w:rFonts w:hint="eastAsia" w:eastAsiaTheme="minorEastAsia"/>
        </w:rPr>
        <w:t>生产过程为橡胶制品生产，将天然胶和合成胶作为原料，</w:t>
      </w:r>
      <w:r>
        <w:rPr>
          <w:rFonts w:eastAsiaTheme="minorEastAsia"/>
        </w:rPr>
        <w:t>再加入配合剂，进行混炼（密炼、开炼）、硫化得到项目产品橡胶</w:t>
      </w:r>
      <w:r>
        <w:rPr>
          <w:rFonts w:hint="eastAsia" w:eastAsiaTheme="minorEastAsia"/>
        </w:rPr>
        <w:t>部件，然后和配件铁芯进行组装得到最终产品橡胶脚</w:t>
      </w:r>
      <w:r>
        <w:rPr>
          <w:rFonts w:eastAsiaTheme="minorEastAsia"/>
        </w:rPr>
        <w:t>轮</w:t>
      </w:r>
      <w:r>
        <w:rPr>
          <w:rFonts w:hint="eastAsia" w:eastAsiaTheme="minorEastAsia"/>
        </w:rPr>
        <w:t>，该过程中产生粉尘、有机废气、硫化氢</w:t>
      </w:r>
      <w:r>
        <w:rPr>
          <w:rFonts w:eastAsiaTheme="minorEastAsia"/>
        </w:rPr>
        <w:t>。</w:t>
      </w:r>
    </w:p>
    <w:p>
      <w:pPr>
        <w:pStyle w:val="5"/>
      </w:pPr>
      <w:bookmarkStart w:id="183" w:name="_Hlk536733410"/>
      <w:r>
        <w:rPr>
          <w:rFonts w:hint="eastAsia"/>
        </w:rPr>
        <w:t>橡胶制品产品生产工艺流程</w:t>
      </w:r>
    </w:p>
    <w:bookmarkEnd w:id="183"/>
    <w:p>
      <w:pPr>
        <w:pStyle w:val="107"/>
      </w:pPr>
      <w:r>
        <w:drawing>
          <wp:inline distT="0" distB="0" distL="0" distR="0">
            <wp:extent cx="5795645" cy="5483860"/>
            <wp:effectExtent l="0" t="0" r="0" b="254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50"/>
                    <a:stretch>
                      <a:fillRect/>
                    </a:stretch>
                  </pic:blipFill>
                  <pic:spPr>
                    <a:xfrm>
                      <a:off x="0" y="0"/>
                      <a:ext cx="5795645" cy="5483860"/>
                    </a:xfrm>
                    <a:prstGeom prst="rect">
                      <a:avLst/>
                    </a:prstGeom>
                  </pic:spPr>
                </pic:pic>
              </a:graphicData>
            </a:graphic>
          </wp:inline>
        </w:drawing>
      </w:r>
      <w:r>
        <mc:AlternateContent>
          <mc:Choice Requires="wps">
            <w:drawing>
              <wp:anchor distT="0" distB="0" distL="114300" distR="114300" simplePos="0" relativeHeight="251904000" behindDoc="0" locked="0" layoutInCell="1" allowOverlap="1">
                <wp:simplePos x="0" y="0"/>
                <wp:positionH relativeFrom="column">
                  <wp:posOffset>210820</wp:posOffset>
                </wp:positionH>
                <wp:positionV relativeFrom="paragraph">
                  <wp:posOffset>-133985</wp:posOffset>
                </wp:positionV>
                <wp:extent cx="1047750" cy="381000"/>
                <wp:effectExtent l="0" t="0" r="0" b="0"/>
                <wp:wrapNone/>
                <wp:docPr id="132" name="矩形 132"/>
                <wp:cNvGraphicFramePr/>
                <a:graphic xmlns:a="http://schemas.openxmlformats.org/drawingml/2006/main">
                  <a:graphicData uri="http://schemas.microsoft.com/office/word/2010/wordprocessingShape">
                    <wps:wsp>
                      <wps:cNvSpPr/>
                      <wps:spPr>
                        <a:xfrm>
                          <a:off x="0" y="0"/>
                          <a:ext cx="1047750" cy="381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天然胶、合成胶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6pt;margin-top:-10.55pt;height:30pt;width:82.5pt;z-index:251904000;v-text-anchor:middle;mso-width-relative:page;mso-height-relative:page;" fillcolor="#FFFFFF [3212]" filled="t" stroked="f" coordsize="21600,21600" o:gfxdata="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qiCt22AAA&#10;AAkBAAAPAAAAAAAAAAEAIAAAACIAAABkcnMvZG93bnJldi54bWxQSwECFAAUAAAACACHTuJAT9nj&#10;g1cCAACMBAAADgAAAAAAAAABACAAAAAnAQAAZHJzL2Uyb0RvYy54bWxQSwUGAAAAAAYABgBZAQAA&#10;8AUAAAAA&#10;">
                <v:fill on="t" focussize="0,0"/>
                <v:stroke on="f" weight="1pt" miterlimit="8" joinstyle="miter"/>
                <v:imagedata o:title=""/>
                <o:lock v:ext="edit" aspectratio="f"/>
                <v:textbox>
                  <w:txbxContent>
                    <w:p>
                      <w:pPr>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天然胶、合成胶</w:t>
                      </w:r>
                    </w:p>
                  </w:txbxContent>
                </v:textbox>
              </v:rect>
            </w:pict>
          </mc:Fallback>
        </mc:AlternateContent>
      </w:r>
    </w:p>
    <w:p>
      <w:pPr>
        <w:pStyle w:val="18"/>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2.5</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t xml:space="preserve"> </w:t>
      </w:r>
      <w:r>
        <w:rPr>
          <w:rFonts w:hint="eastAsia"/>
        </w:rPr>
        <w:t>橡胶制品产品生产工艺流程</w:t>
      </w:r>
    </w:p>
    <w:p>
      <w:pPr>
        <w:pStyle w:val="54"/>
        <w:ind w:firstLine="0" w:firstLineChars="0"/>
      </w:pPr>
      <w:r>
        <mc:AlternateContent>
          <mc:Choice Requires="wps">
            <w:drawing>
              <wp:anchor distT="0" distB="0" distL="114300" distR="114300" simplePos="0" relativeHeight="251995136" behindDoc="0" locked="0" layoutInCell="1" allowOverlap="1">
                <wp:simplePos x="0" y="0"/>
                <wp:positionH relativeFrom="column">
                  <wp:posOffset>3652520</wp:posOffset>
                </wp:positionH>
                <wp:positionV relativeFrom="paragraph">
                  <wp:posOffset>267335</wp:posOffset>
                </wp:positionV>
                <wp:extent cx="977900" cy="342900"/>
                <wp:effectExtent l="0" t="0" r="0" b="0"/>
                <wp:wrapNone/>
                <wp:docPr id="476" name="矩形 476"/>
                <wp:cNvGraphicFramePr/>
                <a:graphic xmlns:a="http://schemas.openxmlformats.org/drawingml/2006/main">
                  <a:graphicData uri="http://schemas.microsoft.com/office/word/2010/wordprocessingShape">
                    <wps:wsp>
                      <wps:cNvSpPr/>
                      <wps:spPr>
                        <a:xfrm>
                          <a:off x="0" y="0"/>
                          <a:ext cx="977900" cy="34290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有机废气G</w:t>
                            </w:r>
                            <w:r>
                              <w:rPr>
                                <w:color w:val="000000" w:themeColor="text1"/>
                                <w:sz w:val="21"/>
                                <w:szCs w:val="21"/>
                                <w14:textFill>
                                  <w14:solidFill>
                                    <w14:schemeClr w14:val="tx1"/>
                                  </w14:solidFill>
                                </w14:textFill>
                              </w:rPr>
                              <w:t>7</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7.6pt;margin-top:21.05pt;height:27pt;width:77pt;z-index:251995136;v-text-anchor:middle;mso-width-relative:page;mso-height-relative:page;" filled="f" stroked="f" coordsize="21600,21600" o:gfxdata="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1RqbntgAAAAJAQAADwAAAAAAAAAB&#10;ACAAAAAiAAAAZHJzL2Rvd25yZXYueG1sUEsBAhQAFAAAAAgAh07iQPLffkNJAgAAcAQAAA4AAAAA&#10;AAAAAQAgAAAAJwEAAGRycy9lMm9Eb2MueG1sUEsFBgAAAAAGAAYAWQEAAOIFA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有机废气G</w:t>
                      </w:r>
                      <w:r>
                        <w:rPr>
                          <w:color w:val="000000" w:themeColor="text1"/>
                          <w:sz w:val="21"/>
                          <w:szCs w:val="21"/>
                          <w14:textFill>
                            <w14:solidFill>
                              <w14:schemeClr w14:val="tx1"/>
                            </w14:solidFill>
                          </w14:textFill>
                        </w:rPr>
                        <w:t>7</w:t>
                      </w:r>
                    </w:p>
                  </w:txbxContent>
                </v:textbox>
              </v:rect>
            </w:pict>
          </mc:Fallback>
        </mc:AlternateContent>
      </w:r>
      <w:r>
        <mc:AlternateContent>
          <mc:Choice Requires="wps">
            <w:drawing>
              <wp:anchor distT="0" distB="0" distL="114300" distR="114300" simplePos="0" relativeHeight="251990016" behindDoc="0" locked="0" layoutInCell="1" allowOverlap="1">
                <wp:simplePos x="0" y="0"/>
                <wp:positionH relativeFrom="column">
                  <wp:posOffset>3220720</wp:posOffset>
                </wp:positionH>
                <wp:positionV relativeFrom="paragraph">
                  <wp:posOffset>286385</wp:posOffset>
                </wp:positionV>
                <wp:extent cx="527050" cy="342900"/>
                <wp:effectExtent l="0" t="0" r="0" b="0"/>
                <wp:wrapNone/>
                <wp:docPr id="463" name="矩形 463"/>
                <wp:cNvGraphicFramePr/>
                <a:graphic xmlns:a="http://schemas.openxmlformats.org/drawingml/2006/main">
                  <a:graphicData uri="http://schemas.microsoft.com/office/word/2010/wordprocessingShape">
                    <wps:wsp>
                      <wps:cNvSpPr/>
                      <wps:spPr>
                        <a:xfrm>
                          <a:off x="0" y="0"/>
                          <a:ext cx="527050" cy="34290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胶水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3.6pt;margin-top:22.55pt;height:27pt;width:41.5pt;z-index:251990016;v-text-anchor:middle;mso-width-relative:page;mso-height-relative:page;" filled="f" stroked="f" coordsize="21600,21600" o:gfxdata="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HsaZHXAAAACQEAAA8AAAAAAAAA&#10;AQAgAAAAIgAAAGRycy9kb3ducmV2LnhtbFBLAQIUABQAAAAIAIdO4kByNThsSwIAAHAEAAAOAAAA&#10;AAAAAAEAIAAAACYBAABkcnMvZTJvRG9jLnhtbFBLBQYAAAAABgAGAFkBAADjBQ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胶水</w:t>
                      </w:r>
                    </w:p>
                  </w:txbxContent>
                </v:textbox>
              </v:rect>
            </w:pict>
          </mc:Fallback>
        </mc:AlternateContent>
      </w:r>
    </w:p>
    <w:p>
      <w:pPr>
        <w:pStyle w:val="54"/>
        <w:ind w:firstLine="0" w:firstLineChars="0"/>
      </w:pPr>
      <w:r>
        <mc:AlternateContent>
          <mc:Choice Requires="wps">
            <w:drawing>
              <wp:anchor distT="0" distB="0" distL="114300" distR="114300" simplePos="0" relativeHeight="251993088" behindDoc="0" locked="0" layoutInCell="1" allowOverlap="1">
                <wp:simplePos x="0" y="0"/>
                <wp:positionH relativeFrom="column">
                  <wp:posOffset>1163320</wp:posOffset>
                </wp:positionH>
                <wp:positionV relativeFrom="paragraph">
                  <wp:posOffset>14605</wp:posOffset>
                </wp:positionV>
                <wp:extent cx="2057400" cy="342900"/>
                <wp:effectExtent l="0" t="0" r="0" b="0"/>
                <wp:wrapNone/>
                <wp:docPr id="466" name="矩形 466"/>
                <wp:cNvGraphicFramePr/>
                <a:graphic xmlns:a="http://schemas.openxmlformats.org/drawingml/2006/main">
                  <a:graphicData uri="http://schemas.microsoft.com/office/word/2010/wordprocessingShape">
                    <wps:wsp>
                      <wps:cNvSpPr/>
                      <wps:spPr>
                        <a:xfrm>
                          <a:off x="0" y="0"/>
                          <a:ext cx="2057400" cy="342900"/>
                        </a:xfrm>
                        <a:prstGeom prst="rect">
                          <a:avLst/>
                        </a:prstGeom>
                        <a:noFill/>
                        <a:ln w="12700" cap="flat" cmpd="sng" algn="ctr">
                          <a:noFill/>
                          <a:prstDash val="solid"/>
                          <a:miter lim="800000"/>
                        </a:ln>
                        <a:effectLst/>
                      </wps:spPr>
                      <wps:txbx>
                        <w:txbxContent>
                          <w:p>
                            <w:pPr>
                              <w:ind w:firstLine="174" w:firstLineChars="83"/>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粉尘G</w:t>
                            </w:r>
                            <w:r>
                              <w:rPr>
                                <w:color w:val="000000" w:themeColor="text1"/>
                                <w:sz w:val="21"/>
                                <w:szCs w:val="21"/>
                                <w14:textFill>
                                  <w14:solidFill>
                                    <w14:schemeClr w14:val="tx1"/>
                                  </w14:solidFill>
                                </w14:textFill>
                              </w:rPr>
                              <w:t>6</w:t>
                            </w:r>
                            <w:r>
                              <w:rPr>
                                <w:rFonts w:hint="eastAsia"/>
                                <w:color w:val="000000" w:themeColor="text1"/>
                                <w:sz w:val="21"/>
                                <w:szCs w:val="21"/>
                                <w14:textFill>
                                  <w14:solidFill>
                                    <w14:schemeClr w14:val="tx1"/>
                                  </w14:solidFill>
                                </w14:textFill>
                              </w:rPr>
                              <w:t>、噪声N</w:t>
                            </w:r>
                            <w:r>
                              <w:rPr>
                                <w:color w:val="000000" w:themeColor="text1"/>
                                <w:sz w:val="21"/>
                                <w:szCs w:val="21"/>
                                <w14:textFill>
                                  <w14:solidFill>
                                    <w14:schemeClr w14:val="tx1"/>
                                  </w14:solidFill>
                                </w14:textFill>
                              </w:rPr>
                              <w:t>10</w:t>
                            </w:r>
                            <w:r>
                              <w:rPr>
                                <w:rFonts w:hint="eastAsia"/>
                                <w:color w:val="000000" w:themeColor="text1"/>
                                <w:sz w:val="21"/>
                                <w:szCs w:val="21"/>
                                <w14:textFill>
                                  <w14:solidFill>
                                    <w14:schemeClr w14:val="tx1"/>
                                  </w14:solidFill>
                                </w14:textFill>
                              </w:rPr>
                              <w:t>、固废S</w:t>
                            </w:r>
                            <w:r>
                              <w:rPr>
                                <w:color w:val="000000" w:themeColor="text1"/>
                                <w:sz w:val="21"/>
                                <w:szCs w:val="21"/>
                                <w14:textFill>
                                  <w14:solidFill>
                                    <w14:schemeClr w14:val="tx1"/>
                                  </w14:solidFill>
                                </w14:textFill>
                              </w:rPr>
                              <w:t>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1.6pt;margin-top:1.15pt;height:27pt;width:162pt;z-index:251993088;v-text-anchor:middle;mso-width-relative:page;mso-height-relative:page;" filled="f" stroked="f" coordsize="21600,21600" o:gfxdata="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sjIhV1QAAAAgBAAAPAAAAAAAAAAEA&#10;IAAAACIAAABkcnMvZG93bnJldi54bWxQSwECFAAUAAAACACHTuJA8vLr6UsCAABxBAAADgAAAAAA&#10;AAABACAAAAAkAQAAZHJzL2Uyb0RvYy54bWxQSwUGAAAAAAYABgBZAQAA4QUAAAAA&#10;">
                <v:fill on="f" focussize="0,0"/>
                <v:stroke on="f" weight="1pt" miterlimit="8" joinstyle="miter"/>
                <v:imagedata o:title=""/>
                <o:lock v:ext="edit" aspectratio="f"/>
                <v:textbox>
                  <w:txbxContent>
                    <w:p>
                      <w:pPr>
                        <w:ind w:firstLine="174" w:firstLineChars="83"/>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粉尘G</w:t>
                      </w:r>
                      <w:r>
                        <w:rPr>
                          <w:color w:val="000000" w:themeColor="text1"/>
                          <w:sz w:val="21"/>
                          <w:szCs w:val="21"/>
                          <w14:textFill>
                            <w14:solidFill>
                              <w14:schemeClr w14:val="tx1"/>
                            </w14:solidFill>
                          </w14:textFill>
                        </w:rPr>
                        <w:t>6</w:t>
                      </w:r>
                      <w:r>
                        <w:rPr>
                          <w:rFonts w:hint="eastAsia"/>
                          <w:color w:val="000000" w:themeColor="text1"/>
                          <w:sz w:val="21"/>
                          <w:szCs w:val="21"/>
                          <w14:textFill>
                            <w14:solidFill>
                              <w14:schemeClr w14:val="tx1"/>
                            </w14:solidFill>
                          </w14:textFill>
                        </w:rPr>
                        <w:t>、噪声N</w:t>
                      </w:r>
                      <w:r>
                        <w:rPr>
                          <w:color w:val="000000" w:themeColor="text1"/>
                          <w:sz w:val="21"/>
                          <w:szCs w:val="21"/>
                          <w14:textFill>
                            <w14:solidFill>
                              <w14:schemeClr w14:val="tx1"/>
                            </w14:solidFill>
                          </w14:textFill>
                        </w:rPr>
                        <w:t>10</w:t>
                      </w:r>
                      <w:r>
                        <w:rPr>
                          <w:rFonts w:hint="eastAsia"/>
                          <w:color w:val="000000" w:themeColor="text1"/>
                          <w:sz w:val="21"/>
                          <w:szCs w:val="21"/>
                          <w14:textFill>
                            <w14:solidFill>
                              <w14:schemeClr w14:val="tx1"/>
                            </w14:solidFill>
                          </w14:textFill>
                        </w:rPr>
                        <w:t>、固废S</w:t>
                      </w:r>
                      <w:r>
                        <w:rPr>
                          <w:color w:val="000000" w:themeColor="text1"/>
                          <w:sz w:val="21"/>
                          <w:szCs w:val="21"/>
                          <w14:textFill>
                            <w14:solidFill>
                              <w14:schemeClr w14:val="tx1"/>
                            </w14:solidFill>
                          </w14:textFill>
                        </w:rPr>
                        <w:t>5</w:t>
                      </w:r>
                    </w:p>
                  </w:txbxContent>
                </v:textbox>
              </v:rect>
            </w:pict>
          </mc:Fallback>
        </mc:AlternateContent>
      </w:r>
    </w:p>
    <w:p>
      <w:pPr>
        <w:pStyle w:val="54"/>
        <w:ind w:firstLine="0" w:firstLineChars="0"/>
      </w:pPr>
      <w:r>
        <w:rPr>
          <w:rFonts w:hint="eastAsia"/>
        </w:rPr>
        <mc:AlternateContent>
          <mc:Choice Requires="wps">
            <w:drawing>
              <wp:anchor distT="0" distB="0" distL="114300" distR="114300" simplePos="0" relativeHeight="251997184" behindDoc="0" locked="0" layoutInCell="1" allowOverlap="1">
                <wp:simplePos x="0" y="0"/>
                <wp:positionH relativeFrom="column">
                  <wp:posOffset>3956050</wp:posOffset>
                </wp:positionH>
                <wp:positionV relativeFrom="paragraph">
                  <wp:posOffset>14605</wp:posOffset>
                </wp:positionV>
                <wp:extent cx="0" cy="311150"/>
                <wp:effectExtent l="76200" t="38100" r="57150" b="12700"/>
                <wp:wrapNone/>
                <wp:docPr id="478" name="直接箭头连接符 478"/>
                <wp:cNvGraphicFramePr/>
                <a:graphic xmlns:a="http://schemas.openxmlformats.org/drawingml/2006/main">
                  <a:graphicData uri="http://schemas.microsoft.com/office/word/2010/wordprocessingShape">
                    <wps:wsp>
                      <wps:cNvCnPr/>
                      <wps:spPr>
                        <a:xfrm flipV="1">
                          <a:off x="0" y="0"/>
                          <a:ext cx="0" cy="311150"/>
                        </a:xfrm>
                        <a:prstGeom prst="straightConnector1">
                          <a:avLst/>
                        </a:prstGeom>
                        <a:noFill/>
                        <a:ln w="6350" cap="flat" cmpd="sng" algn="ctr">
                          <a:solidFill>
                            <a:sysClr val="windowText" lastClr="000000"/>
                          </a:solidFill>
                          <a:prstDash val="dash"/>
                          <a:miter lim="800000"/>
                          <a:tailEnd type="triangle"/>
                        </a:ln>
                        <a:effectLst/>
                      </wps:spPr>
                      <wps:bodyPr/>
                    </wps:wsp>
                  </a:graphicData>
                </a:graphic>
              </wp:anchor>
            </w:drawing>
          </mc:Choice>
          <mc:Fallback>
            <w:pict>
              <v:shape id="_x0000_s1026" o:spid="_x0000_s1026" o:spt="32" type="#_x0000_t32" style="position:absolute;left:0pt;flip:y;margin-left:311.5pt;margin-top:1.15pt;height:24.5pt;width:0pt;z-index:251997184;mso-width-relative:page;mso-height-relative:page;" filled="f" stroked="t" coordsize="21600,21600" o:gfxdata="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Hn9fPNYAAAAIAQAADwAAAAAAAAABACAAAAAiAAAAZHJzL2Rv&#10;d25yZXYueG1sUEsBAhQAFAAAAAgAh07iQDj/0voDAgAAwQMAAA4AAAAAAAAAAQAgAAAAJQEAAGRy&#10;cy9lMm9Eb2MueG1sUEsFBgAAAAAGAAYAWQEAAJoFAAAAAA==&#10;">
                <v:fill on="f" focussize="0,0"/>
                <v:stroke weight="0.5pt" color="#000000" miterlimit="8" joinstyle="miter" dashstyle="dash" endarrow="block"/>
                <v:imagedata o:title=""/>
                <o:lock v:ext="edit" aspectratio="f"/>
              </v:shape>
            </w:pict>
          </mc:Fallback>
        </mc:AlternateContent>
      </w:r>
      <w:r>
        <w:rPr>
          <w:rFonts w:hint="eastAsia"/>
        </w:rPr>
        <mc:AlternateContent>
          <mc:Choice Requires="wps">
            <w:drawing>
              <wp:anchor distT="0" distB="0" distL="114300" distR="114300" simplePos="0" relativeHeight="251987968" behindDoc="0" locked="0" layoutInCell="1" allowOverlap="1">
                <wp:simplePos x="0" y="0"/>
                <wp:positionH relativeFrom="column">
                  <wp:posOffset>3569970</wp:posOffset>
                </wp:positionH>
                <wp:positionV relativeFrom="paragraph">
                  <wp:posOffset>15875</wp:posOffset>
                </wp:positionV>
                <wp:extent cx="0" cy="368300"/>
                <wp:effectExtent l="76200" t="0" r="76200" b="50800"/>
                <wp:wrapNone/>
                <wp:docPr id="460" name="直接箭头连接符 460"/>
                <wp:cNvGraphicFramePr/>
                <a:graphic xmlns:a="http://schemas.openxmlformats.org/drawingml/2006/main">
                  <a:graphicData uri="http://schemas.microsoft.com/office/word/2010/wordprocessingShape">
                    <wps:wsp>
                      <wps:cNvCnPr/>
                      <wps:spPr>
                        <a:xfrm>
                          <a:off x="0" y="0"/>
                          <a:ext cx="0" cy="368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81.1pt;margin-top:1.25pt;height:29pt;width:0pt;z-index:251987968;mso-width-relative:page;mso-height-relative:page;" filled="f" stroked="t" coordsize="21600,21600" o:gfxdata="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oBKKR1AAA&#10;AAgBAAAPAAAAAAAAAAEAIAAAACIAAABkcnMvZG93bnJldi54bWxQSwECFAAUAAAACACHTuJANJCa&#10;7OkBAACWAwAADgAAAAAAAAABACAAAAAjAQAAZHJzL2Uyb0RvYy54bWxQSwUGAAAAAAYABgBZAQAA&#10;fgUAAAAA&#10;">
                <v:fill on="f" focussize="0,0"/>
                <v:stroke weight="0.5pt" color="#000000 [3200]" miterlimit="8" joinstyle="miter" endarrow="block"/>
                <v:imagedata o:title=""/>
                <o:lock v:ext="edit" aspectratio="f"/>
              </v:shape>
            </w:pict>
          </mc:Fallback>
        </mc:AlternateContent>
      </w:r>
      <w:r>
        <w:rPr>
          <w:rFonts w:hint="eastAsia"/>
        </w:rPr>
        <mc:AlternateContent>
          <mc:Choice Requires="wps">
            <w:drawing>
              <wp:anchor distT="0" distB="0" distL="114300" distR="114300" simplePos="0" relativeHeight="251991040" behindDoc="0" locked="0" layoutInCell="1" allowOverlap="1">
                <wp:simplePos x="0" y="0"/>
                <wp:positionH relativeFrom="column">
                  <wp:posOffset>2338070</wp:posOffset>
                </wp:positionH>
                <wp:positionV relativeFrom="paragraph">
                  <wp:posOffset>60325</wp:posOffset>
                </wp:positionV>
                <wp:extent cx="0" cy="311150"/>
                <wp:effectExtent l="76200" t="38100" r="57150" b="12700"/>
                <wp:wrapNone/>
                <wp:docPr id="465" name="直接箭头连接符 465"/>
                <wp:cNvGraphicFramePr/>
                <a:graphic xmlns:a="http://schemas.openxmlformats.org/drawingml/2006/main">
                  <a:graphicData uri="http://schemas.microsoft.com/office/word/2010/wordprocessingShape">
                    <wps:wsp>
                      <wps:cNvCnPr/>
                      <wps:spPr>
                        <a:xfrm flipV="1">
                          <a:off x="0" y="0"/>
                          <a:ext cx="0" cy="31115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184.1pt;margin-top:4.75pt;height:24.5pt;width:0pt;z-index:251991040;mso-width-relative:page;mso-height-relative:page;" filled="f" stroked="t" coordsize="21600,21600" o:gfxdata="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MMQ5pzXAAAACAEAAA8AAAAAAAAAAQAgAAAAIgAAAGRycy9kb3ducmV2LnhtbFBLAQIUABQA&#10;AAAIAIdO4kAjxCTr8QEAAJ8DAAAOAAAAAAAAAAEAIAAAACYBAABkcnMvZTJvRG9jLnhtbFBLBQYA&#10;AAAABgAGAFkBAACJBQAAAAA=&#10;">
                <v:fill on="f" focussize="0,0"/>
                <v:stroke weight="0.5pt" color="#000000 [3200]" miterlimit="8" joinstyle="miter" dashstyle="dash" endarrow="block"/>
                <v:imagedata o:title=""/>
                <o:lock v:ext="edit" aspectratio="f"/>
              </v:shape>
            </w:pict>
          </mc:Fallback>
        </mc:AlternateContent>
      </w:r>
    </w:p>
    <w:p>
      <w:pPr>
        <w:pStyle w:val="54"/>
        <w:ind w:firstLine="240"/>
      </w:pPr>
      <w:r>
        <mc:AlternateContent>
          <mc:Choice Requires="wps">
            <w:drawing>
              <wp:anchor distT="0" distB="0" distL="114300" distR="114300" simplePos="0" relativeHeight="251984896" behindDoc="0" locked="0" layoutInCell="1" allowOverlap="1">
                <wp:simplePos x="0" y="0"/>
                <wp:positionH relativeFrom="column">
                  <wp:posOffset>4700270</wp:posOffset>
                </wp:positionH>
                <wp:positionV relativeFrom="paragraph">
                  <wp:posOffset>92075</wp:posOffset>
                </wp:positionV>
                <wp:extent cx="895350" cy="355600"/>
                <wp:effectExtent l="0" t="0" r="19050" b="25400"/>
                <wp:wrapNone/>
                <wp:docPr id="186" name="矩形 186"/>
                <wp:cNvGraphicFramePr/>
                <a:graphic xmlns:a="http://schemas.openxmlformats.org/drawingml/2006/main">
                  <a:graphicData uri="http://schemas.microsoft.com/office/word/2010/wordprocessingShape">
                    <wps:wsp>
                      <wps:cNvSpPr/>
                      <wps:spPr>
                        <a:xfrm>
                          <a:off x="0" y="0"/>
                          <a:ext cx="895350" cy="355600"/>
                        </a:xfrm>
                        <a:prstGeom prst="rect">
                          <a:avLst/>
                        </a:prstGeom>
                        <a:noFill/>
                        <a:ln w="12700" cap="flat" cmpd="sng" algn="ctr">
                          <a:solidFill>
                            <a:sysClr val="windowText" lastClr="000000"/>
                          </a:solidFill>
                          <a:prstDash val="solid"/>
                          <a:miter lim="800000"/>
                        </a:ln>
                        <a:effectLst/>
                      </wps:spPr>
                      <wps:txbx>
                        <w:txbxContent>
                          <w:p>
                            <w:pPr>
                              <w:ind w:firstLine="174" w:firstLineChars="83"/>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打包入库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0.1pt;margin-top:7.25pt;height:28pt;width:70.5pt;z-index:251984896;v-text-anchor:middle;mso-width-relative:page;mso-height-relative:page;" filled="f" stroked="t" coordsize="21600,21600" o:gfxdata="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fgOuYdYAAAAJAQAADwAAAAAAAAABACAAAAAiAAAAZHJzL2Rvd25yZXYueG1sUEsBAhQA&#10;FAAAAAgAh07iQPmR0DhmAgAArQQAAA4AAAAAAAAAAQAgAAAAJQEAAGRycy9lMm9Eb2MueG1sUEsF&#10;BgAAAAAGAAYAWQEAAP0FAAAAAA==&#10;">
                <v:fill on="f" focussize="0,0"/>
                <v:stroke weight="1pt" color="#000000" miterlimit="8" joinstyle="miter"/>
                <v:imagedata o:title=""/>
                <o:lock v:ext="edit" aspectratio="f"/>
                <v:textbox>
                  <w:txbxContent>
                    <w:p>
                      <w:pPr>
                        <w:ind w:firstLine="174" w:firstLineChars="83"/>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打包入库</w:t>
                      </w:r>
                    </w:p>
                  </w:txbxContent>
                </v:textbox>
              </v:rect>
            </w:pict>
          </mc:Fallback>
        </mc:AlternateContent>
      </w:r>
      <w:r>
        <mc:AlternateContent>
          <mc:Choice Requires="wps">
            <w:drawing>
              <wp:anchor distT="0" distB="0" distL="114300" distR="114300" simplePos="0" relativeHeight="251986944" behindDoc="0" locked="0" layoutInCell="1" allowOverlap="1">
                <wp:simplePos x="0" y="0"/>
                <wp:positionH relativeFrom="column">
                  <wp:posOffset>4102100</wp:posOffset>
                </wp:positionH>
                <wp:positionV relativeFrom="paragraph">
                  <wp:posOffset>268605</wp:posOffset>
                </wp:positionV>
                <wp:extent cx="565150" cy="0"/>
                <wp:effectExtent l="0" t="76200" r="25400" b="95250"/>
                <wp:wrapNone/>
                <wp:docPr id="188" name="直接箭头连接符 188"/>
                <wp:cNvGraphicFramePr/>
                <a:graphic xmlns:a="http://schemas.openxmlformats.org/drawingml/2006/main">
                  <a:graphicData uri="http://schemas.microsoft.com/office/word/2010/wordprocessingShape">
                    <wps:wsp>
                      <wps:cNvCnPr/>
                      <wps:spPr>
                        <a:xfrm>
                          <a:off x="0" y="0"/>
                          <a:ext cx="56515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_x0000_s1026" o:spid="_x0000_s1026" o:spt="32" type="#_x0000_t32" style="position:absolute;left:0pt;margin-left:323pt;margin-top:21.15pt;height:0pt;width:44.5pt;z-index:251986944;mso-width-relative:page;mso-height-relative:page;" filled="f" stroked="t" coordsize="21600,21600" o:gfxdata="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MsDPWXWAAAACQEAAA8AAAAAAAAAAQAgAAAAIgAAAGRycy9kb3ducmV2Lnht&#10;bFBLAQIUABQAAAAIAIdO4kCx1mfl+wEAALgDAAAOAAAAAAAAAAEAIAAAACUBAABkcnMvZTJvRG9j&#10;LnhtbFBLBQYAAAAABgAGAFkBAACSBQAAAAA=&#10;">
                <v:fill on="f" focussize="0,0"/>
                <v:stroke weight="0.5pt" color="#000000" miterlimit="8" joinstyle="miter" endarrow="block"/>
                <v:imagedata o:title=""/>
                <o:lock v:ext="edit" aspectratio="f"/>
              </v:shape>
            </w:pict>
          </mc:Fallback>
        </mc:AlternateContent>
      </w:r>
      <w:r>
        <mc:AlternateContent>
          <mc:Choice Requires="wps">
            <w:drawing>
              <wp:anchor distT="0" distB="0" distL="114300" distR="114300" simplePos="0" relativeHeight="251982848" behindDoc="0" locked="0" layoutInCell="1" allowOverlap="1">
                <wp:simplePos x="0" y="0"/>
                <wp:positionH relativeFrom="column">
                  <wp:posOffset>3340100</wp:posOffset>
                </wp:positionH>
                <wp:positionV relativeFrom="paragraph">
                  <wp:posOffset>76835</wp:posOffset>
                </wp:positionV>
                <wp:extent cx="762000" cy="355600"/>
                <wp:effectExtent l="0" t="0" r="19050" b="25400"/>
                <wp:wrapNone/>
                <wp:docPr id="166" name="矩形 166"/>
                <wp:cNvGraphicFramePr/>
                <a:graphic xmlns:a="http://schemas.openxmlformats.org/drawingml/2006/main">
                  <a:graphicData uri="http://schemas.microsoft.com/office/word/2010/wordprocessingShape">
                    <wps:wsp>
                      <wps:cNvSpPr/>
                      <wps:spPr>
                        <a:xfrm>
                          <a:off x="0" y="0"/>
                          <a:ext cx="762000" cy="355600"/>
                        </a:xfrm>
                        <a:prstGeom prst="rect">
                          <a:avLst/>
                        </a:prstGeom>
                        <a:noFill/>
                        <a:ln w="12700" cap="flat" cmpd="sng" algn="ctr">
                          <a:solidFill>
                            <a:sysClr val="windowText" lastClr="000000"/>
                          </a:solidFill>
                          <a:prstDash val="solid"/>
                          <a:miter lim="800000"/>
                        </a:ln>
                        <a:effectLst/>
                      </wps:spPr>
                      <wps:txbx>
                        <w:txbxContent>
                          <w:p>
                            <w:pPr>
                              <w:ind w:firstLine="174" w:firstLineChars="83"/>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组装</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3pt;margin-top:6.05pt;height:28pt;width:60pt;z-index:251982848;v-text-anchor:middle;mso-width-relative:page;mso-height-relative:page;" filled="f" stroked="t" coordsize="21600,21600" o:gfxdata="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e48ytdcAAAAJAQAADwAAAAAAAAABACAAAAAiAAAAZHJzL2Rvd25yZXYueG1sUEsBAhQAFAAA&#10;AAgAh07iQBqcIKliAgAArQQAAA4AAAAAAAAAAQAgAAAAJgEAAGRycy9lMm9Eb2MueG1sUEsFBgAA&#10;AAAGAAYAWQEAAPoFAAAAAA==&#10;">
                <v:fill on="f" focussize="0,0"/>
                <v:stroke weight="1pt" color="#000000" miterlimit="8" joinstyle="miter"/>
                <v:imagedata o:title=""/>
                <o:lock v:ext="edit" aspectratio="f"/>
                <v:textbox>
                  <w:txbxContent>
                    <w:p>
                      <w:pPr>
                        <w:ind w:firstLine="174" w:firstLineChars="83"/>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组装</w:t>
                      </w:r>
                    </w:p>
                  </w:txbxContent>
                </v:textbox>
              </v:rect>
            </w:pict>
          </mc:Fallback>
        </mc:AlternateContent>
      </w:r>
      <w:r>
        <mc:AlternateContent>
          <mc:Choice Requires="wps">
            <w:drawing>
              <wp:anchor distT="0" distB="0" distL="114300" distR="114300" simplePos="0" relativeHeight="251980800" behindDoc="0" locked="0" layoutInCell="1" allowOverlap="1">
                <wp:simplePos x="0" y="0"/>
                <wp:positionH relativeFrom="column">
                  <wp:posOffset>2776220</wp:posOffset>
                </wp:positionH>
                <wp:positionV relativeFrom="paragraph">
                  <wp:posOffset>269875</wp:posOffset>
                </wp:positionV>
                <wp:extent cx="565150" cy="0"/>
                <wp:effectExtent l="0" t="76200" r="25400" b="95250"/>
                <wp:wrapNone/>
                <wp:docPr id="162" name="直接箭头连接符 162"/>
                <wp:cNvGraphicFramePr/>
                <a:graphic xmlns:a="http://schemas.openxmlformats.org/drawingml/2006/main">
                  <a:graphicData uri="http://schemas.microsoft.com/office/word/2010/wordprocessingShape">
                    <wps:wsp>
                      <wps:cNvCnPr/>
                      <wps:spPr>
                        <a:xfrm>
                          <a:off x="0" y="0"/>
                          <a:ext cx="5651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18.6pt;margin-top:21.25pt;height:0pt;width:44.5pt;z-index:251980800;mso-width-relative:page;mso-height-relative:page;" filled="f" stroked="t" coordsize="21600,21600" o:gfxdata="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PWxh01QAA&#10;AAkBAAAPAAAAAAAAAAEAIAAAACIAAABkcnMvZG93bnJldi54bWxQSwECFAAUAAAACACHTuJAgsUl&#10;v+gBAACWAwAADgAAAAAAAAABACAAAAAkAQAAZHJzL2Uyb0RvYy54bWxQSwUGAAAAAAYABgBZAQAA&#10;fgUAAAAA&#10;">
                <v:fill on="f" focussize="0,0"/>
                <v:stroke weight="0.5pt" color="#000000 [3200]" miterlimit="8" joinstyle="miter" endarrow="block"/>
                <v:imagedata o:title=""/>
                <o:lock v:ext="edit" aspectratio="f"/>
              </v:shape>
            </w:pict>
          </mc:Fallback>
        </mc:AlternateContent>
      </w:r>
      <w:r>
        <mc:AlternateContent>
          <mc:Choice Requires="wps">
            <w:drawing>
              <wp:anchor distT="0" distB="0" distL="114300" distR="114300" simplePos="0" relativeHeight="251976704" behindDoc="0" locked="0" layoutInCell="1" allowOverlap="1">
                <wp:simplePos x="0" y="0"/>
                <wp:positionH relativeFrom="column">
                  <wp:posOffset>1537970</wp:posOffset>
                </wp:positionH>
                <wp:positionV relativeFrom="paragraph">
                  <wp:posOffset>240030</wp:posOffset>
                </wp:positionV>
                <wp:extent cx="476250" cy="0"/>
                <wp:effectExtent l="0" t="76200" r="19050" b="95250"/>
                <wp:wrapNone/>
                <wp:docPr id="153" name="直接箭头连接符 153"/>
                <wp:cNvGraphicFramePr/>
                <a:graphic xmlns:a="http://schemas.openxmlformats.org/drawingml/2006/main">
                  <a:graphicData uri="http://schemas.microsoft.com/office/word/2010/wordprocessingShape">
                    <wps:wsp>
                      <wps:cNvCnPr/>
                      <wps:spPr>
                        <a:xfrm>
                          <a:off x="0" y="0"/>
                          <a:ext cx="4762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21.1pt;margin-top:18.9pt;height:0pt;width:37.5pt;z-index:251976704;mso-width-relative:page;mso-height-relative:page;" filled="f" stroked="t" coordsize="21600,21600" o:gfxdata="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Ouu1B1AAA&#10;AAkBAAAPAAAAAAAAAAEAIAAAACIAAABkcnMvZG93bnJldi54bWxQSwECFAAUAAAACACHTuJAAA9I&#10;ZukBAACWAwAADgAAAAAAAAABACAAAAAjAQAAZHJzL2Uyb0RvYy54bWxQSwUGAAAAAAYABgBZAQAA&#10;fgUAAAAA&#10;">
                <v:fill on="f" focussize="0,0"/>
                <v:stroke weight="0.5pt" color="#000000 [3200]" miterlimit="8" joinstyle="miter" endarrow="block"/>
                <v:imagedata o:title=""/>
                <o:lock v:ext="edit" aspectratio="f"/>
              </v:shape>
            </w:pict>
          </mc:Fallback>
        </mc:AlternateContent>
      </w:r>
      <w:r>
        <mc:AlternateContent>
          <mc:Choice Requires="wps">
            <w:drawing>
              <wp:anchor distT="0" distB="0" distL="114300" distR="114300" simplePos="0" relativeHeight="251978752" behindDoc="0" locked="0" layoutInCell="1" allowOverlap="1">
                <wp:simplePos x="0" y="0"/>
                <wp:positionH relativeFrom="column">
                  <wp:posOffset>2012950</wp:posOffset>
                </wp:positionH>
                <wp:positionV relativeFrom="paragraph">
                  <wp:posOffset>89535</wp:posOffset>
                </wp:positionV>
                <wp:extent cx="762000" cy="355600"/>
                <wp:effectExtent l="0" t="0" r="19050" b="25400"/>
                <wp:wrapNone/>
                <wp:docPr id="154" name="矩形 154"/>
                <wp:cNvGraphicFramePr/>
                <a:graphic xmlns:a="http://schemas.openxmlformats.org/drawingml/2006/main">
                  <a:graphicData uri="http://schemas.microsoft.com/office/word/2010/wordprocessingShape">
                    <wps:wsp>
                      <wps:cNvSpPr/>
                      <wps:spPr>
                        <a:xfrm>
                          <a:off x="0" y="0"/>
                          <a:ext cx="762000" cy="355600"/>
                        </a:xfrm>
                        <a:prstGeom prst="rect">
                          <a:avLst/>
                        </a:prstGeom>
                        <a:noFill/>
                        <a:ln w="12700" cap="flat" cmpd="sng" algn="ctr">
                          <a:solidFill>
                            <a:sysClr val="windowText" lastClr="000000"/>
                          </a:solidFill>
                          <a:prstDash val="solid"/>
                          <a:miter lim="800000"/>
                        </a:ln>
                        <a:effectLst/>
                      </wps:spPr>
                      <wps:txbx>
                        <w:txbxContent>
                          <w:p>
                            <w:pPr>
                              <w:ind w:firstLine="174" w:firstLineChars="83"/>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抛丸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8.5pt;margin-top:7.05pt;height:28pt;width:60pt;z-index:251978752;v-text-anchor:middle;mso-width-relative:page;mso-height-relative:page;" filled="f" stroked="t" coordsize="21600,21600" o:gfxdata="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MEvSAfXAAAACQEAAA8AAAAAAAAAAQAgAAAAIgAAAGRycy9kb3ducmV2LnhtbFBLAQIUABQA&#10;AAAIAIdO4kDvNJZxYwIAAK0EAAAOAAAAAAAAAAEAIAAAACYBAABkcnMvZTJvRG9jLnhtbFBLBQYA&#10;AAAABgAGAFkBAAD7BQAAAAA=&#10;">
                <v:fill on="f" focussize="0,0"/>
                <v:stroke weight="1pt" color="#000000" miterlimit="8" joinstyle="miter"/>
                <v:imagedata o:title=""/>
                <o:lock v:ext="edit" aspectratio="f"/>
                <v:textbox>
                  <w:txbxContent>
                    <w:p>
                      <w:pPr>
                        <w:ind w:firstLine="174" w:firstLineChars="83"/>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抛丸</w:t>
                      </w:r>
                    </w:p>
                  </w:txbxContent>
                </v:textbox>
              </v:rect>
            </w:pict>
          </mc:Fallback>
        </mc:AlternateContent>
      </w:r>
      <w:r>
        <mc:AlternateContent>
          <mc:Choice Requires="wps">
            <w:drawing>
              <wp:anchor distT="0" distB="0" distL="114300" distR="114300" simplePos="0" relativeHeight="251975680" behindDoc="0" locked="0" layoutInCell="1" allowOverlap="1">
                <wp:simplePos x="0" y="0"/>
                <wp:positionH relativeFrom="column">
                  <wp:posOffset>775970</wp:posOffset>
                </wp:positionH>
                <wp:positionV relativeFrom="paragraph">
                  <wp:posOffset>100330</wp:posOffset>
                </wp:positionV>
                <wp:extent cx="762000" cy="355600"/>
                <wp:effectExtent l="0" t="0" r="19050" b="25400"/>
                <wp:wrapNone/>
                <wp:docPr id="151" name="矩形 151"/>
                <wp:cNvGraphicFramePr/>
                <a:graphic xmlns:a="http://schemas.openxmlformats.org/drawingml/2006/main">
                  <a:graphicData uri="http://schemas.microsoft.com/office/word/2010/wordprocessingShape">
                    <wps:wsp>
                      <wps:cNvSpPr/>
                      <wps:spPr>
                        <a:xfrm>
                          <a:off x="0" y="0"/>
                          <a:ext cx="762000" cy="355600"/>
                        </a:xfrm>
                        <a:prstGeom prst="rect">
                          <a:avLst/>
                        </a:prstGeom>
                        <a:noFill/>
                        <a:ln w="12700" cap="flat" cmpd="sng" algn="ctr">
                          <a:solidFill>
                            <a:sysClr val="windowText" lastClr="000000"/>
                          </a:solidFill>
                          <a:prstDash val="solid"/>
                          <a:miter lim="800000"/>
                        </a:ln>
                        <a:effectLst/>
                      </wps:spPr>
                      <wps:txbx>
                        <w:txbxContent>
                          <w:p>
                            <w:pPr>
                              <w:ind w:firstLine="174" w:firstLineChars="83"/>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1pt;margin-top:7.9pt;height:28pt;width:60pt;z-index:251975680;v-text-anchor:middle;mso-width-relative:page;mso-height-relative:page;" filled="f" stroked="t" coordsize="21600,21600" o:gfxdata="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czrc+1wAAAAkBAAAPAAAAAAAAAAEAIAAAACIAAABkcnMvZG93bnJldi54bWxQSwECFAAUAAAA&#10;CACHTuJAFnxTPGECAACtBAAADgAAAAAAAAABACAAAAAmAQAAZHJzL2Uyb0RvYy54bWxQSwUGAAAA&#10;AAYABgBZAQAA+QUAAAAA&#10;">
                <v:fill on="f" focussize="0,0"/>
                <v:stroke weight="1pt" color="#000000" miterlimit="8" joinstyle="miter"/>
                <v:imagedata o:title=""/>
                <o:lock v:ext="edit" aspectratio="f"/>
                <v:textbox>
                  <w:txbxContent>
                    <w:p>
                      <w:pPr>
                        <w:ind w:firstLine="174" w:firstLineChars="83"/>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铁芯</w:t>
                      </w:r>
                    </w:p>
                  </w:txbxContent>
                </v:textbox>
              </v:rect>
            </w:pict>
          </mc:Fallback>
        </mc:AlternateContent>
      </w:r>
    </w:p>
    <w:p>
      <w:pPr>
        <w:pStyle w:val="54"/>
        <w:ind w:firstLine="240"/>
      </w:pPr>
      <w:r>
        <mc:AlternateContent>
          <mc:Choice Requires="wps">
            <w:drawing>
              <wp:anchor distT="0" distB="0" distL="114300" distR="114300" simplePos="0" relativeHeight="251979776" behindDoc="0" locked="0" layoutInCell="1" allowOverlap="1">
                <wp:simplePos x="0" y="0"/>
                <wp:positionH relativeFrom="column">
                  <wp:posOffset>3747770</wp:posOffset>
                </wp:positionH>
                <wp:positionV relativeFrom="paragraph">
                  <wp:posOffset>131445</wp:posOffset>
                </wp:positionV>
                <wp:extent cx="0" cy="457200"/>
                <wp:effectExtent l="76200" t="38100" r="57150" b="19050"/>
                <wp:wrapNone/>
                <wp:docPr id="158" name="直接箭头连接符 158"/>
                <wp:cNvGraphicFramePr/>
                <a:graphic xmlns:a="http://schemas.openxmlformats.org/drawingml/2006/main">
                  <a:graphicData uri="http://schemas.microsoft.com/office/word/2010/wordprocessingShape">
                    <wps:wsp>
                      <wps:cNvCnPr/>
                      <wps:spPr>
                        <a:xfrm flipV="1">
                          <a:off x="0" y="0"/>
                          <a:ext cx="0" cy="457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295.1pt;margin-top:10.35pt;height:36pt;width:0pt;z-index:251979776;mso-width-relative:page;mso-height-relative:page;" filled="f" stroked="t" coordsize="21600,21600" o:gfxdata="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A0KhhXWAAAACQEAAA8AAAAAAAAAAQAgAAAAIgAAAGRycy9kb3ducmV2LnhtbFBLAQIUABQAAAAI&#10;AIdO4kD7LW2x7wEAAKADAAAOAAAAAAAAAAEAIAAAACUBAABkcnMvZTJvRG9jLnhtbFBLBQYAAAAA&#10;BgAGAFkBAACGBQAAAAA=&#10;">
                <v:fill on="f" focussize="0,0"/>
                <v:stroke weight="0.5pt" color="#000000 [3200]" miterlimit="8" joinstyle="miter" endarrow="block"/>
                <v:imagedata o:title=""/>
                <o:lock v:ext="edit" aspectratio="f"/>
              </v:shape>
            </w:pict>
          </mc:Fallback>
        </mc:AlternateContent>
      </w:r>
    </w:p>
    <w:p>
      <w:pPr>
        <w:pStyle w:val="54"/>
        <w:ind w:firstLine="240"/>
      </w:pPr>
      <w:r>
        <mc:AlternateContent>
          <mc:Choice Requires="wps">
            <w:drawing>
              <wp:anchor distT="0" distB="0" distL="114300" distR="114300" simplePos="0" relativeHeight="251973632" behindDoc="0" locked="0" layoutInCell="1" allowOverlap="1">
                <wp:simplePos x="0" y="0"/>
                <wp:positionH relativeFrom="column">
                  <wp:posOffset>3341370</wp:posOffset>
                </wp:positionH>
                <wp:positionV relativeFrom="paragraph">
                  <wp:posOffset>295910</wp:posOffset>
                </wp:positionV>
                <wp:extent cx="882650" cy="355600"/>
                <wp:effectExtent l="0" t="0" r="12700" b="25400"/>
                <wp:wrapNone/>
                <wp:docPr id="137" name="矩形 137"/>
                <wp:cNvGraphicFramePr/>
                <a:graphic xmlns:a="http://schemas.openxmlformats.org/drawingml/2006/main">
                  <a:graphicData uri="http://schemas.microsoft.com/office/word/2010/wordprocessingShape">
                    <wps:wsp>
                      <wps:cNvSpPr/>
                      <wps:spPr>
                        <a:xfrm>
                          <a:off x="0" y="0"/>
                          <a:ext cx="882650" cy="355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174" w:firstLineChars="83"/>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橡胶部件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3.1pt;margin-top:23.3pt;height:28pt;width:69.5pt;z-index:251973632;v-text-anchor:middle;mso-width-relative:page;mso-height-relative:page;" filled="f" stroked="t" coordsize="21600,21600" o:gfxdata="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BGvwi/XAAAACgEA&#10;AA8AAAAAAAAAAQAgAAAAIgAAAGRycy9kb3ducmV2LnhtbFBLAQIUABQAAAAIAIdO4kB9PBLDVAIA&#10;AIsEAAAOAAAAAAAAAAEAIAAAACYBAABkcnMvZTJvRG9jLnhtbFBLBQYAAAAABgAGAFkBAADsBQAA&#10;AAA=&#10;">
                <v:fill on="f" focussize="0,0"/>
                <v:stroke weight="1pt" color="#000000 [3213]" miterlimit="8" joinstyle="miter"/>
                <v:imagedata o:title=""/>
                <o:lock v:ext="edit" aspectratio="f"/>
                <v:textbox>
                  <w:txbxContent>
                    <w:p>
                      <w:pPr>
                        <w:ind w:firstLine="174" w:firstLineChars="83"/>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橡胶部件</w:t>
                      </w:r>
                    </w:p>
                  </w:txbxContent>
                </v:textbox>
              </v:rect>
            </w:pict>
          </mc:Fallback>
        </mc:AlternateContent>
      </w:r>
    </w:p>
    <w:p>
      <w:pPr>
        <w:pStyle w:val="54"/>
        <w:ind w:firstLine="240"/>
      </w:pPr>
    </w:p>
    <w:p>
      <w:pPr>
        <w:pStyle w:val="54"/>
        <w:ind w:firstLine="240"/>
      </w:pPr>
    </w:p>
    <w:p>
      <w:pPr>
        <w:pStyle w:val="18"/>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2.5</w:t>
      </w:r>
      <w:r>
        <w:fldChar w:fldCharType="end"/>
      </w:r>
      <w:r>
        <w:noBreakHyphen/>
      </w:r>
      <w:r>
        <w:t xml:space="preserve">2 </w:t>
      </w:r>
      <w:r>
        <w:rPr>
          <w:rFonts w:hint="eastAsia"/>
        </w:rPr>
        <w:t>组装成品生产工艺流程</w:t>
      </w:r>
    </w:p>
    <w:p>
      <w:pPr>
        <w:pStyle w:val="54"/>
        <w:ind w:firstLine="240"/>
      </w:pPr>
    </w:p>
    <w:p>
      <w:pPr>
        <w:pStyle w:val="54"/>
        <w:ind w:firstLine="240"/>
      </w:pPr>
    </w:p>
    <w:p>
      <w:pPr>
        <w:pStyle w:val="54"/>
        <w:ind w:firstLine="240"/>
      </w:pPr>
    </w:p>
    <w:p>
      <w:pPr>
        <w:pStyle w:val="102"/>
        <w:numPr>
          <w:ilvl w:val="0"/>
          <w:numId w:val="21"/>
        </w:num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配料、投料工序</w:t>
      </w:r>
    </w:p>
    <w:p>
      <w:pPr>
        <w:ind w:firstLine="480"/>
        <w:rPr>
          <w:rStyle w:val="63"/>
          <w:color w:val="000000" w:themeColor="text1"/>
          <w14:textFill>
            <w14:solidFill>
              <w14:schemeClr w14:val="tx1"/>
            </w14:solidFill>
          </w14:textFill>
        </w:rPr>
      </w:pPr>
      <w:r>
        <w:rPr>
          <w:rStyle w:val="63"/>
          <w:color w:val="000000" w:themeColor="text1"/>
          <w14:textFill>
            <w14:solidFill>
              <w14:schemeClr w14:val="tx1"/>
            </w14:solidFill>
          </w14:textFill>
        </w:rPr>
        <w:t>项目</w:t>
      </w:r>
      <w:r>
        <w:rPr>
          <w:rStyle w:val="63"/>
          <w:rFonts w:hint="eastAsia"/>
          <w:color w:val="000000" w:themeColor="text1"/>
          <w14:textFill>
            <w14:solidFill>
              <w14:schemeClr w14:val="tx1"/>
            </w14:solidFill>
          </w14:textFill>
        </w:rPr>
        <w:t>生产使用的原辅材料较多，其中合成胶、天然胶称量后人工投入密炼机中，石粉、氧化锌、硬脂酸、钛白粉、白炭黑和硫磺粉等粉状原材料及辅助材料采用塑料袋包装的方式运至原料仓库，在配料间经人工解包后根据配方进行手工称重计量，再包装成袋，密炼时解包投入密炼机。其中的粉状物料由于颗粒直径很小（通常小于100微米），比重较轻，起尘风速低，在人工配料和投料过程中轻质粉末飞扬会产生少量粉尘，此部分粉尘目前无收集，无组织排放。</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项目每周集中配料约</w:t>
      </w:r>
      <w:r>
        <w:rPr>
          <w:rStyle w:val="63"/>
          <w:color w:val="000000" w:themeColor="text1"/>
          <w14:textFill>
            <w14:solidFill>
              <w14:schemeClr w14:val="tx1"/>
            </w14:solidFill>
          </w14:textFill>
        </w:rPr>
        <w:t>4小时</w:t>
      </w:r>
      <w:r>
        <w:rPr>
          <w:rStyle w:val="63"/>
          <w:rFonts w:hint="eastAsia"/>
          <w:color w:val="000000" w:themeColor="text1"/>
          <w14:textFill>
            <w14:solidFill>
              <w14:schemeClr w14:val="tx1"/>
            </w14:solidFill>
          </w14:textFill>
        </w:rPr>
        <w:t>，项目年工作周数4</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周，则年配料时间约为1</w:t>
      </w:r>
      <w:r>
        <w:rPr>
          <w:rStyle w:val="63"/>
          <w:color w:val="000000" w:themeColor="text1"/>
          <w14:textFill>
            <w14:solidFill>
              <w14:schemeClr w14:val="tx1"/>
            </w14:solidFill>
          </w14:textFill>
        </w:rPr>
        <w:t>68</w:t>
      </w:r>
      <w:r>
        <w:rPr>
          <w:rStyle w:val="63"/>
          <w:rFonts w:hint="eastAsia"/>
          <w:color w:val="000000" w:themeColor="text1"/>
          <w14:textFill>
            <w14:solidFill>
              <w14:schemeClr w14:val="tx1"/>
            </w14:solidFill>
          </w14:textFill>
        </w:rPr>
        <w:t>小时</w:t>
      </w:r>
      <w:r>
        <w:rPr>
          <w:rStyle w:val="63"/>
          <w:color w:val="000000" w:themeColor="text1"/>
          <w14:textFill>
            <w14:solidFill>
              <w14:schemeClr w14:val="tx1"/>
            </w14:solidFill>
          </w14:textFill>
        </w:rPr>
        <w:t>。</w:t>
      </w:r>
    </w:p>
    <w:p>
      <w:pPr>
        <w:pStyle w:val="18"/>
        <w:rPr>
          <w:rStyle w:val="63"/>
          <w:color w:val="000000" w:themeColor="text1"/>
          <w14:textFill>
            <w14:solidFill>
              <w14:schemeClr w14:val="tx1"/>
            </w14:solidFill>
          </w14:textFill>
        </w:rPr>
      </w:pPr>
      <w:bookmarkStart w:id="184" w:name="_Ref3498021"/>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2.5</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1</w:t>
      </w:r>
      <w:r>
        <w:rPr>
          <w:rStyle w:val="63"/>
          <w:color w:val="000000" w:themeColor="text1"/>
          <w14:textFill>
            <w14:solidFill>
              <w14:schemeClr w14:val="tx1"/>
            </w14:solidFill>
          </w14:textFill>
        </w:rPr>
        <w:fldChar w:fldCharType="end"/>
      </w:r>
      <w:bookmarkEnd w:id="184"/>
      <w:r>
        <w:rPr>
          <w:rStyle w:val="63"/>
          <w:rFonts w:hint="eastAsia"/>
          <w:color w:val="000000" w:themeColor="text1"/>
          <w14:textFill>
            <w14:solidFill>
              <w14:schemeClr w14:val="tx1"/>
            </w14:solidFill>
          </w14:textFill>
        </w:rPr>
        <w:t>项目密炼工序物料配料比表</w:t>
      </w:r>
    </w:p>
    <w:tbl>
      <w:tblPr>
        <w:tblStyle w:val="56"/>
        <w:tblW w:w="9117" w:type="dxa"/>
        <w:tblInd w:w="0" w:type="dxa"/>
        <w:tblLayout w:type="fixed"/>
        <w:tblCellMar>
          <w:top w:w="0" w:type="dxa"/>
          <w:left w:w="108" w:type="dxa"/>
          <w:bottom w:w="0" w:type="dxa"/>
          <w:right w:w="108" w:type="dxa"/>
        </w:tblCellMar>
      </w:tblPr>
      <w:tblGrid>
        <w:gridCol w:w="1632"/>
        <w:gridCol w:w="1521"/>
        <w:gridCol w:w="1933"/>
        <w:gridCol w:w="1938"/>
        <w:gridCol w:w="2093"/>
      </w:tblGrid>
      <w:tr>
        <w:tblPrEx>
          <w:tblLayout w:type="fixed"/>
          <w:tblCellMar>
            <w:top w:w="0" w:type="dxa"/>
            <w:left w:w="108" w:type="dxa"/>
            <w:bottom w:w="0" w:type="dxa"/>
            <w:right w:w="108" w:type="dxa"/>
          </w:tblCellMar>
        </w:tblPrEx>
        <w:trPr>
          <w:trHeight w:val="283" w:hRule="atLeast"/>
          <w:tblHeader/>
        </w:trPr>
        <w:tc>
          <w:tcPr>
            <w:tcW w:w="1632"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分类</w:t>
            </w:r>
          </w:p>
        </w:tc>
        <w:tc>
          <w:tcPr>
            <w:tcW w:w="1521" w:type="dxa"/>
            <w:tcBorders>
              <w:top w:val="single" w:color="auto" w:sz="4" w:space="0"/>
              <w:left w:val="single" w:color="auto" w:sz="4" w:space="0"/>
              <w:bottom w:val="single" w:color="auto" w:sz="4" w:space="0"/>
              <w:right w:val="nil"/>
            </w:tcBorders>
            <w:shd w:val="clear" w:color="auto" w:fill="D8D8D8" w:themeFill="background1" w:themeFillShade="D9"/>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原辅材料名称</w:t>
            </w:r>
          </w:p>
        </w:tc>
        <w:tc>
          <w:tcPr>
            <w:tcW w:w="1933"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配比（</w:t>
            </w:r>
            <w:r>
              <w:rPr>
                <w:rStyle w:val="63"/>
                <w:color w:val="000000" w:themeColor="text1"/>
                <w14:textFill>
                  <w14:solidFill>
                    <w14:schemeClr w14:val="tx1"/>
                  </w14:solidFill>
                </w14:textFill>
              </w:rPr>
              <w:t>kg/</w:t>
            </w:r>
            <w:r>
              <w:rPr>
                <w:rStyle w:val="63"/>
                <w:rFonts w:hint="eastAsia"/>
                <w:color w:val="000000" w:themeColor="text1"/>
                <w14:textFill>
                  <w14:solidFill>
                    <w14:schemeClr w14:val="tx1"/>
                  </w14:solidFill>
                </w14:textFill>
              </w:rPr>
              <w:t>批次）</w:t>
            </w:r>
          </w:p>
        </w:tc>
        <w:tc>
          <w:tcPr>
            <w:tcW w:w="1938"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每日使用量</w:t>
            </w:r>
            <w:r>
              <w:rPr>
                <w:rStyle w:val="63"/>
                <w:color w:val="000000" w:themeColor="text1"/>
                <w14:textFill>
                  <w14:solidFill>
                    <w14:schemeClr w14:val="tx1"/>
                  </w14:solidFill>
                </w14:textFill>
              </w:rPr>
              <w:t>(kg/d)</w:t>
            </w:r>
          </w:p>
        </w:tc>
        <w:tc>
          <w:tcPr>
            <w:tcW w:w="2093"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每年使用量</w:t>
            </w:r>
            <w:r>
              <w:rPr>
                <w:rStyle w:val="63"/>
                <w:color w:val="000000" w:themeColor="text1"/>
                <w14:textFill>
                  <w14:solidFill>
                    <w14:schemeClr w14:val="tx1"/>
                  </w14:solidFill>
                </w14:textFill>
              </w:rPr>
              <w:t>(t/a)</w:t>
            </w:r>
          </w:p>
        </w:tc>
      </w:tr>
      <w:tr>
        <w:tblPrEx>
          <w:tblLayout w:type="fixed"/>
          <w:tblCellMar>
            <w:top w:w="0" w:type="dxa"/>
            <w:left w:w="108" w:type="dxa"/>
            <w:bottom w:w="0" w:type="dxa"/>
            <w:right w:w="108" w:type="dxa"/>
          </w:tblCellMar>
        </w:tblPrEx>
        <w:trPr>
          <w:trHeight w:val="283" w:hRule="atLeast"/>
        </w:trPr>
        <w:tc>
          <w:tcPr>
            <w:tcW w:w="1632" w:type="dxa"/>
            <w:tcBorders>
              <w:top w:val="single" w:color="auto" w:sz="8" w:space="0"/>
              <w:left w:val="single" w:color="auto" w:sz="8"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主胶料</w:t>
            </w:r>
          </w:p>
        </w:tc>
        <w:tc>
          <w:tcPr>
            <w:tcW w:w="1521" w:type="dxa"/>
            <w:tcBorders>
              <w:top w:val="single" w:color="auto" w:sz="8"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天然胶、合成胶</w:t>
            </w:r>
          </w:p>
        </w:tc>
        <w:tc>
          <w:tcPr>
            <w:tcW w:w="1933"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41.67</w:t>
            </w:r>
          </w:p>
        </w:tc>
        <w:tc>
          <w:tcPr>
            <w:tcW w:w="193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1333.33</w:t>
            </w:r>
          </w:p>
        </w:tc>
        <w:tc>
          <w:tcPr>
            <w:tcW w:w="209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4</w:t>
            </w:r>
            <w:r>
              <w:rPr>
                <w:rStyle w:val="63"/>
                <w:color w:val="000000" w:themeColor="text1"/>
                <w14:textFill>
                  <w14:solidFill>
                    <w14:schemeClr w14:val="tx1"/>
                  </w14:solidFill>
                </w14:textFill>
              </w:rPr>
              <w:t>00</w:t>
            </w:r>
          </w:p>
        </w:tc>
      </w:tr>
      <w:tr>
        <w:tblPrEx>
          <w:tblLayout w:type="fixed"/>
          <w:tblCellMar>
            <w:top w:w="0" w:type="dxa"/>
            <w:left w:w="108" w:type="dxa"/>
            <w:bottom w:w="0" w:type="dxa"/>
            <w:right w:w="108" w:type="dxa"/>
          </w:tblCellMar>
        </w:tblPrEx>
        <w:trPr>
          <w:trHeight w:val="283" w:hRule="atLeast"/>
        </w:trPr>
        <w:tc>
          <w:tcPr>
            <w:tcW w:w="1632" w:type="dxa"/>
            <w:tcBorders>
              <w:top w:val="nil"/>
              <w:left w:val="single" w:color="auto" w:sz="8"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填充剂</w:t>
            </w:r>
          </w:p>
        </w:tc>
        <w:tc>
          <w:tcPr>
            <w:tcW w:w="1521"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钙粉</w:t>
            </w:r>
          </w:p>
        </w:tc>
        <w:tc>
          <w:tcPr>
            <w:tcW w:w="1933"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41.67</w:t>
            </w:r>
          </w:p>
        </w:tc>
        <w:tc>
          <w:tcPr>
            <w:tcW w:w="1938"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1333.33</w:t>
            </w:r>
          </w:p>
        </w:tc>
        <w:tc>
          <w:tcPr>
            <w:tcW w:w="209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400</w:t>
            </w:r>
          </w:p>
        </w:tc>
      </w:tr>
      <w:tr>
        <w:tblPrEx>
          <w:tblLayout w:type="fixed"/>
          <w:tblCellMar>
            <w:top w:w="0" w:type="dxa"/>
            <w:left w:w="108" w:type="dxa"/>
            <w:bottom w:w="0" w:type="dxa"/>
            <w:right w:w="108" w:type="dxa"/>
          </w:tblCellMar>
        </w:tblPrEx>
        <w:trPr>
          <w:trHeight w:val="283" w:hRule="atLeast"/>
        </w:trPr>
        <w:tc>
          <w:tcPr>
            <w:tcW w:w="1632" w:type="dxa"/>
            <w:tcBorders>
              <w:top w:val="nil"/>
              <w:left w:val="single" w:color="auto" w:sz="8"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活性剂</w:t>
            </w:r>
          </w:p>
        </w:tc>
        <w:tc>
          <w:tcPr>
            <w:tcW w:w="1521"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硬脂酸</w:t>
            </w:r>
          </w:p>
        </w:tc>
        <w:tc>
          <w:tcPr>
            <w:tcW w:w="1933"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0.21</w:t>
            </w:r>
          </w:p>
        </w:tc>
        <w:tc>
          <w:tcPr>
            <w:tcW w:w="1938"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6.67</w:t>
            </w:r>
            <w:r>
              <w:rPr>
                <w:rStyle w:val="63"/>
                <w:rFonts w:hint="eastAsia"/>
                <w:color w:val="000000" w:themeColor="text1"/>
                <w14:textFill>
                  <w14:solidFill>
                    <w14:schemeClr w14:val="tx1"/>
                  </w14:solidFill>
                </w14:textFill>
              </w:rPr>
              <w:t xml:space="preserve"> </w:t>
            </w:r>
          </w:p>
        </w:tc>
        <w:tc>
          <w:tcPr>
            <w:tcW w:w="209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w:t>
            </w:r>
          </w:p>
        </w:tc>
      </w:tr>
      <w:tr>
        <w:tblPrEx>
          <w:tblLayout w:type="fixed"/>
          <w:tblCellMar>
            <w:top w:w="0" w:type="dxa"/>
            <w:left w:w="108" w:type="dxa"/>
            <w:bottom w:w="0" w:type="dxa"/>
            <w:right w:w="108" w:type="dxa"/>
          </w:tblCellMar>
        </w:tblPrEx>
        <w:trPr>
          <w:trHeight w:val="283" w:hRule="atLeast"/>
        </w:trPr>
        <w:tc>
          <w:tcPr>
            <w:tcW w:w="1632" w:type="dxa"/>
            <w:tcBorders>
              <w:top w:val="nil"/>
              <w:left w:val="single" w:color="auto" w:sz="8" w:space="0"/>
              <w:bottom w:val="single" w:color="auto" w:sz="8"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活性剂</w:t>
            </w:r>
          </w:p>
        </w:tc>
        <w:tc>
          <w:tcPr>
            <w:tcW w:w="1521" w:type="dxa"/>
            <w:tcBorders>
              <w:top w:val="nil"/>
              <w:left w:val="nil"/>
              <w:bottom w:val="single" w:color="auto" w:sz="8"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氧化锌</w:t>
            </w:r>
          </w:p>
        </w:tc>
        <w:tc>
          <w:tcPr>
            <w:tcW w:w="1933"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1.25</w:t>
            </w:r>
          </w:p>
        </w:tc>
        <w:tc>
          <w:tcPr>
            <w:tcW w:w="1938"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40</w:t>
            </w:r>
          </w:p>
        </w:tc>
        <w:tc>
          <w:tcPr>
            <w:tcW w:w="209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12</w:t>
            </w:r>
          </w:p>
        </w:tc>
      </w:tr>
      <w:tr>
        <w:tblPrEx>
          <w:tblLayout w:type="fixed"/>
          <w:tblCellMar>
            <w:top w:w="0" w:type="dxa"/>
            <w:left w:w="108" w:type="dxa"/>
            <w:bottom w:w="0" w:type="dxa"/>
            <w:right w:w="108" w:type="dxa"/>
          </w:tblCellMar>
        </w:tblPrEx>
        <w:trPr>
          <w:trHeight w:val="283" w:hRule="atLeast"/>
        </w:trPr>
        <w:tc>
          <w:tcPr>
            <w:tcW w:w="1632" w:type="dxa"/>
            <w:tcBorders>
              <w:top w:val="single" w:color="auto" w:sz="4" w:space="0"/>
              <w:left w:val="single" w:color="auto" w:sz="8"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促进剂</w:t>
            </w:r>
          </w:p>
        </w:tc>
        <w:tc>
          <w:tcPr>
            <w:tcW w:w="1521" w:type="dxa"/>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Fonts w:hint="eastAsia"/>
              </w:rPr>
              <w:t>白炭黑</w:t>
            </w:r>
          </w:p>
        </w:tc>
        <w:tc>
          <w:tcPr>
            <w:tcW w:w="1933"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5.21</w:t>
            </w:r>
          </w:p>
        </w:tc>
        <w:tc>
          <w:tcPr>
            <w:tcW w:w="1938"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166.67</w:t>
            </w:r>
          </w:p>
        </w:tc>
        <w:tc>
          <w:tcPr>
            <w:tcW w:w="209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50</w:t>
            </w:r>
          </w:p>
        </w:tc>
      </w:tr>
      <w:tr>
        <w:tblPrEx>
          <w:tblLayout w:type="fixed"/>
          <w:tblCellMar>
            <w:top w:w="0" w:type="dxa"/>
            <w:left w:w="108" w:type="dxa"/>
            <w:bottom w:w="0" w:type="dxa"/>
            <w:right w:w="108" w:type="dxa"/>
          </w:tblCellMar>
        </w:tblPrEx>
        <w:trPr>
          <w:trHeight w:val="283" w:hRule="atLeast"/>
        </w:trPr>
        <w:tc>
          <w:tcPr>
            <w:tcW w:w="1632" w:type="dxa"/>
            <w:tcBorders>
              <w:top w:val="single" w:color="auto" w:sz="4" w:space="0"/>
              <w:left w:val="single" w:color="auto" w:sz="8"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Fonts w:hint="eastAsia"/>
              </w:rPr>
              <w:t>催化剂</w:t>
            </w:r>
          </w:p>
        </w:tc>
        <w:tc>
          <w:tcPr>
            <w:tcW w:w="1521"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钛白粉</w:t>
            </w:r>
          </w:p>
        </w:tc>
        <w:tc>
          <w:tcPr>
            <w:tcW w:w="1933"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.52</w:t>
            </w:r>
          </w:p>
        </w:tc>
        <w:tc>
          <w:tcPr>
            <w:tcW w:w="1938"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6.67</w:t>
            </w:r>
          </w:p>
        </w:tc>
        <w:tc>
          <w:tcPr>
            <w:tcW w:w="209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w:t>
            </w:r>
          </w:p>
        </w:tc>
      </w:tr>
      <w:tr>
        <w:tblPrEx>
          <w:tblLayout w:type="fixed"/>
          <w:tblCellMar>
            <w:top w:w="0" w:type="dxa"/>
            <w:left w:w="108" w:type="dxa"/>
            <w:bottom w:w="0" w:type="dxa"/>
            <w:right w:w="108" w:type="dxa"/>
          </w:tblCellMar>
        </w:tblPrEx>
        <w:trPr>
          <w:trHeight w:val="283" w:hRule="atLeast"/>
        </w:trPr>
        <w:tc>
          <w:tcPr>
            <w:tcW w:w="1632" w:type="dxa"/>
            <w:tcBorders>
              <w:top w:val="nil"/>
              <w:left w:val="single" w:color="auto" w:sz="8"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硫化剂</w:t>
            </w:r>
          </w:p>
        </w:tc>
        <w:tc>
          <w:tcPr>
            <w:tcW w:w="1521"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硫磺粉</w:t>
            </w:r>
          </w:p>
        </w:tc>
        <w:tc>
          <w:tcPr>
            <w:tcW w:w="1933"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31</w:t>
            </w:r>
          </w:p>
        </w:tc>
        <w:tc>
          <w:tcPr>
            <w:tcW w:w="1938"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w:t>
            </w:r>
            <w:r>
              <w:rPr>
                <w:rStyle w:val="63"/>
                <w:rFonts w:hint="eastAsia"/>
                <w:color w:val="000000" w:themeColor="text1"/>
                <w14:textFill>
                  <w14:solidFill>
                    <w14:schemeClr w14:val="tx1"/>
                  </w14:solidFill>
                </w14:textFill>
              </w:rPr>
              <w:t xml:space="preserve"> </w:t>
            </w:r>
          </w:p>
        </w:tc>
        <w:tc>
          <w:tcPr>
            <w:tcW w:w="209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w:t>
            </w:r>
          </w:p>
        </w:tc>
      </w:tr>
      <w:tr>
        <w:tblPrEx>
          <w:tblLayout w:type="fixed"/>
          <w:tblCellMar>
            <w:top w:w="0" w:type="dxa"/>
            <w:left w:w="108" w:type="dxa"/>
            <w:bottom w:w="0" w:type="dxa"/>
            <w:right w:w="108" w:type="dxa"/>
          </w:tblCellMar>
        </w:tblPrEx>
        <w:trPr>
          <w:trHeight w:val="283" w:hRule="atLeast"/>
        </w:trPr>
        <w:tc>
          <w:tcPr>
            <w:tcW w:w="3153"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小计</w:t>
            </w:r>
          </w:p>
        </w:tc>
        <w:tc>
          <w:tcPr>
            <w:tcW w:w="193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90.84</w:t>
            </w:r>
          </w:p>
        </w:tc>
        <w:tc>
          <w:tcPr>
            <w:tcW w:w="1938"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903.33</w:t>
            </w:r>
          </w:p>
        </w:tc>
        <w:tc>
          <w:tcPr>
            <w:tcW w:w="2093"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872</w:t>
            </w:r>
          </w:p>
        </w:tc>
      </w:tr>
    </w:tbl>
    <w:p>
      <w:pPr>
        <w:pStyle w:val="54"/>
        <w:ind w:firstLine="0" w:firstLineChars="0"/>
      </w:pPr>
    </w:p>
    <w:p>
      <w:pPr>
        <w:pStyle w:val="102"/>
        <w:numPr>
          <w:ilvl w:val="0"/>
          <w:numId w:val="21"/>
        </w:numPr>
        <w:ind w:firstLine="480"/>
        <w:rPr>
          <w:rFonts w:asciiTheme="minorHAnsi" w:hAnsiTheme="minorHAnsi" w:eastAsiaTheme="minorEastAsia"/>
        </w:rPr>
      </w:pPr>
      <w:r>
        <w:rPr>
          <w:rFonts w:hint="eastAsia" w:asciiTheme="minorHAnsi" w:hAnsiTheme="minorHAnsi" w:eastAsiaTheme="minorEastAsia"/>
        </w:rPr>
        <w:t>混炼（密炼和开炼）</w:t>
      </w:r>
    </w:p>
    <w:p>
      <w:pPr>
        <w:ind w:firstLine="480"/>
      </w:pPr>
      <w:r>
        <w:rPr>
          <w:rFonts w:hint="eastAsia"/>
        </w:rPr>
        <w:t>将各种配合剂混入生胶中，制成质量均一的混炼胶的过程称为混炼。在混炼工段由于硫磺的熔点较低（1</w:t>
      </w:r>
      <w:r>
        <w:t>14</w:t>
      </w:r>
      <w:r>
        <w:rPr>
          <w:rFonts w:hint="eastAsia"/>
        </w:rPr>
        <w:t>℃），过高的温度会导致硫磺在密炼机、开炼机上熔融，并引起烧结，造成混炼胶出现早期硫化，使橡胶制品的物理性能下降或生成熟胶而造成经济损失。因此，密炼机、开炼机用循环水冷却，以防止胶料的早期硫化。</w:t>
      </w:r>
    </w:p>
    <w:p>
      <w:pPr>
        <w:ind w:firstLine="480"/>
        <w:rPr>
          <w:rFonts w:eastAsiaTheme="minorEastAsia"/>
        </w:rPr>
      </w:pPr>
      <w:r>
        <w:rPr>
          <w:rFonts w:hint="eastAsia" w:eastAsiaTheme="minorEastAsia"/>
        </w:rPr>
        <w:t>本项目混炼车间设2人，其中密炼机操作工1人，开炼机操作工1人。</w:t>
      </w:r>
    </w:p>
    <w:p>
      <w:pPr>
        <w:ind w:firstLine="480"/>
        <w:rPr>
          <w:rFonts w:eastAsiaTheme="minorEastAsia"/>
        </w:rPr>
      </w:pPr>
      <w:r>
        <w:rPr>
          <w:rFonts w:hint="eastAsia" w:eastAsiaTheme="minorEastAsia"/>
        </w:rPr>
        <w:t>本项目炼胶周期较短，基本在不间断工作，可视为连续。</w:t>
      </w:r>
    </w:p>
    <w:p>
      <w:pPr>
        <w:pStyle w:val="99"/>
        <w:numPr>
          <w:ilvl w:val="0"/>
          <w:numId w:val="19"/>
        </w:numPr>
        <w:ind w:firstLineChars="0"/>
        <w:rPr>
          <w:rFonts w:eastAsiaTheme="minorEastAsia"/>
        </w:rPr>
      </w:pPr>
      <w:r>
        <w:rPr>
          <w:rFonts w:hint="eastAsia" w:eastAsiaTheme="minorEastAsia"/>
        </w:rPr>
        <w:t>密炼</w:t>
      </w:r>
    </w:p>
    <w:p>
      <w:pPr>
        <w:ind w:firstLine="480"/>
      </w:pPr>
      <w:r>
        <w:rPr>
          <w:rFonts w:hint="eastAsia"/>
        </w:rPr>
        <w:t>密炼机开启仓门，按配方将胶块、钙粉、氧化锌、硬脂酸、钛白粉、白炭黑和硫磺等物料人工投入密炼机的料槽中，料槽容积约5</w:t>
      </w:r>
      <w:r>
        <w:t>5L</w:t>
      </w:r>
      <w:r>
        <w:rPr>
          <w:rFonts w:hint="eastAsia"/>
        </w:rPr>
        <w:t>。通过转子、上下顶栓等机械拌合作用产生复杂的流动方式和高剪切力，使各种原料完全、均匀地分散在胶体中。项目密炼过程不需加热，在常温下进行，橡胶原料与各种配合剂在机械力及化学反应等作用力下进行混合、反应而摩擦生热，需要通过循环水进行间接冷却，密炼温度保持在</w:t>
      </w:r>
      <w:r>
        <w:t>7</w:t>
      </w:r>
      <w:r>
        <w:rPr>
          <w:rFonts w:hint="eastAsia"/>
        </w:rPr>
        <w:t>0℃~</w:t>
      </w:r>
      <w:r>
        <w:t>8</w:t>
      </w:r>
      <w:r>
        <w:rPr>
          <w:rFonts w:hint="eastAsia"/>
        </w:rPr>
        <w:t>0℃，避免胶料自硫化。</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密炼机主要用于橡胶的密炼，密炼作用的基本工作部分由密炼室、转子、上顶栓和下顶栓构成。物料从加料斗加入密炼室后，加料门关闭，压料装置的上顶栓降落，对物料加压，物料在上顶栓的压力和摩擦力作用下，被带入两个具有螺旋棱、有速比、相对回转的两转子间隙中，物料在由转子与转子，转子与密炼室壁、上顶栓、下顶栓组成的捏炼系统内受到不断变化和反复进行的剪切、撕拉、搅拌、折卷和摩擦的强烈捏炼作用，增加可塑度，使配料分散均匀，从而达到混炼的目的，物料炼好后，卸料门打开，物料从密炼室下部的排料口排出，完成一个加工周期。</w:t>
      </w:r>
    </w:p>
    <w:p>
      <w:pPr>
        <w:ind w:firstLine="480"/>
      </w:pPr>
      <w:r>
        <w:rPr>
          <w:rFonts w:hint="eastAsia"/>
        </w:rPr>
        <w:t>橡胶密炼过程就其本质来说，是配合剂在生胶中均匀分散的过程，配合剂呈分散相，生胶呈连续相。在混炼过程中，橡胶分子结构、分子量大小及其分布、配合剂聚集状态均发生变化。通过密炼，橡胶与配合剂起了物理及化学作用，形成了新的结构。</w:t>
      </w:r>
    </w:p>
    <w:p>
      <w:pPr>
        <w:ind w:firstLine="480"/>
        <w:rPr>
          <w:rStyle w:val="63"/>
        </w:rPr>
      </w:pPr>
      <w:r>
        <w:rPr>
          <w:rFonts w:hint="eastAsia"/>
        </w:rPr>
        <w:t>项目设有</w:t>
      </w:r>
      <w:r>
        <w:t>1</w:t>
      </w:r>
      <w:r>
        <w:rPr>
          <w:rFonts w:hint="eastAsia"/>
        </w:rPr>
        <w:t>台密炼机</w:t>
      </w:r>
      <w:r>
        <w:rPr>
          <w:rStyle w:val="63"/>
          <w:rFonts w:hint="eastAsia"/>
        </w:rPr>
        <w:t>，</w:t>
      </w:r>
      <w:r>
        <w:rPr>
          <w:rFonts w:hint="eastAsia"/>
        </w:rPr>
        <w:t>该工序生产一批次历时1</w:t>
      </w:r>
      <w:r>
        <w:t>5</w:t>
      </w:r>
      <w:r>
        <w:rPr>
          <w:rFonts w:hint="eastAsia"/>
        </w:rPr>
        <w:t>min，单位时间内可生产</w:t>
      </w:r>
      <w:r>
        <w:t>4</w:t>
      </w:r>
      <w:r>
        <w:rPr>
          <w:rFonts w:hint="eastAsia"/>
        </w:rPr>
        <w:t>个批次。</w:t>
      </w:r>
      <w:r>
        <w:rPr>
          <w:rStyle w:val="63"/>
          <w:rFonts w:hint="eastAsia"/>
          <w:color w:val="000000" w:themeColor="text1"/>
          <w14:textFill>
            <w14:solidFill>
              <w14:schemeClr w14:val="tx1"/>
            </w14:solidFill>
          </w14:textFill>
        </w:rPr>
        <w:t>单台设备每天工作</w:t>
      </w:r>
      <w:r>
        <w:rPr>
          <w:rStyle w:val="63"/>
          <w:color w:val="000000" w:themeColor="text1"/>
          <w14:textFill>
            <w14:solidFill>
              <w14:schemeClr w14:val="tx1"/>
            </w14:solidFill>
          </w14:textFill>
        </w:rPr>
        <w:t>8h，</w:t>
      </w:r>
      <w:r>
        <w:rPr>
          <w:rStyle w:val="63"/>
          <w:rFonts w:hint="eastAsia"/>
          <w:color w:val="000000" w:themeColor="text1"/>
          <w14:textFill>
            <w14:solidFill>
              <w14:schemeClr w14:val="tx1"/>
            </w14:solidFill>
          </w14:textFill>
        </w:rPr>
        <w:t>每天可完成</w:t>
      </w:r>
      <w:r>
        <w:rPr>
          <w:rStyle w:val="63"/>
          <w:color w:val="000000" w:themeColor="text1"/>
          <w14:textFill>
            <w14:solidFill>
              <w14:schemeClr w14:val="tx1"/>
            </w14:solidFill>
          </w14:textFill>
        </w:rPr>
        <w:t>32批次，年工作300天，</w:t>
      </w:r>
      <w:r>
        <w:rPr>
          <w:rStyle w:val="63"/>
          <w:rFonts w:hint="eastAsia"/>
          <w:color w:val="000000" w:themeColor="text1"/>
          <w14:textFill>
            <w14:solidFill>
              <w14:schemeClr w14:val="tx1"/>
            </w14:solidFill>
          </w14:textFill>
        </w:rPr>
        <w:t>一年可密炼</w:t>
      </w:r>
      <w:r>
        <w:rPr>
          <w:rStyle w:val="63"/>
          <w:color w:val="000000" w:themeColor="text1"/>
          <w14:textFill>
            <w14:solidFill>
              <w14:schemeClr w14:val="tx1"/>
            </w14:solidFill>
          </w14:textFill>
        </w:rPr>
        <w:t>9600</w:t>
      </w:r>
      <w:r>
        <w:rPr>
          <w:rStyle w:val="63"/>
          <w:rFonts w:hint="eastAsia"/>
          <w:color w:val="000000" w:themeColor="text1"/>
          <w14:textFill>
            <w14:solidFill>
              <w14:schemeClr w14:val="tx1"/>
            </w14:solidFill>
          </w14:textFill>
        </w:rPr>
        <w:t>批次。物料配比见</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REF _Ref3498021 \h</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t>2.5</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1</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本项目密炼机为密闭式的设备，密炼室内设有抽风系统捕集密炼过程中产生的密炼废气，经密炼机出气口直接管道收集。密炼过程中由于部分原料为粉状，故在密炼时物料翻滚过程会产生粉尘，而密炼过程温度较高，会产生烷烃类化合物以及少量硫化物。因此密炼废气以颗粒物、非甲烷总烃、H</w:t>
      </w:r>
      <w:r>
        <w:rPr>
          <w:rStyle w:val="63"/>
          <w:rFonts w:hint="eastAsia"/>
          <w:color w:val="000000" w:themeColor="text1"/>
          <w:vertAlign w:val="subscript"/>
          <w14:textFill>
            <w14:solidFill>
              <w14:schemeClr w14:val="tx1"/>
            </w14:solidFill>
          </w14:textFill>
        </w:rPr>
        <w:t>2</w:t>
      </w:r>
      <w:r>
        <w:rPr>
          <w:rStyle w:val="63"/>
          <w:rFonts w:hint="eastAsia"/>
          <w:color w:val="000000" w:themeColor="text1"/>
          <w14:textFill>
            <w14:solidFill>
              <w14:schemeClr w14:val="tx1"/>
            </w14:solidFill>
          </w14:textFill>
        </w:rPr>
        <w:t>S及恶臭作为表征污染物进行考量。此部分废气目前收集后经布袋除尘装置处理后引至活性炭吸附装置进行处理后经1</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m高排气筒P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排放。废气捕集后经布袋除尘器收集形成除尘灰，定期清理后作为填充剂原料重新投入密炼工序使用。</w:t>
      </w:r>
    </w:p>
    <w:p>
      <w:pPr>
        <w:pStyle w:val="99"/>
        <w:numPr>
          <w:ilvl w:val="0"/>
          <w:numId w:val="22"/>
        </w:numPr>
        <w:ind w:firstLineChars="0"/>
        <w:rPr>
          <w:rFonts w:eastAsiaTheme="minorEastAsia"/>
        </w:rPr>
      </w:pPr>
      <w:r>
        <w:rPr>
          <w:rFonts w:hint="eastAsia" w:eastAsiaTheme="minorEastAsia"/>
        </w:rPr>
        <w:t>开炼</w:t>
      </w:r>
    </w:p>
    <w:p>
      <w:pPr>
        <w:ind w:firstLine="480"/>
      </w:pPr>
      <w:r>
        <w:rPr>
          <w:rFonts w:hint="eastAsia"/>
        </w:rPr>
        <w:t>密炼过后的胶料，送入开炼机中两辊筒中间进行挤压出片。两辊筒大小一般相同，各以不同速度相对回转，胶料随着辊筒的转动被卷入两辊间隙，受强烈剪切作用形成一定厚度和宽度的片状胶料。通过开炼机再次对胶料进行塑炼、返炼，使胶料成分进一步均匀。最后把胶料压成一定宽度和厚度，便于后续加工。开炼机使用电能，工作过程不需要加热，但挤压过程物质摩擦会产生热，开炼机设备中配套的套管由冷却水进行间接冷却，使内部温度维持在</w:t>
      </w:r>
      <w:r>
        <w:t>5</w:t>
      </w:r>
      <w:r>
        <w:rPr>
          <w:rFonts w:hint="eastAsia"/>
        </w:rPr>
        <w:t>0℃~</w:t>
      </w:r>
      <w:r>
        <w:t>6</w:t>
      </w:r>
      <w:r>
        <w:rPr>
          <w:rFonts w:hint="eastAsia"/>
        </w:rPr>
        <w:t>0℃。</w:t>
      </w:r>
    </w:p>
    <w:p>
      <w:pPr>
        <w:ind w:firstLine="480"/>
      </w:pPr>
      <w:r>
        <w:rPr>
          <w:rFonts w:hint="eastAsia"/>
        </w:rPr>
        <w:t>项目设有</w:t>
      </w:r>
      <w:r>
        <w:t>2</w:t>
      </w:r>
      <w:r>
        <w:rPr>
          <w:rFonts w:hint="eastAsia"/>
        </w:rPr>
        <w:t>台型号不等的开炼机，根据不同生产需要选用不同型号的开炼机</w:t>
      </w:r>
      <w:r>
        <w:rPr>
          <w:rStyle w:val="63"/>
          <w:rFonts w:hint="eastAsia"/>
        </w:rPr>
        <w:t>。</w:t>
      </w:r>
      <w:r>
        <w:rPr>
          <w:rStyle w:val="63"/>
          <w:rFonts w:hint="eastAsia"/>
          <w:color w:val="000000" w:themeColor="text1"/>
          <w14:textFill>
            <w14:solidFill>
              <w14:schemeClr w14:val="tx1"/>
            </w14:solidFill>
          </w14:textFill>
        </w:rPr>
        <w:t>项目开炼工序每班组设操作工</w:t>
      </w:r>
      <w:r>
        <w:rPr>
          <w:rStyle w:val="63"/>
          <w:color w:val="000000" w:themeColor="text1"/>
          <w14:textFill>
            <w14:solidFill>
              <w14:schemeClr w14:val="tx1"/>
            </w14:solidFill>
          </w14:textFill>
        </w:rPr>
        <w:t>2人，</w:t>
      </w:r>
      <w:r>
        <w:rPr>
          <w:rStyle w:val="63"/>
          <w:rFonts w:hint="eastAsia"/>
          <w:color w:val="000000" w:themeColor="text1"/>
          <w14:textFill>
            <w14:solidFill>
              <w14:schemeClr w14:val="tx1"/>
            </w14:solidFill>
          </w14:textFill>
        </w:rPr>
        <w:t>没人操作一台机器，</w:t>
      </w:r>
      <w:r>
        <w:rPr>
          <w:rFonts w:hint="eastAsia"/>
          <w:color w:val="000000" w:themeColor="text1"/>
          <w14:textFill>
            <w14:solidFill>
              <w14:schemeClr w14:val="tx1"/>
            </w14:solidFill>
          </w14:textFill>
        </w:rPr>
        <w:t>该工序生产一批次历时1</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min，单位时间内可生产3个批次。</w:t>
      </w:r>
      <w:r>
        <w:rPr>
          <w:rStyle w:val="63"/>
          <w:rFonts w:hint="eastAsia"/>
          <w:color w:val="000000" w:themeColor="text1"/>
          <w14:textFill>
            <w14:solidFill>
              <w14:schemeClr w14:val="tx1"/>
            </w14:solidFill>
          </w14:textFill>
        </w:rPr>
        <w:t>单台设备每天工作</w:t>
      </w:r>
      <w:r>
        <w:rPr>
          <w:rStyle w:val="63"/>
          <w:color w:val="000000" w:themeColor="text1"/>
          <w14:textFill>
            <w14:solidFill>
              <w14:schemeClr w14:val="tx1"/>
            </w14:solidFill>
          </w14:textFill>
        </w:rPr>
        <w:t>8h，</w:t>
      </w:r>
      <w:r>
        <w:rPr>
          <w:rStyle w:val="63"/>
          <w:rFonts w:hint="eastAsia"/>
          <w:color w:val="000000" w:themeColor="text1"/>
          <w14:textFill>
            <w14:solidFill>
              <w14:schemeClr w14:val="tx1"/>
            </w14:solidFill>
          </w14:textFill>
        </w:rPr>
        <w:t>两台机器工作时间为1</w:t>
      </w:r>
      <w:r>
        <w:rPr>
          <w:rStyle w:val="63"/>
          <w:color w:val="000000" w:themeColor="text1"/>
          <w14:textFill>
            <w14:solidFill>
              <w14:schemeClr w14:val="tx1"/>
            </w14:solidFill>
          </w14:textFill>
        </w:rPr>
        <w:t>6h,</w:t>
      </w:r>
      <w:r>
        <w:rPr>
          <w:rStyle w:val="63"/>
          <w:rFonts w:hint="eastAsia"/>
          <w:color w:val="000000" w:themeColor="text1"/>
          <w14:textFill>
            <w14:solidFill>
              <w14:schemeClr w14:val="tx1"/>
            </w14:solidFill>
          </w14:textFill>
        </w:rPr>
        <w:t>每天可完成</w:t>
      </w:r>
      <w:r>
        <w:rPr>
          <w:rStyle w:val="63"/>
          <w:color w:val="000000" w:themeColor="text1"/>
          <w14:textFill>
            <w14:solidFill>
              <w14:schemeClr w14:val="tx1"/>
            </w14:solidFill>
          </w14:textFill>
        </w:rPr>
        <w:t>48批次，年工作300天，</w:t>
      </w:r>
      <w:r>
        <w:rPr>
          <w:rStyle w:val="63"/>
          <w:rFonts w:hint="eastAsia"/>
          <w:color w:val="000000" w:themeColor="text1"/>
          <w14:textFill>
            <w14:solidFill>
              <w14:schemeClr w14:val="tx1"/>
            </w14:solidFill>
          </w14:textFill>
        </w:rPr>
        <w:t>一年可密炼1</w:t>
      </w:r>
      <w:r>
        <w:rPr>
          <w:rStyle w:val="63"/>
          <w:color w:val="000000" w:themeColor="text1"/>
          <w14:textFill>
            <w14:solidFill>
              <w14:schemeClr w14:val="tx1"/>
            </w14:solidFill>
          </w14:textFill>
        </w:rPr>
        <w:t>4400</w:t>
      </w:r>
      <w:r>
        <w:rPr>
          <w:rStyle w:val="63"/>
          <w:rFonts w:hint="eastAsia"/>
          <w:color w:val="000000" w:themeColor="text1"/>
          <w14:textFill>
            <w14:solidFill>
              <w14:schemeClr w14:val="tx1"/>
            </w14:solidFill>
          </w14:textFill>
        </w:rPr>
        <w:t>批次。</w:t>
      </w:r>
    </w:p>
    <w:p>
      <w:pPr>
        <w:ind w:firstLine="480"/>
      </w:pPr>
      <w:r>
        <w:rPr>
          <w:rFonts w:hint="eastAsia"/>
        </w:rPr>
        <w:t>经密炼后的胶料加入开炼机混炼后，由于设备对其不断的挤压、混合生热，此过程会产生少量挥发的有机废气及少量硫化物，以非甲烷总烃、硫化氢及恶臭表征。开炼机为敞开式作业，项目采用每台开炼机上方设集气罩收集，与密炼废气、硫化废气引入到同1套活性炭吸附装置处理，处理后经排气筒P</w:t>
      </w:r>
      <w:r>
        <w:t>1</w:t>
      </w:r>
      <w:r>
        <w:rPr>
          <w:rFonts w:hint="eastAsia"/>
        </w:rPr>
        <w:t>排放。</w:t>
      </w:r>
    </w:p>
    <w:p>
      <w:pPr>
        <w:pStyle w:val="102"/>
        <w:numPr>
          <w:ilvl w:val="0"/>
          <w:numId w:val="21"/>
        </w:numPr>
        <w:ind w:firstLine="480"/>
        <w:rPr>
          <w:rFonts w:asciiTheme="minorHAnsi" w:hAnsiTheme="minorHAnsi" w:eastAsiaTheme="minorEastAsia"/>
        </w:rPr>
      </w:pPr>
      <w:r>
        <w:rPr>
          <w:rFonts w:hint="eastAsia" w:asciiTheme="minorHAnsi" w:hAnsiTheme="minorHAnsi" w:eastAsiaTheme="minorEastAsia"/>
        </w:rPr>
        <w:t>裁切</w:t>
      </w:r>
    </w:p>
    <w:p>
      <w:pPr>
        <w:ind w:firstLine="480"/>
      </w:pPr>
      <w:r>
        <w:rPr>
          <w:rFonts w:hint="eastAsia"/>
        </w:rPr>
        <w:t>开炼完成后的胶具有良好的延展性，利用辊筒边转动，边将胶压成一定厚度的片状物。移至裁切机，摊开胶，根据客户订单需要和加工要求，将开炼后的大块橡胶片切成各种规格的片状或条状，一般采用刀片或自制裁切机切割即可。该环节会产生少量的边角料，可作为原料重新进行开炼。</w:t>
      </w:r>
    </w:p>
    <w:p>
      <w:pPr>
        <w:pStyle w:val="102"/>
        <w:numPr>
          <w:ilvl w:val="0"/>
          <w:numId w:val="21"/>
        </w:numPr>
        <w:ind w:firstLine="480"/>
        <w:rPr>
          <w:rFonts w:asciiTheme="minorHAnsi" w:hAnsiTheme="minorHAnsi" w:eastAsiaTheme="minorEastAsia"/>
        </w:rPr>
      </w:pPr>
      <w:r>
        <w:rPr>
          <w:rFonts w:hint="eastAsia" w:asciiTheme="minorHAnsi" w:hAnsiTheme="minorHAnsi" w:eastAsiaTheme="minorEastAsia"/>
        </w:rPr>
        <w:t>硫化</w:t>
      </w:r>
    </w:p>
    <w:p>
      <w:pPr>
        <w:ind w:firstLine="480"/>
      </w:pPr>
      <w:r>
        <w:rPr>
          <w:rFonts w:hint="eastAsia"/>
        </w:rPr>
        <w:t>将切好的橡胶按产品所需逐条或逐片人工放入经预热后的硫化机模具中进行硫化成型。在高温高压的作用下，密炼中物理混合的硫化剂（硫磺）与胶料中的生胶发生化学反应，由线型结构的大分子交联成为立体网状结构的大分子，并使胶料的物理机械性能及其它性能随之发生根本变化。</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一般硫化过程分为四个阶段，即诱导－预硫－正硫化－过硫。为实现这一反应，必须外加能量使之达到一定的硫化温度，然后让橡胶保温在该硫化温度范围内完成全部硫化反应。制备硫化胶的基本过程硫化的要素是：时间、温度、压力。项目硫化温度由电加热提供，硫化温度约为1</w:t>
      </w:r>
      <w:r>
        <w:rPr>
          <w:rStyle w:val="63"/>
          <w:color w:val="000000" w:themeColor="text1"/>
          <w14:textFill>
            <w14:solidFill>
              <w14:schemeClr w14:val="tx1"/>
            </w14:solidFill>
          </w14:textFill>
        </w:rPr>
        <w:t>40</w:t>
      </w:r>
      <w:r>
        <w:rPr>
          <w:rStyle w:val="63"/>
          <w:rFonts w:hint="eastAsia"/>
          <w:color w:val="000000" w:themeColor="text1"/>
          <w14:textFill>
            <w14:solidFill>
              <w14:schemeClr w14:val="tx1"/>
            </w14:solidFill>
          </w14:textFill>
        </w:rPr>
        <w:t>℃，每批次运行时间约</w:t>
      </w:r>
      <w:r>
        <w:rPr>
          <w:rStyle w:val="63"/>
          <w:color w:val="000000" w:themeColor="text1"/>
          <w14:textFill>
            <w14:solidFill>
              <w14:schemeClr w14:val="tx1"/>
            </w14:solidFill>
          </w14:textFill>
        </w:rPr>
        <w:t>12</w:t>
      </w:r>
      <w:r>
        <w:rPr>
          <w:rStyle w:val="63"/>
          <w:rFonts w:hint="eastAsia"/>
          <w:color w:val="000000" w:themeColor="text1"/>
          <w14:textFill>
            <w14:solidFill>
              <w14:schemeClr w14:val="tx1"/>
            </w14:solidFill>
          </w14:textFill>
        </w:rPr>
        <w:t>min，模具开合时间约1min。硫化工段</w:t>
      </w:r>
      <w:r>
        <w:rPr>
          <w:rStyle w:val="63"/>
          <w:color w:val="000000" w:themeColor="text1"/>
          <w14:textFill>
            <w14:solidFill>
              <w14:schemeClr w14:val="tx1"/>
            </w14:solidFill>
          </w14:textFill>
        </w:rPr>
        <w:t>年工作300天，</w:t>
      </w:r>
      <w:r>
        <w:rPr>
          <w:rStyle w:val="63"/>
          <w:rFonts w:hint="eastAsia"/>
          <w:color w:val="000000" w:themeColor="text1"/>
          <w14:textFill>
            <w14:solidFill>
              <w14:schemeClr w14:val="tx1"/>
            </w14:solidFill>
          </w14:textFill>
        </w:rPr>
        <w:t>每天工作</w:t>
      </w:r>
      <w:r>
        <w:rPr>
          <w:rStyle w:val="63"/>
          <w:color w:val="000000" w:themeColor="text1"/>
          <w14:textFill>
            <w14:solidFill>
              <w14:schemeClr w14:val="tx1"/>
            </w14:solidFill>
          </w14:textFill>
        </w:rPr>
        <w:t>8h，</w:t>
      </w:r>
      <w:r>
        <w:rPr>
          <w:rStyle w:val="63"/>
          <w:rFonts w:hint="eastAsia"/>
          <w:color w:val="000000" w:themeColor="text1"/>
          <w14:textFill>
            <w14:solidFill>
              <w14:schemeClr w14:val="tx1"/>
            </w14:solidFill>
          </w14:textFill>
        </w:rPr>
        <w:t>每台每天可完成</w:t>
      </w:r>
      <w:r>
        <w:rPr>
          <w:rStyle w:val="63"/>
          <w:color w:val="000000" w:themeColor="text1"/>
          <w14:textFill>
            <w14:solidFill>
              <w14:schemeClr w14:val="tx1"/>
            </w14:solidFill>
          </w14:textFill>
        </w:rPr>
        <w:t>40批次，</w:t>
      </w:r>
      <w:r>
        <w:rPr>
          <w:rStyle w:val="63"/>
          <w:rFonts w:hint="eastAsia"/>
          <w:color w:val="000000" w:themeColor="text1"/>
          <w14:textFill>
            <w14:solidFill>
              <w14:schemeClr w14:val="tx1"/>
            </w14:solidFill>
          </w14:textFill>
        </w:rPr>
        <w:t>一年可硫化1</w:t>
      </w:r>
      <w:r>
        <w:rPr>
          <w:rStyle w:val="63"/>
          <w:color w:val="000000" w:themeColor="text1"/>
          <w14:textFill>
            <w14:solidFill>
              <w14:schemeClr w14:val="tx1"/>
            </w14:solidFill>
          </w14:textFill>
        </w:rPr>
        <w:t>2000</w:t>
      </w:r>
      <w:r>
        <w:rPr>
          <w:rStyle w:val="63"/>
          <w:rFonts w:hint="eastAsia"/>
          <w:color w:val="000000" w:themeColor="text1"/>
          <w14:textFill>
            <w14:solidFill>
              <w14:schemeClr w14:val="tx1"/>
            </w14:solidFill>
          </w14:textFill>
        </w:rPr>
        <w:t>批次。</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本项目1</w:t>
      </w:r>
      <w:r>
        <w:rPr>
          <w:rStyle w:val="63"/>
          <w:color w:val="000000" w:themeColor="text1"/>
          <w14:textFill>
            <w14:solidFill>
              <w14:schemeClr w14:val="tx1"/>
            </w14:solidFill>
          </w14:textFill>
        </w:rPr>
        <w:t>台</w:t>
      </w:r>
      <w:r>
        <w:rPr>
          <w:rStyle w:val="63"/>
          <w:rFonts w:hint="eastAsia"/>
          <w:color w:val="000000" w:themeColor="text1"/>
          <w14:textFill>
            <w14:solidFill>
              <w14:schemeClr w14:val="tx1"/>
            </w14:solidFill>
          </w14:textFill>
        </w:rPr>
        <w:t>硫化机可装模6</w:t>
      </w:r>
      <w:r>
        <w:rPr>
          <w:rStyle w:val="63"/>
          <w:color w:val="000000" w:themeColor="text1"/>
          <w14:textFill>
            <w14:solidFill>
              <w14:schemeClr w14:val="tx1"/>
            </w14:solidFill>
          </w14:textFill>
        </w:rPr>
        <w:t>-10个，</w:t>
      </w:r>
      <w:r>
        <w:rPr>
          <w:rStyle w:val="63"/>
          <w:rFonts w:hint="eastAsia"/>
          <w:color w:val="000000" w:themeColor="text1"/>
          <w14:textFill>
            <w14:solidFill>
              <w14:schemeClr w14:val="tx1"/>
            </w14:solidFill>
          </w14:textFill>
        </w:rPr>
        <w:t>根据产品要求的不同来选取不同尺寸的模具。</w:t>
      </w:r>
    </w:p>
    <w:p>
      <w:pPr>
        <w:ind w:firstLine="480"/>
      </w:pPr>
      <w:r>
        <w:rPr>
          <w:rStyle w:val="63"/>
          <w:rFonts w:hint="eastAsia"/>
          <w:color w:val="000000" w:themeColor="text1"/>
          <w14:textFill>
            <w14:solidFill>
              <w14:schemeClr w14:val="tx1"/>
            </w14:solidFill>
          </w14:textFill>
        </w:rPr>
        <w:t>本工段产生的主要污染物为硫化烟气，硫化结束后开模瞬间有大量的硫化废气散发并随热气上升，产生的硫化烟气量较大。</w:t>
      </w:r>
      <w:r>
        <w:rPr>
          <w:rFonts w:hint="eastAsia"/>
          <w:color w:val="000000" w:themeColor="text1"/>
          <w14:textFill>
            <w14:solidFill>
              <w14:schemeClr w14:val="tx1"/>
            </w14:solidFill>
          </w14:textFill>
        </w:rPr>
        <w:t>项目采用每台硫化机上方设集气罩收集，与开炼废气、密炼废气引入到同1套活性炭吸附装置处理</w:t>
      </w:r>
      <w:r>
        <w:rPr>
          <w:rFonts w:hint="eastAsia"/>
        </w:rPr>
        <w:t>，处理后经排气筒P</w:t>
      </w:r>
      <w:r>
        <w:t>1</w:t>
      </w:r>
      <w:r>
        <w:rPr>
          <w:rFonts w:hint="eastAsia"/>
        </w:rPr>
        <w:t>排放。</w:t>
      </w:r>
    </w:p>
    <w:p>
      <w:pPr>
        <w:ind w:firstLine="480"/>
      </w:pPr>
      <w:r>
        <w:rPr>
          <w:rFonts w:hint="eastAsia"/>
        </w:rPr>
        <w:t>硫化工序废气成分非常复杂，主要为有机类废气及硫化物，以非甲烷总烃、硫化氢及恶臭表征。</w:t>
      </w:r>
    </w:p>
    <w:p>
      <w:pPr>
        <w:pStyle w:val="102"/>
        <w:numPr>
          <w:ilvl w:val="0"/>
          <w:numId w:val="21"/>
        </w:numPr>
        <w:ind w:firstLine="480"/>
        <w:rPr>
          <w:rFonts w:asciiTheme="minorHAnsi" w:hAnsiTheme="minorHAnsi" w:eastAsiaTheme="minorEastAsia"/>
        </w:rPr>
      </w:pPr>
      <w:r>
        <w:rPr>
          <w:rFonts w:hint="eastAsia" w:asciiTheme="minorHAnsi" w:hAnsiTheme="minorHAnsi" w:eastAsiaTheme="minorEastAsia"/>
        </w:rPr>
        <w:t>冷却</w:t>
      </w:r>
    </w:p>
    <w:p>
      <w:pPr>
        <w:ind w:firstLine="480"/>
      </w:pPr>
      <w:r>
        <w:rPr>
          <w:rFonts w:hint="eastAsia"/>
        </w:rPr>
        <w:t>将成品放置晾料架上，通过电风扇或自然风冷却至常温。</w:t>
      </w:r>
    </w:p>
    <w:p>
      <w:pPr>
        <w:pStyle w:val="102"/>
        <w:numPr>
          <w:ilvl w:val="0"/>
          <w:numId w:val="21"/>
        </w:numPr>
        <w:ind w:firstLine="480"/>
        <w:rPr>
          <w:rFonts w:asciiTheme="minorHAnsi" w:hAnsiTheme="minorHAnsi" w:eastAsiaTheme="minorEastAsia"/>
        </w:rPr>
      </w:pPr>
      <w:r>
        <w:rPr>
          <w:rFonts w:hint="eastAsia" w:asciiTheme="minorHAnsi" w:hAnsiTheme="minorHAnsi" w:eastAsiaTheme="minorEastAsia"/>
        </w:rPr>
        <w:t>修边</w:t>
      </w:r>
    </w:p>
    <w:p>
      <w:pPr>
        <w:ind w:firstLine="480"/>
      </w:pPr>
      <w:r>
        <w:rPr>
          <w:rFonts w:hint="eastAsia"/>
        </w:rPr>
        <w:t>修边主要为经挤压硫化后胶料富余，成为飞边溢出到模具外，开模时不易断开，与橡胶件相连，需去除，是橡塑行业必备的后道工序之一。根据橡胶零部件的不同规格，采用人工修边。</w:t>
      </w:r>
    </w:p>
    <w:p>
      <w:pPr>
        <w:ind w:firstLine="480"/>
      </w:pPr>
      <w:r>
        <w:rPr>
          <w:rFonts w:hint="eastAsia"/>
        </w:rPr>
        <w:t>该环节会产生少量的边角料，交由资源回收公司收集利用。</w:t>
      </w:r>
    </w:p>
    <w:p>
      <w:pPr>
        <w:pStyle w:val="102"/>
        <w:numPr>
          <w:ilvl w:val="0"/>
          <w:numId w:val="21"/>
        </w:numPr>
        <w:ind w:firstLine="480"/>
        <w:rPr>
          <w:rFonts w:asciiTheme="minorHAnsi" w:hAnsiTheme="minorHAnsi" w:eastAsiaTheme="minorEastAsia"/>
        </w:rPr>
      </w:pPr>
      <w:r>
        <w:rPr>
          <w:rFonts w:hint="eastAsia" w:asciiTheme="minorHAnsi" w:hAnsiTheme="minorHAnsi" w:eastAsiaTheme="minorEastAsia"/>
        </w:rPr>
        <w:t>检验</w:t>
      </w:r>
    </w:p>
    <w:p>
      <w:pPr>
        <w:ind w:firstLine="480"/>
      </w:pPr>
      <w:r>
        <w:rPr>
          <w:rFonts w:hint="eastAsia"/>
        </w:rPr>
        <w:t>修边过程中，带有检验工序，检验主要采用人工肉眼检查。</w:t>
      </w:r>
    </w:p>
    <w:p>
      <w:pPr>
        <w:ind w:firstLine="480"/>
      </w:pPr>
      <w:r>
        <w:rPr>
          <w:rFonts w:hint="eastAsia"/>
        </w:rPr>
        <w:t>该环节会产生少量的不合格品，交由资源回收公司收集利用。</w:t>
      </w:r>
    </w:p>
    <w:p>
      <w:pPr>
        <w:pStyle w:val="102"/>
        <w:numPr>
          <w:ilvl w:val="0"/>
          <w:numId w:val="21"/>
        </w:numPr>
        <w:ind w:firstLine="480"/>
        <w:rPr>
          <w:rFonts w:asciiTheme="minorHAnsi" w:hAnsiTheme="minorHAnsi" w:eastAsiaTheme="minorEastAsia"/>
        </w:rPr>
      </w:pPr>
      <w:r>
        <w:rPr>
          <w:rFonts w:hint="eastAsia" w:asciiTheme="minorHAnsi" w:hAnsiTheme="minorHAnsi" w:eastAsiaTheme="minorEastAsia"/>
        </w:rPr>
        <w:t>入库</w:t>
      </w:r>
    </w:p>
    <w:p>
      <w:pPr>
        <w:ind w:firstLine="480"/>
      </w:pPr>
      <w:r>
        <w:rPr>
          <w:rFonts w:hint="eastAsia"/>
        </w:rPr>
        <w:t>经检验合格的产品包装入库存放，外售。</w:t>
      </w:r>
    </w:p>
    <w:p>
      <w:pPr>
        <w:pStyle w:val="102"/>
        <w:numPr>
          <w:ilvl w:val="0"/>
          <w:numId w:val="21"/>
        </w:numPr>
        <w:ind w:firstLine="480"/>
        <w:rPr>
          <w:rFonts w:asciiTheme="minorHAnsi" w:hAnsiTheme="minorHAnsi" w:eastAsiaTheme="minorEastAsia"/>
        </w:rPr>
      </w:pPr>
      <w:r>
        <w:rPr>
          <w:rFonts w:hint="eastAsia" w:asciiTheme="minorHAnsi" w:hAnsiTheme="minorHAnsi" w:eastAsiaTheme="minorEastAsia"/>
        </w:rPr>
        <w:t>组装及打包入库</w:t>
      </w:r>
    </w:p>
    <w:p>
      <w:pPr>
        <w:pStyle w:val="2"/>
        <w:spacing w:line="360" w:lineRule="auto"/>
        <w:ind w:firstLine="480" w:firstLineChars="200"/>
      </w:pPr>
      <w:r>
        <w:rPr>
          <w:rFonts w:hint="eastAsia"/>
        </w:rPr>
        <w:t>本项目橡胶部件生产后需要与外购成品铁芯进行组装，铁芯在组装前需要对铁芯表面进行处理，去除表面杂质，铁芯经抛丸后与橡胶制品用胶水进行粘合组装，然后打包入库。</w:t>
      </w:r>
    </w:p>
    <w:p>
      <w:pPr>
        <w:pStyle w:val="5"/>
      </w:pPr>
      <w:bookmarkStart w:id="185" w:name="_Toc528868067"/>
      <w:bookmarkEnd w:id="185"/>
      <w:bookmarkStart w:id="186" w:name="_Toc528868066"/>
      <w:bookmarkEnd w:id="186"/>
      <w:r>
        <w:rPr>
          <w:rFonts w:hint="eastAsia"/>
        </w:rPr>
        <w:t>主要产污环节及污染因子</w:t>
      </w:r>
    </w:p>
    <w:p>
      <w:pPr>
        <w:pStyle w:val="126"/>
        <w:numPr>
          <w:ilvl w:val="0"/>
          <w:numId w:val="23"/>
        </w:numPr>
        <w:ind w:firstLine="480" w:firstLineChars="200"/>
        <w:rPr>
          <w:rStyle w:val="63"/>
          <w:b w:val="0"/>
          <w:color w:val="000000" w:themeColor="text1"/>
          <w14:textFill>
            <w14:solidFill>
              <w14:schemeClr w14:val="tx1"/>
            </w14:solidFill>
          </w14:textFill>
        </w:rPr>
      </w:pPr>
      <w:r>
        <w:rPr>
          <w:rStyle w:val="63"/>
          <w:rFonts w:hint="eastAsia"/>
          <w:b w:val="0"/>
          <w:color w:val="000000" w:themeColor="text1"/>
          <w14:textFill>
            <w14:solidFill>
              <w14:schemeClr w14:val="tx1"/>
            </w14:solidFill>
          </w14:textFill>
        </w:rPr>
        <w:t>废气：配料含尘废气G</w:t>
      </w:r>
      <w:r>
        <w:rPr>
          <w:rStyle w:val="63"/>
          <w:b w:val="0"/>
          <w:color w:val="000000" w:themeColor="text1"/>
          <w14:textFill>
            <w14:solidFill>
              <w14:schemeClr w14:val="tx1"/>
            </w14:solidFill>
          </w14:textFill>
        </w:rPr>
        <w:t>1</w:t>
      </w:r>
      <w:r>
        <w:rPr>
          <w:rStyle w:val="63"/>
          <w:rFonts w:hint="eastAsia"/>
          <w:b w:val="0"/>
          <w:color w:val="000000" w:themeColor="text1"/>
          <w14:textFill>
            <w14:solidFill>
              <w14:schemeClr w14:val="tx1"/>
            </w14:solidFill>
          </w14:textFill>
        </w:rPr>
        <w:t>、投料含尘废气</w:t>
      </w:r>
      <w:r>
        <w:rPr>
          <w:rStyle w:val="63"/>
          <w:b w:val="0"/>
          <w:color w:val="000000" w:themeColor="text1"/>
          <w14:textFill>
            <w14:solidFill>
              <w14:schemeClr w14:val="tx1"/>
            </w14:solidFill>
          </w14:textFill>
        </w:rPr>
        <w:t>G2</w:t>
      </w:r>
      <w:r>
        <w:rPr>
          <w:rStyle w:val="63"/>
          <w:rFonts w:hint="eastAsia"/>
          <w:b w:val="0"/>
          <w:color w:val="000000" w:themeColor="text1"/>
          <w14:textFill>
            <w14:solidFill>
              <w14:schemeClr w14:val="tx1"/>
            </w14:solidFill>
          </w14:textFill>
        </w:rPr>
        <w:t>、密炼废气</w:t>
      </w:r>
      <w:r>
        <w:rPr>
          <w:rStyle w:val="63"/>
          <w:b w:val="0"/>
          <w:color w:val="000000" w:themeColor="text1"/>
          <w14:textFill>
            <w14:solidFill>
              <w14:schemeClr w14:val="tx1"/>
            </w14:solidFill>
          </w14:textFill>
        </w:rPr>
        <w:t>G3</w:t>
      </w:r>
      <w:r>
        <w:rPr>
          <w:rStyle w:val="63"/>
          <w:rFonts w:hint="eastAsia"/>
          <w:b w:val="0"/>
          <w:color w:val="000000" w:themeColor="text1"/>
          <w14:textFill>
            <w14:solidFill>
              <w14:schemeClr w14:val="tx1"/>
            </w14:solidFill>
          </w14:textFill>
        </w:rPr>
        <w:t>、开炼废气G4、硫化烟气G</w:t>
      </w:r>
      <w:r>
        <w:rPr>
          <w:rStyle w:val="63"/>
          <w:b w:val="0"/>
          <w:color w:val="000000" w:themeColor="text1"/>
          <w14:textFill>
            <w14:solidFill>
              <w14:schemeClr w14:val="tx1"/>
            </w14:solidFill>
          </w14:textFill>
        </w:rPr>
        <w:t>5</w:t>
      </w:r>
      <w:r>
        <w:rPr>
          <w:rStyle w:val="63"/>
          <w:rFonts w:hint="eastAsia"/>
          <w:b w:val="0"/>
          <w:color w:val="000000" w:themeColor="text1"/>
          <w14:textFill>
            <w14:solidFill>
              <w14:schemeClr w14:val="tx1"/>
            </w14:solidFill>
          </w14:textFill>
        </w:rPr>
        <w:t>、抛丸废气G</w:t>
      </w:r>
      <w:r>
        <w:rPr>
          <w:rStyle w:val="63"/>
          <w:b w:val="0"/>
          <w:color w:val="000000" w:themeColor="text1"/>
          <w14:textFill>
            <w14:solidFill>
              <w14:schemeClr w14:val="tx1"/>
            </w14:solidFill>
          </w14:textFill>
        </w:rPr>
        <w:t>6</w:t>
      </w:r>
      <w:r>
        <w:rPr>
          <w:rStyle w:val="63"/>
          <w:rFonts w:hint="eastAsia"/>
          <w:b w:val="0"/>
          <w:color w:val="000000" w:themeColor="text1"/>
          <w14:textFill>
            <w14:solidFill>
              <w14:schemeClr w14:val="tx1"/>
            </w14:solidFill>
          </w14:textFill>
        </w:rPr>
        <w:t>、粘胶废气G</w:t>
      </w:r>
      <w:r>
        <w:rPr>
          <w:rStyle w:val="63"/>
          <w:b w:val="0"/>
          <w:color w:val="000000" w:themeColor="text1"/>
          <w14:textFill>
            <w14:solidFill>
              <w14:schemeClr w14:val="tx1"/>
            </w14:solidFill>
          </w14:textFill>
        </w:rPr>
        <w:t>7</w:t>
      </w:r>
      <w:r>
        <w:rPr>
          <w:rStyle w:val="63"/>
          <w:rFonts w:hint="eastAsia"/>
          <w:b w:val="0"/>
          <w:color w:val="000000" w:themeColor="text1"/>
          <w14:textFill>
            <w14:solidFill>
              <w14:schemeClr w14:val="tx1"/>
            </w14:solidFill>
          </w14:textFill>
        </w:rPr>
        <w:t>；</w:t>
      </w:r>
    </w:p>
    <w:p>
      <w:pPr>
        <w:pStyle w:val="126"/>
        <w:numPr>
          <w:ilvl w:val="0"/>
          <w:numId w:val="23"/>
        </w:numPr>
        <w:ind w:firstLine="480" w:firstLineChars="200"/>
        <w:rPr>
          <w:rStyle w:val="63"/>
          <w:b w:val="0"/>
          <w:color w:val="auto"/>
        </w:rPr>
      </w:pPr>
      <w:r>
        <w:rPr>
          <w:rStyle w:val="63"/>
          <w:rFonts w:hint="eastAsia"/>
          <w:b w:val="0"/>
          <w:color w:val="auto"/>
        </w:rPr>
        <w:t>废水：职工生活污水W</w:t>
      </w:r>
      <w:r>
        <w:rPr>
          <w:rStyle w:val="63"/>
          <w:b w:val="0"/>
          <w:color w:val="auto"/>
        </w:rPr>
        <w:t>1</w:t>
      </w:r>
      <w:r>
        <w:rPr>
          <w:rStyle w:val="63"/>
          <w:rFonts w:hint="eastAsia"/>
          <w:b w:val="0"/>
          <w:color w:val="auto"/>
        </w:rPr>
        <w:t>；</w:t>
      </w:r>
    </w:p>
    <w:p>
      <w:pPr>
        <w:pStyle w:val="126"/>
        <w:numPr>
          <w:ilvl w:val="0"/>
          <w:numId w:val="23"/>
        </w:numPr>
        <w:ind w:firstLine="480" w:firstLineChars="200"/>
        <w:rPr>
          <w:rStyle w:val="63"/>
          <w:b w:val="0"/>
          <w:color w:val="auto"/>
        </w:rPr>
      </w:pPr>
      <w:r>
        <w:rPr>
          <w:rStyle w:val="63"/>
          <w:rFonts w:hint="eastAsia"/>
          <w:b w:val="0"/>
          <w:color w:val="auto"/>
        </w:rPr>
        <w:t>噪声：密炼机噪声N1、空压机噪声N2、冷却水泵噪声N3、开炼机噪声N4、冷却水泵噪声N5、裁切机噪声N6、硫化机噪声N7，以及布袋除尘器配套风机噪声N</w:t>
      </w:r>
      <w:r>
        <w:rPr>
          <w:rStyle w:val="63"/>
          <w:b w:val="0"/>
          <w:color w:val="auto"/>
        </w:rPr>
        <w:t>8</w:t>
      </w:r>
      <w:r>
        <w:rPr>
          <w:rStyle w:val="63"/>
          <w:rFonts w:hint="eastAsia"/>
          <w:b w:val="0"/>
          <w:color w:val="auto"/>
        </w:rPr>
        <w:t>、活性炭吸附装置配套风机N</w:t>
      </w:r>
      <w:r>
        <w:rPr>
          <w:rStyle w:val="63"/>
          <w:b w:val="0"/>
          <w:color w:val="auto"/>
        </w:rPr>
        <w:t>9</w:t>
      </w:r>
      <w:r>
        <w:rPr>
          <w:rStyle w:val="63"/>
          <w:rFonts w:hint="eastAsia"/>
          <w:b w:val="0"/>
          <w:color w:val="auto"/>
        </w:rPr>
        <w:t>、抛丸噪声N</w:t>
      </w:r>
      <w:r>
        <w:rPr>
          <w:rStyle w:val="63"/>
          <w:b w:val="0"/>
          <w:color w:val="auto"/>
        </w:rPr>
        <w:t>10</w:t>
      </w:r>
      <w:r>
        <w:rPr>
          <w:rStyle w:val="63"/>
          <w:rFonts w:hint="eastAsia"/>
          <w:b w:val="0"/>
          <w:color w:val="auto"/>
        </w:rPr>
        <w:t>；</w:t>
      </w:r>
    </w:p>
    <w:p>
      <w:pPr>
        <w:pStyle w:val="126"/>
        <w:numPr>
          <w:ilvl w:val="0"/>
          <w:numId w:val="23"/>
        </w:numPr>
        <w:ind w:firstLine="480" w:firstLineChars="200"/>
        <w:rPr>
          <w:rStyle w:val="63"/>
          <w:b w:val="0"/>
          <w:color w:val="auto"/>
        </w:rPr>
      </w:pPr>
      <w:r>
        <w:rPr>
          <w:rStyle w:val="63"/>
          <w:rFonts w:hint="eastAsia"/>
          <w:b w:val="0"/>
          <w:color w:val="auto"/>
        </w:rPr>
        <w:t>固体废物：配料工段产生的废包装材料S</w:t>
      </w:r>
      <w:r>
        <w:rPr>
          <w:rStyle w:val="63"/>
          <w:b w:val="0"/>
          <w:color w:val="auto"/>
        </w:rPr>
        <w:t>1</w:t>
      </w:r>
      <w:r>
        <w:rPr>
          <w:rStyle w:val="63"/>
          <w:rFonts w:hint="eastAsia"/>
          <w:b w:val="0"/>
          <w:color w:val="auto"/>
        </w:rPr>
        <w:t>、裁切工段产生的切胶边角料</w:t>
      </w:r>
      <w:r>
        <w:rPr>
          <w:rStyle w:val="63"/>
          <w:b w:val="0"/>
          <w:color w:val="auto"/>
        </w:rPr>
        <w:t>S2</w:t>
      </w:r>
      <w:r>
        <w:rPr>
          <w:rStyle w:val="63"/>
          <w:rFonts w:hint="eastAsia"/>
          <w:b w:val="0"/>
          <w:color w:val="auto"/>
        </w:rPr>
        <w:t>、修边工段产生的边角料</w:t>
      </w:r>
      <w:r>
        <w:rPr>
          <w:rStyle w:val="63"/>
          <w:b w:val="0"/>
          <w:color w:val="auto"/>
        </w:rPr>
        <w:t>S3</w:t>
      </w:r>
      <w:r>
        <w:rPr>
          <w:rStyle w:val="63"/>
          <w:rFonts w:hint="eastAsia"/>
          <w:b w:val="0"/>
          <w:color w:val="auto"/>
        </w:rPr>
        <w:t>、检验工段产生的不合格产品</w:t>
      </w:r>
      <w:r>
        <w:rPr>
          <w:rStyle w:val="63"/>
          <w:b w:val="0"/>
          <w:color w:val="auto"/>
        </w:rPr>
        <w:t>S4</w:t>
      </w:r>
      <w:r>
        <w:rPr>
          <w:rStyle w:val="63"/>
          <w:rFonts w:hint="eastAsia"/>
          <w:b w:val="0"/>
          <w:color w:val="auto"/>
        </w:rPr>
        <w:t>、袋式除尘器收集的除尘灰S</w:t>
      </w:r>
      <w:r>
        <w:rPr>
          <w:rStyle w:val="63"/>
          <w:b w:val="0"/>
          <w:color w:val="auto"/>
        </w:rPr>
        <w:t>5</w:t>
      </w:r>
      <w:r>
        <w:rPr>
          <w:rStyle w:val="63"/>
          <w:rFonts w:hint="eastAsia"/>
          <w:b w:val="0"/>
          <w:color w:val="auto"/>
        </w:rPr>
        <w:t>、废气处理工段产生的废饱和活性炭S6、设备运行和维修产生的废润滑油和废含油抹布S</w:t>
      </w:r>
      <w:r>
        <w:rPr>
          <w:rStyle w:val="63"/>
          <w:b w:val="0"/>
          <w:color w:val="auto"/>
        </w:rPr>
        <w:t>7</w:t>
      </w:r>
      <w:r>
        <w:rPr>
          <w:rStyle w:val="63"/>
          <w:rFonts w:hint="eastAsia"/>
          <w:b w:val="0"/>
          <w:color w:val="auto"/>
        </w:rPr>
        <w:t>、配料及投料过程产生的落地粉尘S</w:t>
      </w:r>
      <w:r>
        <w:rPr>
          <w:rStyle w:val="63"/>
          <w:b w:val="0"/>
          <w:color w:val="auto"/>
        </w:rPr>
        <w:t>8</w:t>
      </w:r>
      <w:r>
        <w:rPr>
          <w:rStyle w:val="63"/>
          <w:rFonts w:hint="eastAsia"/>
          <w:b w:val="0"/>
          <w:color w:val="auto"/>
        </w:rPr>
        <w:t>，以及员工日常生活垃圾S</w:t>
      </w:r>
      <w:r>
        <w:rPr>
          <w:rStyle w:val="63"/>
          <w:b w:val="0"/>
          <w:color w:val="auto"/>
        </w:rPr>
        <w:t>9</w:t>
      </w:r>
      <w:r>
        <w:rPr>
          <w:rStyle w:val="63"/>
          <w:rFonts w:hint="eastAsia"/>
          <w:b w:val="0"/>
          <w:color w:val="auto"/>
        </w:rPr>
        <w:t>。</w:t>
      </w:r>
    </w:p>
    <w:p>
      <w:pPr>
        <w:ind w:firstLine="480"/>
        <w:rPr>
          <w:rFonts w:eastAsiaTheme="minorEastAsia"/>
        </w:rPr>
      </w:pPr>
      <w:r>
        <w:rPr>
          <w:rFonts w:eastAsiaTheme="minorEastAsia"/>
        </w:rPr>
        <w:t>根据</w:t>
      </w:r>
      <w:r>
        <w:rPr>
          <w:rFonts w:hint="eastAsia" w:eastAsiaTheme="minorEastAsia"/>
        </w:rPr>
        <w:t>项目使用主要生产设备及工艺流程分析等可知</w:t>
      </w:r>
      <w:r>
        <w:rPr>
          <w:rFonts w:eastAsiaTheme="minorEastAsia"/>
        </w:rPr>
        <w:t>，</w:t>
      </w:r>
      <w:r>
        <w:rPr>
          <w:rFonts w:hint="eastAsia" w:eastAsiaTheme="minorEastAsia"/>
        </w:rPr>
        <w:t>本</w:t>
      </w:r>
      <w:r>
        <w:rPr>
          <w:rFonts w:eastAsiaTheme="minorEastAsia"/>
        </w:rPr>
        <w:t>项目</w:t>
      </w:r>
      <w:r>
        <w:rPr>
          <w:rFonts w:hint="eastAsia" w:eastAsiaTheme="minorEastAsia"/>
        </w:rPr>
        <w:t>运营期生产线不产生工艺废水，且项目生产过程中使用的生产设备均使用电作为能源，不产生燃料废气。</w:t>
      </w:r>
    </w:p>
    <w:p>
      <w:pPr>
        <w:ind w:firstLine="480"/>
        <w:rPr>
          <w:rFonts w:eastAsiaTheme="minorEastAsia"/>
        </w:rPr>
      </w:pPr>
      <w:r>
        <w:rPr>
          <w:rFonts w:hint="eastAsia" w:eastAsiaTheme="minorEastAsia"/>
        </w:rPr>
        <w:t>综上所述，项目目前的</w:t>
      </w:r>
      <w:r>
        <w:rPr>
          <w:rFonts w:eastAsiaTheme="minorEastAsia"/>
        </w:rPr>
        <w:t>主要</w:t>
      </w:r>
      <w:r>
        <w:rPr>
          <w:rFonts w:hint="eastAsia" w:eastAsiaTheme="minorEastAsia"/>
        </w:rPr>
        <w:t>产污环节及污染因子</w:t>
      </w:r>
      <w:r>
        <w:rPr>
          <w:rFonts w:eastAsiaTheme="minorEastAsia"/>
        </w:rPr>
        <w:t>详见</w:t>
      </w:r>
      <w:r>
        <w:rPr>
          <w:rFonts w:eastAsiaTheme="minorEastAsia"/>
        </w:rPr>
        <w:fldChar w:fldCharType="begin"/>
      </w:r>
      <w:r>
        <w:rPr>
          <w:rFonts w:eastAsiaTheme="minorEastAsia"/>
        </w:rPr>
        <w:instrText xml:space="preserve"> REF _Ref526061932 \h  \* MERGEFORMAT </w:instrText>
      </w:r>
      <w:r>
        <w:rPr>
          <w:rFonts w:eastAsiaTheme="minorEastAsia"/>
        </w:rPr>
        <w:fldChar w:fldCharType="separate"/>
      </w:r>
      <w:r>
        <w:rPr>
          <w:rFonts w:hint="eastAsia" w:eastAsiaTheme="minorEastAsia"/>
        </w:rPr>
        <w:t xml:space="preserve">表 </w:t>
      </w:r>
      <w:r>
        <w:rPr>
          <w:rFonts w:eastAsiaTheme="minorEastAsia"/>
        </w:rPr>
        <w:t>2.5</w:t>
      </w:r>
      <w:r>
        <w:rPr>
          <w:rFonts w:eastAsiaTheme="minorEastAsia"/>
        </w:rPr>
        <w:noBreakHyphen/>
      </w:r>
      <w:r>
        <w:rPr>
          <w:rFonts w:eastAsiaTheme="minorEastAsia"/>
        </w:rPr>
        <w:t>2</w:t>
      </w:r>
      <w:r>
        <w:rPr>
          <w:rFonts w:eastAsiaTheme="minorEastAsia"/>
        </w:rPr>
        <w:fldChar w:fldCharType="end"/>
      </w:r>
      <w:r>
        <w:rPr>
          <w:rFonts w:hint="eastAsia" w:eastAsiaTheme="minorEastAsia"/>
        </w:rPr>
        <w:t>。</w:t>
      </w:r>
    </w:p>
    <w:p>
      <w:pPr>
        <w:pStyle w:val="18"/>
      </w:pPr>
      <w:bookmarkStart w:id="187" w:name="_Ref526061932"/>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bookmarkEnd w:id="187"/>
      <w:r>
        <w:rPr>
          <w:rFonts w:hint="eastAsia"/>
        </w:rPr>
        <w:t>项目生产过程主要产污环节及排污特征汇总表</w:t>
      </w:r>
    </w:p>
    <w:tbl>
      <w:tblPr>
        <w:tblStyle w:val="56"/>
        <w:tblW w:w="929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373"/>
        <w:gridCol w:w="539"/>
        <w:gridCol w:w="1949"/>
        <w:gridCol w:w="1946"/>
        <w:gridCol w:w="721"/>
        <w:gridCol w:w="2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trPr>
        <w:tc>
          <w:tcPr>
            <w:tcW w:w="1803" w:type="dxa"/>
            <w:gridSpan w:val="2"/>
            <w:shd w:val="clear" w:color="000000" w:fill="D9D9D9"/>
            <w:vAlign w:val="center"/>
          </w:tcPr>
          <w:p>
            <w:pPr>
              <w:pStyle w:val="151"/>
              <w:rPr>
                <w:b/>
              </w:rPr>
            </w:pPr>
            <w:r>
              <w:rPr>
                <w:rFonts w:hint="eastAsia"/>
                <w:b/>
              </w:rPr>
              <w:t>污染因素</w:t>
            </w:r>
          </w:p>
        </w:tc>
        <w:tc>
          <w:tcPr>
            <w:tcW w:w="539" w:type="dxa"/>
            <w:shd w:val="clear" w:color="000000" w:fill="D9D9D9"/>
            <w:vAlign w:val="center"/>
          </w:tcPr>
          <w:p>
            <w:pPr>
              <w:pStyle w:val="151"/>
              <w:rPr>
                <w:b/>
              </w:rPr>
            </w:pPr>
            <w:r>
              <w:rPr>
                <w:rFonts w:hint="eastAsia"/>
                <w:b/>
              </w:rPr>
              <w:t>编号</w:t>
            </w:r>
          </w:p>
        </w:tc>
        <w:tc>
          <w:tcPr>
            <w:tcW w:w="1949" w:type="dxa"/>
            <w:shd w:val="clear" w:color="000000" w:fill="D9D9D9"/>
            <w:vAlign w:val="center"/>
          </w:tcPr>
          <w:p>
            <w:pPr>
              <w:pStyle w:val="151"/>
              <w:rPr>
                <w:b/>
              </w:rPr>
            </w:pPr>
            <w:r>
              <w:rPr>
                <w:rFonts w:hint="eastAsia"/>
                <w:b/>
              </w:rPr>
              <w:t>主要产污环节</w:t>
            </w:r>
          </w:p>
        </w:tc>
        <w:tc>
          <w:tcPr>
            <w:tcW w:w="1946" w:type="dxa"/>
            <w:shd w:val="clear" w:color="000000" w:fill="D9D9D9"/>
            <w:vAlign w:val="center"/>
          </w:tcPr>
          <w:p>
            <w:pPr>
              <w:pStyle w:val="151"/>
              <w:rPr>
                <w:b/>
              </w:rPr>
            </w:pPr>
            <w:r>
              <w:rPr>
                <w:rFonts w:hint="eastAsia"/>
                <w:b/>
              </w:rPr>
              <w:t>主要污染因子</w:t>
            </w:r>
          </w:p>
        </w:tc>
        <w:tc>
          <w:tcPr>
            <w:tcW w:w="721" w:type="dxa"/>
            <w:shd w:val="clear" w:color="000000" w:fill="D9D9D9"/>
            <w:vAlign w:val="center"/>
          </w:tcPr>
          <w:p>
            <w:pPr>
              <w:pStyle w:val="151"/>
              <w:rPr>
                <w:b/>
              </w:rPr>
            </w:pPr>
            <w:r>
              <w:rPr>
                <w:rFonts w:hint="eastAsia"/>
                <w:b/>
              </w:rPr>
              <w:t>产生特征</w:t>
            </w:r>
          </w:p>
        </w:tc>
        <w:tc>
          <w:tcPr>
            <w:tcW w:w="2334" w:type="dxa"/>
            <w:shd w:val="clear" w:color="000000" w:fill="D9D9D9"/>
            <w:vAlign w:val="center"/>
          </w:tcPr>
          <w:p>
            <w:pPr>
              <w:pStyle w:val="151"/>
              <w:rPr>
                <w:b/>
              </w:rPr>
            </w:pPr>
            <w:r>
              <w:rPr>
                <w:rFonts w:hint="eastAsia"/>
                <w:b/>
              </w:rPr>
              <w:t>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30" w:type="dxa"/>
            <w:vMerge w:val="restart"/>
            <w:shd w:val="clear" w:color="auto" w:fill="auto"/>
            <w:vAlign w:val="center"/>
          </w:tcPr>
          <w:p>
            <w:pPr>
              <w:pStyle w:val="151"/>
            </w:pPr>
            <w:r>
              <w:rPr>
                <w:rFonts w:hint="eastAsia"/>
              </w:rPr>
              <w:t>废气</w:t>
            </w:r>
          </w:p>
        </w:tc>
        <w:tc>
          <w:tcPr>
            <w:tcW w:w="1373" w:type="dxa"/>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配料</w:t>
            </w:r>
          </w:p>
        </w:tc>
        <w:tc>
          <w:tcPr>
            <w:tcW w:w="539" w:type="dxa"/>
            <w:shd w:val="clear" w:color="auto" w:fill="auto"/>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G1</w:t>
            </w:r>
          </w:p>
        </w:tc>
        <w:tc>
          <w:tcPr>
            <w:tcW w:w="1949" w:type="dxa"/>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配料粉尘</w:t>
            </w:r>
          </w:p>
        </w:tc>
        <w:tc>
          <w:tcPr>
            <w:tcW w:w="1946" w:type="dxa"/>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721" w:type="dxa"/>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连续</w:t>
            </w:r>
          </w:p>
        </w:tc>
        <w:tc>
          <w:tcPr>
            <w:tcW w:w="2334" w:type="dxa"/>
            <w:vMerge w:val="restart"/>
            <w:shd w:val="clear" w:color="auto" w:fill="auto"/>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未采取集中收集</w:t>
            </w:r>
            <w:r>
              <w:rPr>
                <w:rStyle w:val="63"/>
                <w:rFonts w:hint="eastAsia"/>
                <w:color w:val="000000" w:themeColor="text1"/>
                <w14:textFill>
                  <w14:solidFill>
                    <w14:schemeClr w14:val="tx1"/>
                  </w14:solidFill>
                </w14:textFill>
              </w:rPr>
              <w:t>、</w:t>
            </w:r>
            <w:r>
              <w:rPr>
                <w:rStyle w:val="63"/>
                <w:color w:val="000000" w:themeColor="text1"/>
                <w14:textFill>
                  <w14:solidFill>
                    <w14:schemeClr w14:val="tx1"/>
                  </w14:solidFill>
                </w14:textFill>
              </w:rPr>
              <w:t>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30" w:type="dxa"/>
            <w:vMerge w:val="continue"/>
            <w:vAlign w:val="center"/>
          </w:tcPr>
          <w:p>
            <w:pPr>
              <w:pStyle w:val="151"/>
            </w:pPr>
          </w:p>
        </w:tc>
        <w:tc>
          <w:tcPr>
            <w:tcW w:w="1373" w:type="dxa"/>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投料</w:t>
            </w:r>
          </w:p>
        </w:tc>
        <w:tc>
          <w:tcPr>
            <w:tcW w:w="539" w:type="dxa"/>
            <w:shd w:val="clear" w:color="auto" w:fill="auto"/>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G2</w:t>
            </w:r>
          </w:p>
        </w:tc>
        <w:tc>
          <w:tcPr>
            <w:tcW w:w="1949" w:type="dxa"/>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密炼机进料口废气</w:t>
            </w:r>
          </w:p>
        </w:tc>
        <w:tc>
          <w:tcPr>
            <w:tcW w:w="1946" w:type="dxa"/>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721" w:type="dxa"/>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连续</w:t>
            </w:r>
          </w:p>
        </w:tc>
        <w:tc>
          <w:tcPr>
            <w:tcW w:w="2334" w:type="dxa"/>
            <w:vMerge w:val="continue"/>
            <w:vAlign w:val="center"/>
          </w:tcPr>
          <w:p>
            <w:pPr>
              <w:pStyle w:val="151"/>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430" w:type="dxa"/>
            <w:vMerge w:val="continue"/>
            <w:vAlign w:val="center"/>
          </w:tcPr>
          <w:p>
            <w:pPr>
              <w:pStyle w:val="151"/>
            </w:pPr>
          </w:p>
        </w:tc>
        <w:tc>
          <w:tcPr>
            <w:tcW w:w="1373" w:type="dxa"/>
            <w:vMerge w:val="restart"/>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密炼</w:t>
            </w:r>
          </w:p>
        </w:tc>
        <w:tc>
          <w:tcPr>
            <w:tcW w:w="539" w:type="dxa"/>
            <w:vMerge w:val="restart"/>
            <w:shd w:val="clear" w:color="auto" w:fill="auto"/>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G3</w:t>
            </w:r>
          </w:p>
        </w:tc>
        <w:tc>
          <w:tcPr>
            <w:tcW w:w="1949" w:type="dxa"/>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密炼机出料口废气</w:t>
            </w:r>
          </w:p>
        </w:tc>
        <w:tc>
          <w:tcPr>
            <w:tcW w:w="1946" w:type="dxa"/>
            <w:shd w:val="clear" w:color="auto" w:fill="auto"/>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r>
              <w:rPr>
                <w:rStyle w:val="63"/>
                <w:rFonts w:hint="eastAsia"/>
                <w:color w:val="000000" w:themeColor="text1"/>
                <w14:textFill>
                  <w14:solidFill>
                    <w14:schemeClr w14:val="tx1"/>
                  </w14:solidFill>
                </w14:textFill>
              </w:rPr>
              <w:t>、颗粒物、非甲烷总烃、恶臭</w:t>
            </w:r>
          </w:p>
        </w:tc>
        <w:tc>
          <w:tcPr>
            <w:tcW w:w="721" w:type="dxa"/>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连续</w:t>
            </w:r>
          </w:p>
        </w:tc>
        <w:tc>
          <w:tcPr>
            <w:tcW w:w="2334" w:type="dxa"/>
            <w:vMerge w:val="continue"/>
            <w:vAlign w:val="center"/>
          </w:tcPr>
          <w:p>
            <w:pPr>
              <w:pStyle w:val="151"/>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430" w:type="dxa"/>
            <w:vMerge w:val="continue"/>
            <w:vAlign w:val="center"/>
          </w:tcPr>
          <w:p>
            <w:pPr>
              <w:pStyle w:val="151"/>
            </w:pPr>
          </w:p>
        </w:tc>
        <w:tc>
          <w:tcPr>
            <w:tcW w:w="1373" w:type="dxa"/>
            <w:vMerge w:val="continue"/>
            <w:vAlign w:val="center"/>
          </w:tcPr>
          <w:p>
            <w:pPr>
              <w:pStyle w:val="151"/>
              <w:rPr>
                <w:color w:val="000000" w:themeColor="text1"/>
                <w14:textFill>
                  <w14:solidFill>
                    <w14:schemeClr w14:val="tx1"/>
                  </w14:solidFill>
                </w14:textFill>
              </w:rPr>
            </w:pPr>
          </w:p>
        </w:tc>
        <w:tc>
          <w:tcPr>
            <w:tcW w:w="539" w:type="dxa"/>
            <w:vMerge w:val="continue"/>
            <w:vAlign w:val="center"/>
          </w:tcPr>
          <w:p>
            <w:pPr>
              <w:pStyle w:val="151"/>
              <w:rPr>
                <w:rFonts w:eastAsia="等线"/>
                <w:color w:val="000000" w:themeColor="text1"/>
                <w14:textFill>
                  <w14:solidFill>
                    <w14:schemeClr w14:val="tx1"/>
                  </w14:solidFill>
                </w14:textFill>
              </w:rPr>
            </w:pPr>
          </w:p>
        </w:tc>
        <w:tc>
          <w:tcPr>
            <w:tcW w:w="1949" w:type="dxa"/>
            <w:shd w:val="clear" w:color="auto" w:fill="auto"/>
            <w:vAlign w:val="center"/>
          </w:tcPr>
          <w:p>
            <w:pPr>
              <w:pStyle w:val="151"/>
              <w:rPr>
                <w:color w:val="000000" w:themeColor="text1"/>
                <w14:textFill>
                  <w14:solidFill>
                    <w14:schemeClr w14:val="tx1"/>
                  </w14:solidFill>
                </w14:textFill>
              </w:rPr>
            </w:pPr>
            <w:r>
              <w:rPr>
                <w:rFonts w:hint="eastAsia"/>
                <w:color w:val="000000" w:themeColor="text1"/>
                <w14:textFill>
                  <w14:solidFill>
                    <w14:schemeClr w14:val="tx1"/>
                  </w14:solidFill>
                </w14:textFill>
              </w:rPr>
              <w:t>密炼废气</w:t>
            </w:r>
          </w:p>
        </w:tc>
        <w:tc>
          <w:tcPr>
            <w:tcW w:w="1946" w:type="dxa"/>
            <w:shd w:val="clear" w:color="auto" w:fill="auto"/>
            <w:vAlign w:val="center"/>
          </w:tcPr>
          <w:p>
            <w:pPr>
              <w:pStyle w:val="151"/>
              <w:rPr>
                <w:rFonts w:eastAsia="等线"/>
                <w:color w:val="000000" w:themeColor="text1"/>
                <w14:textFill>
                  <w14:solidFill>
                    <w14:schemeClr w14:val="tx1"/>
                  </w14:solidFill>
                </w14:textFill>
              </w:rPr>
            </w:pPr>
            <w:r>
              <w:rPr>
                <w:rFonts w:eastAsia="等线"/>
                <w:color w:val="000000" w:themeColor="text1"/>
                <w14:textFill>
                  <w14:solidFill>
                    <w14:schemeClr w14:val="tx1"/>
                  </w14:solidFill>
                </w14:textFill>
              </w:rPr>
              <w:t>H</w:t>
            </w:r>
            <w:r>
              <w:rPr>
                <w:rFonts w:eastAsia="等线"/>
                <w:color w:val="000000" w:themeColor="text1"/>
                <w:vertAlign w:val="subscript"/>
                <w14:textFill>
                  <w14:solidFill>
                    <w14:schemeClr w14:val="tx1"/>
                  </w14:solidFill>
                </w14:textFill>
              </w:rPr>
              <w:t>2</w:t>
            </w:r>
            <w:r>
              <w:rPr>
                <w:rFonts w:eastAsia="等线"/>
                <w:color w:val="000000" w:themeColor="text1"/>
                <w14:textFill>
                  <w14:solidFill>
                    <w14:schemeClr w14:val="tx1"/>
                  </w14:solidFill>
                </w14:textFill>
              </w:rPr>
              <w:t>S</w:t>
            </w:r>
            <w:r>
              <w:rPr>
                <w:rFonts w:hint="eastAsia"/>
                <w:color w:val="000000" w:themeColor="text1"/>
                <w14:textFill>
                  <w14:solidFill>
                    <w14:schemeClr w14:val="tx1"/>
                  </w14:solidFill>
                </w14:textFill>
              </w:rPr>
              <w:t>、颗粒物、非甲烷总烃、恶臭</w:t>
            </w:r>
          </w:p>
        </w:tc>
        <w:tc>
          <w:tcPr>
            <w:tcW w:w="721" w:type="dxa"/>
            <w:shd w:val="clear" w:color="auto" w:fill="auto"/>
            <w:vAlign w:val="center"/>
          </w:tcPr>
          <w:p>
            <w:pPr>
              <w:pStyle w:val="151"/>
              <w:rPr>
                <w:rStyle w:val="63"/>
                <w:color w:val="000000" w:themeColor="text1"/>
                <w14:textFill>
                  <w14:solidFill>
                    <w14:schemeClr w14:val="tx1"/>
                  </w14:solidFill>
                </w14:textFill>
              </w:rPr>
            </w:pPr>
            <w:r>
              <w:rPr>
                <w:rFonts w:hint="eastAsia"/>
                <w:color w:val="000000" w:themeColor="text1"/>
                <w14:textFill>
                  <w14:solidFill>
                    <w14:schemeClr w14:val="tx1"/>
                  </w14:solidFill>
                </w14:textFill>
              </w:rPr>
              <w:t>连续</w:t>
            </w:r>
          </w:p>
        </w:tc>
        <w:tc>
          <w:tcPr>
            <w:tcW w:w="2334" w:type="dxa"/>
            <w:vAlign w:val="center"/>
          </w:tcPr>
          <w:p>
            <w:pPr>
              <w:pStyle w:val="151"/>
              <w:rPr>
                <w:color w:val="000000" w:themeColor="text1"/>
                <w14:textFill>
                  <w14:solidFill>
                    <w14:schemeClr w14:val="tx1"/>
                  </w14:solidFill>
                </w14:textFill>
              </w:rPr>
            </w:pPr>
            <w:r>
              <w:rPr>
                <w:rFonts w:hint="eastAsia"/>
                <w:color w:val="000000" w:themeColor="text1"/>
                <w14:textFill>
                  <w14:solidFill>
                    <w14:schemeClr w14:val="tx1"/>
                  </w14:solidFill>
                </w14:textFill>
              </w:rPr>
              <w:t>布袋除尘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430" w:type="dxa"/>
            <w:vMerge w:val="continue"/>
            <w:vAlign w:val="center"/>
          </w:tcPr>
          <w:p>
            <w:pPr>
              <w:pStyle w:val="151"/>
            </w:pPr>
          </w:p>
        </w:tc>
        <w:tc>
          <w:tcPr>
            <w:tcW w:w="1373" w:type="dxa"/>
            <w:shd w:val="clear" w:color="auto" w:fill="auto"/>
            <w:vAlign w:val="center"/>
          </w:tcPr>
          <w:p>
            <w:pPr>
              <w:pStyle w:val="151"/>
            </w:pPr>
            <w:r>
              <w:rPr>
                <w:rFonts w:hint="eastAsia"/>
              </w:rPr>
              <w:t>开炼</w:t>
            </w:r>
          </w:p>
        </w:tc>
        <w:tc>
          <w:tcPr>
            <w:tcW w:w="539" w:type="dxa"/>
            <w:shd w:val="clear" w:color="auto" w:fill="auto"/>
            <w:vAlign w:val="center"/>
          </w:tcPr>
          <w:p>
            <w:pPr>
              <w:pStyle w:val="151"/>
              <w:rPr>
                <w:rFonts w:eastAsia="等线"/>
              </w:rPr>
            </w:pPr>
            <w:r>
              <w:rPr>
                <w:rFonts w:eastAsia="等线"/>
              </w:rPr>
              <w:t>G4</w:t>
            </w:r>
          </w:p>
        </w:tc>
        <w:tc>
          <w:tcPr>
            <w:tcW w:w="1949" w:type="dxa"/>
            <w:shd w:val="clear" w:color="auto" w:fill="auto"/>
            <w:vAlign w:val="center"/>
          </w:tcPr>
          <w:p>
            <w:pPr>
              <w:pStyle w:val="151"/>
            </w:pPr>
            <w:r>
              <w:rPr>
                <w:rFonts w:hint="eastAsia"/>
              </w:rPr>
              <w:t>开炼废气</w:t>
            </w:r>
          </w:p>
        </w:tc>
        <w:tc>
          <w:tcPr>
            <w:tcW w:w="1946" w:type="dxa"/>
            <w:shd w:val="clear" w:color="auto" w:fill="auto"/>
            <w:vAlign w:val="center"/>
          </w:tcPr>
          <w:p>
            <w:pPr>
              <w:pStyle w:val="151"/>
              <w:rPr>
                <w:rFonts w:eastAsia="等线"/>
              </w:rPr>
            </w:pPr>
            <w:r>
              <w:rPr>
                <w:rFonts w:eastAsia="等线"/>
              </w:rPr>
              <w:t>H</w:t>
            </w:r>
            <w:r>
              <w:rPr>
                <w:rFonts w:eastAsia="等线"/>
                <w:vertAlign w:val="subscript"/>
              </w:rPr>
              <w:t>2</w:t>
            </w:r>
            <w:r>
              <w:rPr>
                <w:rFonts w:eastAsia="等线"/>
              </w:rPr>
              <w:t>S</w:t>
            </w:r>
            <w:r>
              <w:rPr>
                <w:rFonts w:hint="eastAsia"/>
              </w:rPr>
              <w:t>、非甲烷总烃、恶臭</w:t>
            </w:r>
          </w:p>
        </w:tc>
        <w:tc>
          <w:tcPr>
            <w:tcW w:w="721" w:type="dxa"/>
            <w:shd w:val="clear" w:color="auto" w:fill="auto"/>
            <w:vAlign w:val="center"/>
          </w:tcPr>
          <w:p>
            <w:pPr>
              <w:pStyle w:val="151"/>
            </w:pPr>
            <w:r>
              <w:rPr>
                <w:rFonts w:hint="eastAsia"/>
              </w:rPr>
              <w:t>连续</w:t>
            </w:r>
          </w:p>
        </w:tc>
        <w:tc>
          <w:tcPr>
            <w:tcW w:w="2334" w:type="dxa"/>
            <w:vMerge w:val="restart"/>
            <w:shd w:val="clear" w:color="auto" w:fill="auto"/>
            <w:vAlign w:val="center"/>
          </w:tcPr>
          <w:p>
            <w:pPr>
              <w:pStyle w:val="151"/>
              <w:rPr>
                <w:rFonts w:eastAsia="等线"/>
              </w:rPr>
            </w:pPr>
            <w:r>
              <w:rPr>
                <w:rFonts w:hint="eastAsia"/>
              </w:rPr>
              <w:t>活性炭吸附</w:t>
            </w:r>
            <w:r>
              <w:rPr>
                <w:rFonts w:eastAsia="等线"/>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430" w:type="dxa"/>
            <w:vMerge w:val="continue"/>
            <w:vAlign w:val="center"/>
          </w:tcPr>
          <w:p>
            <w:pPr>
              <w:pStyle w:val="151"/>
            </w:pPr>
          </w:p>
        </w:tc>
        <w:tc>
          <w:tcPr>
            <w:tcW w:w="1373" w:type="dxa"/>
            <w:shd w:val="clear" w:color="auto" w:fill="auto"/>
            <w:vAlign w:val="center"/>
          </w:tcPr>
          <w:p>
            <w:pPr>
              <w:pStyle w:val="151"/>
            </w:pPr>
            <w:r>
              <w:rPr>
                <w:rFonts w:hint="eastAsia"/>
              </w:rPr>
              <w:t>硫化</w:t>
            </w:r>
          </w:p>
        </w:tc>
        <w:tc>
          <w:tcPr>
            <w:tcW w:w="539" w:type="dxa"/>
            <w:shd w:val="clear" w:color="auto" w:fill="auto"/>
            <w:vAlign w:val="center"/>
          </w:tcPr>
          <w:p>
            <w:pPr>
              <w:pStyle w:val="151"/>
              <w:rPr>
                <w:rFonts w:eastAsia="等线"/>
              </w:rPr>
            </w:pPr>
            <w:r>
              <w:rPr>
                <w:rFonts w:eastAsia="等线"/>
              </w:rPr>
              <w:t>G5</w:t>
            </w:r>
          </w:p>
        </w:tc>
        <w:tc>
          <w:tcPr>
            <w:tcW w:w="1949" w:type="dxa"/>
            <w:shd w:val="clear" w:color="auto" w:fill="auto"/>
            <w:vAlign w:val="center"/>
          </w:tcPr>
          <w:p>
            <w:pPr>
              <w:pStyle w:val="151"/>
            </w:pPr>
            <w:r>
              <w:rPr>
                <w:rFonts w:hint="eastAsia"/>
              </w:rPr>
              <w:t>硫化废气</w:t>
            </w:r>
          </w:p>
        </w:tc>
        <w:tc>
          <w:tcPr>
            <w:tcW w:w="1946" w:type="dxa"/>
            <w:shd w:val="clear" w:color="auto" w:fill="auto"/>
            <w:vAlign w:val="center"/>
          </w:tcPr>
          <w:p>
            <w:pPr>
              <w:pStyle w:val="151"/>
              <w:rPr>
                <w:rFonts w:eastAsia="等线"/>
              </w:rPr>
            </w:pPr>
            <w:r>
              <w:rPr>
                <w:rFonts w:eastAsia="等线"/>
              </w:rPr>
              <w:t>H</w:t>
            </w:r>
            <w:r>
              <w:rPr>
                <w:rFonts w:eastAsia="等线"/>
                <w:vertAlign w:val="subscript"/>
              </w:rPr>
              <w:t>2</w:t>
            </w:r>
            <w:r>
              <w:rPr>
                <w:rFonts w:eastAsia="等线"/>
              </w:rPr>
              <w:t>S</w:t>
            </w:r>
            <w:r>
              <w:rPr>
                <w:rFonts w:hint="eastAsia"/>
              </w:rPr>
              <w:t>、非甲烷总烃、恶臭</w:t>
            </w:r>
          </w:p>
        </w:tc>
        <w:tc>
          <w:tcPr>
            <w:tcW w:w="721" w:type="dxa"/>
            <w:shd w:val="clear" w:color="auto" w:fill="auto"/>
            <w:vAlign w:val="center"/>
          </w:tcPr>
          <w:p>
            <w:pPr>
              <w:pStyle w:val="151"/>
            </w:pPr>
            <w:r>
              <w:rPr>
                <w:rFonts w:hint="eastAsia"/>
              </w:rPr>
              <w:t>间断</w:t>
            </w:r>
          </w:p>
        </w:tc>
        <w:tc>
          <w:tcPr>
            <w:tcW w:w="2334" w:type="dxa"/>
            <w:vMerge w:val="continue"/>
            <w:vAlign w:val="center"/>
          </w:tcPr>
          <w:p>
            <w:pPr>
              <w:pStyle w:val="151"/>
              <w:rPr>
                <w:rFonts w:eastAsia="等线"/>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430" w:type="dxa"/>
            <w:vMerge w:val="continue"/>
            <w:vAlign w:val="center"/>
          </w:tcPr>
          <w:p>
            <w:pPr>
              <w:pStyle w:val="151"/>
            </w:pPr>
          </w:p>
        </w:tc>
        <w:tc>
          <w:tcPr>
            <w:tcW w:w="1373" w:type="dxa"/>
            <w:shd w:val="clear" w:color="auto" w:fill="auto"/>
            <w:vAlign w:val="center"/>
          </w:tcPr>
          <w:p>
            <w:pPr>
              <w:pStyle w:val="151"/>
            </w:pPr>
            <w:r>
              <w:rPr>
                <w:rFonts w:hint="eastAsia"/>
              </w:rPr>
              <w:t>抛丸</w:t>
            </w:r>
          </w:p>
        </w:tc>
        <w:tc>
          <w:tcPr>
            <w:tcW w:w="539" w:type="dxa"/>
            <w:shd w:val="clear" w:color="auto" w:fill="auto"/>
            <w:vAlign w:val="center"/>
          </w:tcPr>
          <w:p>
            <w:pPr>
              <w:pStyle w:val="151"/>
              <w:rPr>
                <w:rFonts w:eastAsia="等线"/>
              </w:rPr>
            </w:pPr>
            <w:r>
              <w:rPr>
                <w:rFonts w:eastAsia="等线"/>
              </w:rPr>
              <w:t>G6</w:t>
            </w:r>
          </w:p>
        </w:tc>
        <w:tc>
          <w:tcPr>
            <w:tcW w:w="1949" w:type="dxa"/>
            <w:shd w:val="clear" w:color="auto" w:fill="auto"/>
            <w:vAlign w:val="center"/>
          </w:tcPr>
          <w:p>
            <w:pPr>
              <w:pStyle w:val="151"/>
            </w:pPr>
            <w:r>
              <w:rPr>
                <w:rFonts w:hint="eastAsia"/>
              </w:rPr>
              <w:t>抛丸废气</w:t>
            </w:r>
          </w:p>
        </w:tc>
        <w:tc>
          <w:tcPr>
            <w:tcW w:w="1946" w:type="dxa"/>
            <w:shd w:val="clear" w:color="auto" w:fill="auto"/>
            <w:vAlign w:val="center"/>
          </w:tcPr>
          <w:p>
            <w:pPr>
              <w:pStyle w:val="151"/>
              <w:rPr>
                <w:rFonts w:eastAsia="等线"/>
              </w:rPr>
            </w:pPr>
            <w:r>
              <w:rPr>
                <w:rFonts w:hint="eastAsia" w:eastAsia="等线"/>
              </w:rPr>
              <w:t>颗粒物</w:t>
            </w:r>
          </w:p>
        </w:tc>
        <w:tc>
          <w:tcPr>
            <w:tcW w:w="721" w:type="dxa"/>
            <w:shd w:val="clear" w:color="auto" w:fill="auto"/>
            <w:vAlign w:val="center"/>
          </w:tcPr>
          <w:p>
            <w:pPr>
              <w:pStyle w:val="151"/>
            </w:pPr>
            <w:r>
              <w:rPr>
                <w:rFonts w:hint="eastAsia"/>
              </w:rPr>
              <w:t>间断</w:t>
            </w:r>
          </w:p>
        </w:tc>
        <w:tc>
          <w:tcPr>
            <w:tcW w:w="2334" w:type="dxa"/>
            <w:vAlign w:val="center"/>
          </w:tcPr>
          <w:p>
            <w:pPr>
              <w:pStyle w:val="151"/>
              <w:rPr>
                <w:rFonts w:eastAsia="等线"/>
              </w:rPr>
            </w:pPr>
            <w:r>
              <w:rPr>
                <w:rFonts w:hint="eastAsia" w:eastAsia="等线"/>
              </w:rPr>
              <w:t>自带除尘器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430" w:type="dxa"/>
            <w:vMerge w:val="continue"/>
            <w:vAlign w:val="center"/>
          </w:tcPr>
          <w:p>
            <w:pPr>
              <w:pStyle w:val="151"/>
            </w:pPr>
          </w:p>
        </w:tc>
        <w:tc>
          <w:tcPr>
            <w:tcW w:w="1373" w:type="dxa"/>
            <w:shd w:val="clear" w:color="auto" w:fill="auto"/>
            <w:vAlign w:val="center"/>
          </w:tcPr>
          <w:p>
            <w:pPr>
              <w:pStyle w:val="151"/>
            </w:pPr>
            <w:r>
              <w:rPr>
                <w:rFonts w:hint="eastAsia"/>
              </w:rPr>
              <w:t>粘胶</w:t>
            </w:r>
          </w:p>
        </w:tc>
        <w:tc>
          <w:tcPr>
            <w:tcW w:w="539" w:type="dxa"/>
            <w:shd w:val="clear" w:color="auto" w:fill="auto"/>
            <w:vAlign w:val="center"/>
          </w:tcPr>
          <w:p>
            <w:pPr>
              <w:pStyle w:val="151"/>
              <w:rPr>
                <w:rFonts w:eastAsia="等线"/>
              </w:rPr>
            </w:pPr>
            <w:r>
              <w:rPr>
                <w:rFonts w:eastAsia="等线"/>
              </w:rPr>
              <w:t>G7</w:t>
            </w:r>
          </w:p>
        </w:tc>
        <w:tc>
          <w:tcPr>
            <w:tcW w:w="1949" w:type="dxa"/>
            <w:shd w:val="clear" w:color="auto" w:fill="auto"/>
            <w:vAlign w:val="center"/>
          </w:tcPr>
          <w:p>
            <w:pPr>
              <w:pStyle w:val="151"/>
            </w:pPr>
            <w:r>
              <w:rPr>
                <w:rFonts w:hint="eastAsia"/>
              </w:rPr>
              <w:t>粘胶废气</w:t>
            </w:r>
          </w:p>
        </w:tc>
        <w:tc>
          <w:tcPr>
            <w:tcW w:w="1946" w:type="dxa"/>
            <w:shd w:val="clear" w:color="auto" w:fill="auto"/>
            <w:vAlign w:val="center"/>
          </w:tcPr>
          <w:p>
            <w:pPr>
              <w:pStyle w:val="151"/>
              <w:rPr>
                <w:rFonts w:eastAsia="等线"/>
              </w:rPr>
            </w:pPr>
            <w:r>
              <w:rPr>
                <w:rFonts w:hint="eastAsia" w:eastAsia="等线"/>
              </w:rPr>
              <w:t>V</w:t>
            </w:r>
            <w:r>
              <w:rPr>
                <w:rFonts w:eastAsia="等线"/>
              </w:rPr>
              <w:t>OCs</w:t>
            </w:r>
          </w:p>
        </w:tc>
        <w:tc>
          <w:tcPr>
            <w:tcW w:w="721" w:type="dxa"/>
            <w:shd w:val="clear" w:color="auto" w:fill="auto"/>
            <w:vAlign w:val="center"/>
          </w:tcPr>
          <w:p>
            <w:pPr>
              <w:pStyle w:val="151"/>
            </w:pPr>
            <w:r>
              <w:rPr>
                <w:rFonts w:hint="eastAsia"/>
              </w:rPr>
              <w:t>间断</w:t>
            </w:r>
          </w:p>
        </w:tc>
        <w:tc>
          <w:tcPr>
            <w:tcW w:w="2334" w:type="dxa"/>
            <w:vAlign w:val="center"/>
          </w:tcPr>
          <w:p>
            <w:pPr>
              <w:pStyle w:val="151"/>
              <w:rPr>
                <w:rFonts w:eastAsia="等线"/>
              </w:rPr>
            </w:pPr>
            <w:r>
              <w:rPr>
                <w:rStyle w:val="63"/>
                <w:color w:val="000000" w:themeColor="text1"/>
                <w14:textFill>
                  <w14:solidFill>
                    <w14:schemeClr w14:val="tx1"/>
                  </w14:solidFill>
                </w14:textFill>
              </w:rPr>
              <w:t>未采取集中收集</w:t>
            </w:r>
            <w:r>
              <w:rPr>
                <w:rStyle w:val="63"/>
                <w:rFonts w:hint="eastAsia"/>
                <w:color w:val="000000" w:themeColor="text1"/>
                <w14:textFill>
                  <w14:solidFill>
                    <w14:schemeClr w14:val="tx1"/>
                  </w14:solidFill>
                </w14:textFill>
              </w:rPr>
              <w:t>、</w:t>
            </w:r>
            <w:r>
              <w:rPr>
                <w:rStyle w:val="63"/>
                <w:color w:val="000000" w:themeColor="text1"/>
                <w14:textFill>
                  <w14:solidFill>
                    <w14:schemeClr w14:val="tx1"/>
                  </w14:solidFill>
                </w14:textFill>
              </w:rPr>
              <w:t>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9" w:hRule="atLeast"/>
        </w:trPr>
        <w:tc>
          <w:tcPr>
            <w:tcW w:w="430" w:type="dxa"/>
            <w:shd w:val="clear" w:color="auto" w:fill="auto"/>
            <w:vAlign w:val="center"/>
          </w:tcPr>
          <w:p>
            <w:pPr>
              <w:pStyle w:val="151"/>
            </w:pPr>
            <w:r>
              <w:rPr>
                <w:rFonts w:hint="eastAsia"/>
              </w:rPr>
              <w:t>废水</w:t>
            </w:r>
          </w:p>
        </w:tc>
        <w:tc>
          <w:tcPr>
            <w:tcW w:w="1373" w:type="dxa"/>
            <w:shd w:val="clear" w:color="auto" w:fill="auto"/>
            <w:vAlign w:val="center"/>
          </w:tcPr>
          <w:p>
            <w:pPr>
              <w:pStyle w:val="151"/>
            </w:pPr>
            <w:r>
              <w:rPr>
                <w:rFonts w:hint="eastAsia"/>
              </w:rPr>
              <w:t>职工生活</w:t>
            </w:r>
          </w:p>
        </w:tc>
        <w:tc>
          <w:tcPr>
            <w:tcW w:w="539" w:type="dxa"/>
            <w:shd w:val="clear" w:color="auto" w:fill="auto"/>
            <w:vAlign w:val="center"/>
          </w:tcPr>
          <w:p>
            <w:pPr>
              <w:pStyle w:val="151"/>
              <w:rPr>
                <w:rFonts w:eastAsia="等线"/>
              </w:rPr>
            </w:pPr>
            <w:r>
              <w:rPr>
                <w:rFonts w:eastAsia="等线"/>
              </w:rPr>
              <w:t>W1</w:t>
            </w:r>
          </w:p>
        </w:tc>
        <w:tc>
          <w:tcPr>
            <w:tcW w:w="1949" w:type="dxa"/>
            <w:shd w:val="clear" w:color="auto" w:fill="auto"/>
            <w:vAlign w:val="center"/>
          </w:tcPr>
          <w:p>
            <w:pPr>
              <w:pStyle w:val="151"/>
            </w:pPr>
            <w:r>
              <w:rPr>
                <w:rFonts w:hint="eastAsia"/>
              </w:rPr>
              <w:t>生活污水</w:t>
            </w:r>
          </w:p>
        </w:tc>
        <w:tc>
          <w:tcPr>
            <w:tcW w:w="1946" w:type="dxa"/>
            <w:shd w:val="clear" w:color="auto" w:fill="auto"/>
            <w:vAlign w:val="center"/>
          </w:tcPr>
          <w:p>
            <w:pPr>
              <w:pStyle w:val="151"/>
              <w:rPr>
                <w:rFonts w:eastAsia="等线"/>
              </w:rPr>
            </w:pPr>
            <w:r>
              <w:rPr>
                <w:rFonts w:eastAsia="等线"/>
              </w:rPr>
              <w:t>COD</w:t>
            </w:r>
            <w:r>
              <w:rPr>
                <w:rFonts w:eastAsia="等线"/>
                <w:vertAlign w:val="subscript"/>
              </w:rPr>
              <w:t>Cr</w:t>
            </w:r>
            <w:r>
              <w:rPr>
                <w:rFonts w:hint="eastAsia"/>
              </w:rPr>
              <w:t>、</w:t>
            </w:r>
            <w:r>
              <w:rPr>
                <w:rFonts w:eastAsia="等线"/>
              </w:rPr>
              <w:t>BOD</w:t>
            </w:r>
            <w:r>
              <w:rPr>
                <w:rFonts w:eastAsia="等线"/>
                <w:vertAlign w:val="subscript"/>
              </w:rPr>
              <w:t>5</w:t>
            </w:r>
            <w:r>
              <w:rPr>
                <w:rFonts w:hint="eastAsia"/>
              </w:rPr>
              <w:t>、</w:t>
            </w:r>
            <w:r>
              <w:rPr>
                <w:rFonts w:eastAsia="等线"/>
              </w:rPr>
              <w:t>SS</w:t>
            </w:r>
            <w:r>
              <w:rPr>
                <w:rFonts w:hint="eastAsia"/>
              </w:rPr>
              <w:t>、氨氮</w:t>
            </w:r>
          </w:p>
        </w:tc>
        <w:tc>
          <w:tcPr>
            <w:tcW w:w="721" w:type="dxa"/>
            <w:shd w:val="clear" w:color="auto" w:fill="auto"/>
            <w:vAlign w:val="center"/>
          </w:tcPr>
          <w:p>
            <w:pPr>
              <w:pStyle w:val="151"/>
            </w:pPr>
            <w:r>
              <w:rPr>
                <w:rFonts w:hint="eastAsia"/>
              </w:rPr>
              <w:t>间断</w:t>
            </w:r>
          </w:p>
        </w:tc>
        <w:tc>
          <w:tcPr>
            <w:tcW w:w="2334" w:type="dxa"/>
            <w:shd w:val="clear" w:color="auto" w:fill="auto"/>
            <w:vAlign w:val="center"/>
          </w:tcPr>
          <w:p>
            <w:pPr>
              <w:pStyle w:val="151"/>
            </w:pPr>
            <w:r>
              <w:rPr>
                <w:rFonts w:hint="eastAsia"/>
              </w:rPr>
              <w:t>项目运营初期，员工生活污水经三级化粪池预处理后，苍城污水处理厂统一处理。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30" w:type="dxa"/>
            <w:shd w:val="clear" w:color="auto" w:fill="auto"/>
            <w:vAlign w:val="center"/>
          </w:tcPr>
          <w:p>
            <w:pPr>
              <w:pStyle w:val="151"/>
            </w:pPr>
            <w:r>
              <w:rPr>
                <w:rFonts w:hint="eastAsia"/>
              </w:rPr>
              <w:t>噪声</w:t>
            </w:r>
          </w:p>
        </w:tc>
        <w:tc>
          <w:tcPr>
            <w:tcW w:w="1373" w:type="dxa"/>
            <w:shd w:val="clear" w:color="auto" w:fill="auto"/>
            <w:vAlign w:val="center"/>
          </w:tcPr>
          <w:p>
            <w:pPr>
              <w:pStyle w:val="151"/>
            </w:pPr>
            <w:r>
              <w:rPr>
                <w:rFonts w:hint="eastAsia"/>
              </w:rPr>
              <w:t>机械设备、风机</w:t>
            </w:r>
          </w:p>
        </w:tc>
        <w:tc>
          <w:tcPr>
            <w:tcW w:w="539" w:type="dxa"/>
            <w:shd w:val="clear" w:color="auto" w:fill="auto"/>
            <w:vAlign w:val="center"/>
          </w:tcPr>
          <w:p>
            <w:pPr>
              <w:pStyle w:val="151"/>
              <w:rPr>
                <w:rFonts w:eastAsia="等线"/>
              </w:rPr>
            </w:pPr>
            <w:r>
              <w:rPr>
                <w:rFonts w:eastAsia="等线"/>
              </w:rPr>
              <w:t>N</w:t>
            </w:r>
          </w:p>
        </w:tc>
        <w:tc>
          <w:tcPr>
            <w:tcW w:w="1949" w:type="dxa"/>
            <w:shd w:val="clear" w:color="auto" w:fill="auto"/>
            <w:vAlign w:val="center"/>
          </w:tcPr>
          <w:p>
            <w:pPr>
              <w:pStyle w:val="151"/>
            </w:pPr>
            <w:r>
              <w:rPr>
                <w:rFonts w:hint="eastAsia"/>
              </w:rPr>
              <w:t>运行噪声</w:t>
            </w:r>
          </w:p>
        </w:tc>
        <w:tc>
          <w:tcPr>
            <w:tcW w:w="1946" w:type="dxa"/>
            <w:shd w:val="clear" w:color="auto" w:fill="auto"/>
            <w:vAlign w:val="center"/>
          </w:tcPr>
          <w:p>
            <w:pPr>
              <w:pStyle w:val="151"/>
              <w:rPr>
                <w:rFonts w:eastAsia="等线"/>
              </w:rPr>
            </w:pPr>
            <w:r>
              <w:rPr>
                <w:rFonts w:eastAsia="等线"/>
              </w:rPr>
              <w:t>Leq</w:t>
            </w:r>
            <w:r>
              <w:rPr>
                <w:rFonts w:hint="eastAsia"/>
              </w:rPr>
              <w:t>（</w:t>
            </w:r>
            <w:r>
              <w:rPr>
                <w:rFonts w:eastAsia="等线"/>
              </w:rPr>
              <w:t>A</w:t>
            </w:r>
            <w:r>
              <w:rPr>
                <w:rFonts w:hint="eastAsia"/>
              </w:rPr>
              <w:t>）</w:t>
            </w:r>
          </w:p>
        </w:tc>
        <w:tc>
          <w:tcPr>
            <w:tcW w:w="721" w:type="dxa"/>
            <w:shd w:val="clear" w:color="auto" w:fill="auto"/>
            <w:vAlign w:val="center"/>
          </w:tcPr>
          <w:p>
            <w:pPr>
              <w:pStyle w:val="151"/>
            </w:pPr>
            <w:r>
              <w:rPr>
                <w:rFonts w:hint="eastAsia"/>
              </w:rPr>
              <w:t>连续</w:t>
            </w:r>
          </w:p>
        </w:tc>
        <w:tc>
          <w:tcPr>
            <w:tcW w:w="2334" w:type="dxa"/>
            <w:shd w:val="clear" w:color="auto" w:fill="auto"/>
            <w:vAlign w:val="center"/>
          </w:tcPr>
          <w:p>
            <w:pPr>
              <w:pStyle w:val="151"/>
            </w:pPr>
            <w:r>
              <w:rPr>
                <w:rFonts w:hint="eastAsia"/>
              </w:rPr>
              <w:t>合理布局、隔声、减震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30" w:type="dxa"/>
            <w:vMerge w:val="restart"/>
            <w:shd w:val="clear" w:color="auto" w:fill="auto"/>
            <w:vAlign w:val="center"/>
          </w:tcPr>
          <w:p>
            <w:pPr>
              <w:pStyle w:val="151"/>
            </w:pPr>
            <w:r>
              <w:rPr>
                <w:rFonts w:hint="eastAsia"/>
              </w:rPr>
              <w:t>固体废物</w:t>
            </w:r>
          </w:p>
        </w:tc>
        <w:tc>
          <w:tcPr>
            <w:tcW w:w="1373" w:type="dxa"/>
            <w:shd w:val="clear" w:color="auto" w:fill="auto"/>
            <w:vAlign w:val="center"/>
          </w:tcPr>
          <w:p>
            <w:pPr>
              <w:pStyle w:val="151"/>
            </w:pPr>
            <w:r>
              <w:rPr>
                <w:rFonts w:hint="eastAsia"/>
              </w:rPr>
              <w:t>配料</w:t>
            </w:r>
          </w:p>
        </w:tc>
        <w:tc>
          <w:tcPr>
            <w:tcW w:w="539" w:type="dxa"/>
            <w:shd w:val="clear" w:color="auto" w:fill="auto"/>
            <w:vAlign w:val="center"/>
          </w:tcPr>
          <w:p>
            <w:pPr>
              <w:pStyle w:val="151"/>
              <w:rPr>
                <w:rFonts w:eastAsia="等线"/>
              </w:rPr>
            </w:pPr>
            <w:r>
              <w:rPr>
                <w:rFonts w:eastAsia="等线"/>
              </w:rPr>
              <w:t>S1</w:t>
            </w:r>
          </w:p>
        </w:tc>
        <w:tc>
          <w:tcPr>
            <w:tcW w:w="1949" w:type="dxa"/>
            <w:shd w:val="clear" w:color="auto" w:fill="auto"/>
            <w:noWrap/>
            <w:vAlign w:val="center"/>
          </w:tcPr>
          <w:p>
            <w:pPr>
              <w:pStyle w:val="151"/>
            </w:pPr>
            <w:r>
              <w:rPr>
                <w:rFonts w:hint="eastAsia"/>
              </w:rPr>
              <w:t>废包装材料</w:t>
            </w:r>
          </w:p>
        </w:tc>
        <w:tc>
          <w:tcPr>
            <w:tcW w:w="1946" w:type="dxa"/>
            <w:shd w:val="clear" w:color="auto" w:fill="auto"/>
            <w:vAlign w:val="center"/>
          </w:tcPr>
          <w:p>
            <w:pPr>
              <w:pStyle w:val="151"/>
            </w:pPr>
            <w:r>
              <w:rPr>
                <w:rFonts w:hint="eastAsia"/>
              </w:rPr>
              <w:t>一般固废</w:t>
            </w:r>
          </w:p>
        </w:tc>
        <w:tc>
          <w:tcPr>
            <w:tcW w:w="721" w:type="dxa"/>
            <w:shd w:val="clear" w:color="auto" w:fill="auto"/>
            <w:vAlign w:val="center"/>
          </w:tcPr>
          <w:p>
            <w:pPr>
              <w:pStyle w:val="151"/>
            </w:pPr>
            <w:r>
              <w:rPr>
                <w:rFonts w:hint="eastAsia"/>
              </w:rPr>
              <w:t>间断</w:t>
            </w:r>
          </w:p>
        </w:tc>
        <w:tc>
          <w:tcPr>
            <w:tcW w:w="2334" w:type="dxa"/>
            <w:shd w:val="clear" w:color="auto" w:fill="auto"/>
            <w:vAlign w:val="center"/>
          </w:tcPr>
          <w:p>
            <w:pPr>
              <w:pStyle w:val="151"/>
            </w:pPr>
            <w:r>
              <w:rPr>
                <w:rFonts w:hint="eastAsia"/>
              </w:rPr>
              <w:t>收集后交资源回收单位综合利用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30" w:type="dxa"/>
            <w:vMerge w:val="continue"/>
            <w:vAlign w:val="center"/>
          </w:tcPr>
          <w:p>
            <w:pPr>
              <w:pStyle w:val="151"/>
            </w:pPr>
          </w:p>
        </w:tc>
        <w:tc>
          <w:tcPr>
            <w:tcW w:w="1373" w:type="dxa"/>
            <w:shd w:val="clear" w:color="auto" w:fill="auto"/>
            <w:vAlign w:val="center"/>
          </w:tcPr>
          <w:p>
            <w:pPr>
              <w:pStyle w:val="151"/>
            </w:pPr>
            <w:r>
              <w:rPr>
                <w:rFonts w:hint="eastAsia"/>
              </w:rPr>
              <w:t>裁切</w:t>
            </w:r>
          </w:p>
        </w:tc>
        <w:tc>
          <w:tcPr>
            <w:tcW w:w="539" w:type="dxa"/>
            <w:shd w:val="clear" w:color="auto" w:fill="auto"/>
            <w:vAlign w:val="center"/>
          </w:tcPr>
          <w:p>
            <w:pPr>
              <w:pStyle w:val="151"/>
              <w:rPr>
                <w:rFonts w:eastAsia="等线"/>
              </w:rPr>
            </w:pPr>
            <w:r>
              <w:rPr>
                <w:rFonts w:eastAsia="等线"/>
              </w:rPr>
              <w:t>S2</w:t>
            </w:r>
          </w:p>
        </w:tc>
        <w:tc>
          <w:tcPr>
            <w:tcW w:w="1949" w:type="dxa"/>
            <w:shd w:val="clear" w:color="auto" w:fill="auto"/>
            <w:vAlign w:val="center"/>
          </w:tcPr>
          <w:p>
            <w:pPr>
              <w:pStyle w:val="151"/>
            </w:pPr>
            <w:bookmarkStart w:id="188" w:name="_Hlk12276737"/>
            <w:r>
              <w:rPr>
                <w:rFonts w:hint="eastAsia"/>
              </w:rPr>
              <w:t>切胶边角料</w:t>
            </w:r>
            <w:bookmarkEnd w:id="188"/>
          </w:p>
        </w:tc>
        <w:tc>
          <w:tcPr>
            <w:tcW w:w="1946" w:type="dxa"/>
            <w:shd w:val="clear" w:color="auto" w:fill="auto"/>
            <w:vAlign w:val="center"/>
          </w:tcPr>
          <w:p>
            <w:pPr>
              <w:pStyle w:val="151"/>
            </w:pPr>
            <w:r>
              <w:rPr>
                <w:rFonts w:hint="eastAsia"/>
              </w:rPr>
              <w:t>/</w:t>
            </w:r>
          </w:p>
        </w:tc>
        <w:tc>
          <w:tcPr>
            <w:tcW w:w="721" w:type="dxa"/>
            <w:shd w:val="clear" w:color="auto" w:fill="auto"/>
            <w:vAlign w:val="center"/>
          </w:tcPr>
          <w:p>
            <w:pPr>
              <w:pStyle w:val="151"/>
            </w:pPr>
            <w:r>
              <w:rPr>
                <w:rFonts w:hint="eastAsia"/>
              </w:rPr>
              <w:t>间断</w:t>
            </w:r>
          </w:p>
        </w:tc>
        <w:tc>
          <w:tcPr>
            <w:tcW w:w="2334" w:type="dxa"/>
            <w:shd w:val="clear" w:color="auto" w:fill="auto"/>
            <w:vAlign w:val="center"/>
          </w:tcPr>
          <w:p>
            <w:pPr>
              <w:pStyle w:val="151"/>
            </w:pPr>
            <w:r>
              <w:rPr>
                <w:rFonts w:hint="eastAsia"/>
              </w:rPr>
              <w:t>收集后回用于生产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30" w:type="dxa"/>
            <w:vMerge w:val="continue"/>
            <w:vAlign w:val="center"/>
          </w:tcPr>
          <w:p>
            <w:pPr>
              <w:pStyle w:val="151"/>
            </w:pPr>
          </w:p>
        </w:tc>
        <w:tc>
          <w:tcPr>
            <w:tcW w:w="1373" w:type="dxa"/>
            <w:shd w:val="clear" w:color="auto" w:fill="auto"/>
            <w:vAlign w:val="center"/>
          </w:tcPr>
          <w:p>
            <w:pPr>
              <w:pStyle w:val="151"/>
            </w:pPr>
            <w:r>
              <w:rPr>
                <w:rFonts w:hint="eastAsia"/>
              </w:rPr>
              <w:t>修边</w:t>
            </w:r>
          </w:p>
        </w:tc>
        <w:tc>
          <w:tcPr>
            <w:tcW w:w="539" w:type="dxa"/>
            <w:shd w:val="clear" w:color="auto" w:fill="auto"/>
            <w:vAlign w:val="center"/>
          </w:tcPr>
          <w:p>
            <w:pPr>
              <w:pStyle w:val="151"/>
              <w:rPr>
                <w:rFonts w:eastAsia="等线"/>
              </w:rPr>
            </w:pPr>
            <w:r>
              <w:rPr>
                <w:rFonts w:eastAsia="等线"/>
              </w:rPr>
              <w:t>S3</w:t>
            </w:r>
          </w:p>
        </w:tc>
        <w:tc>
          <w:tcPr>
            <w:tcW w:w="1949" w:type="dxa"/>
            <w:shd w:val="clear" w:color="auto" w:fill="auto"/>
            <w:vAlign w:val="center"/>
          </w:tcPr>
          <w:p>
            <w:pPr>
              <w:pStyle w:val="151"/>
            </w:pPr>
            <w:bookmarkStart w:id="189" w:name="_Hlk12276770"/>
            <w:r>
              <w:rPr>
                <w:rFonts w:hint="eastAsia"/>
              </w:rPr>
              <w:t>修边边角料</w:t>
            </w:r>
            <w:bookmarkEnd w:id="189"/>
          </w:p>
        </w:tc>
        <w:tc>
          <w:tcPr>
            <w:tcW w:w="1946" w:type="dxa"/>
            <w:shd w:val="clear" w:color="auto" w:fill="auto"/>
            <w:vAlign w:val="center"/>
          </w:tcPr>
          <w:p>
            <w:pPr>
              <w:pStyle w:val="151"/>
            </w:pPr>
            <w:r>
              <w:rPr>
                <w:rFonts w:hint="eastAsia"/>
              </w:rPr>
              <w:t>一般固废</w:t>
            </w:r>
          </w:p>
        </w:tc>
        <w:tc>
          <w:tcPr>
            <w:tcW w:w="721" w:type="dxa"/>
            <w:shd w:val="clear" w:color="auto" w:fill="auto"/>
            <w:vAlign w:val="center"/>
          </w:tcPr>
          <w:p>
            <w:pPr>
              <w:pStyle w:val="151"/>
            </w:pPr>
            <w:r>
              <w:rPr>
                <w:rFonts w:hint="eastAsia"/>
              </w:rPr>
              <w:t>间断</w:t>
            </w:r>
          </w:p>
        </w:tc>
        <w:tc>
          <w:tcPr>
            <w:tcW w:w="2334" w:type="dxa"/>
            <w:shd w:val="clear" w:color="auto" w:fill="auto"/>
            <w:vAlign w:val="center"/>
          </w:tcPr>
          <w:p>
            <w:pPr>
              <w:pStyle w:val="151"/>
            </w:pPr>
            <w:r>
              <w:rPr>
                <w:rFonts w:hint="eastAsia"/>
              </w:rPr>
              <w:t>收集后交资源回收单位综合利用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30" w:type="dxa"/>
            <w:vMerge w:val="continue"/>
            <w:vAlign w:val="center"/>
          </w:tcPr>
          <w:p>
            <w:pPr>
              <w:pStyle w:val="151"/>
            </w:pPr>
          </w:p>
        </w:tc>
        <w:tc>
          <w:tcPr>
            <w:tcW w:w="1373" w:type="dxa"/>
            <w:shd w:val="clear" w:color="auto" w:fill="auto"/>
            <w:vAlign w:val="center"/>
          </w:tcPr>
          <w:p>
            <w:pPr>
              <w:pStyle w:val="151"/>
            </w:pPr>
            <w:r>
              <w:rPr>
                <w:rFonts w:hint="eastAsia"/>
              </w:rPr>
              <w:t>检验</w:t>
            </w:r>
          </w:p>
        </w:tc>
        <w:tc>
          <w:tcPr>
            <w:tcW w:w="539" w:type="dxa"/>
            <w:shd w:val="clear" w:color="auto" w:fill="auto"/>
            <w:vAlign w:val="center"/>
          </w:tcPr>
          <w:p>
            <w:pPr>
              <w:pStyle w:val="151"/>
              <w:rPr>
                <w:rFonts w:eastAsia="等线"/>
              </w:rPr>
            </w:pPr>
            <w:r>
              <w:rPr>
                <w:rFonts w:eastAsia="等线"/>
              </w:rPr>
              <w:t>S4</w:t>
            </w:r>
          </w:p>
        </w:tc>
        <w:tc>
          <w:tcPr>
            <w:tcW w:w="1949" w:type="dxa"/>
            <w:shd w:val="clear" w:color="auto" w:fill="auto"/>
            <w:vAlign w:val="center"/>
          </w:tcPr>
          <w:p>
            <w:pPr>
              <w:pStyle w:val="151"/>
            </w:pPr>
            <w:bookmarkStart w:id="190" w:name="_Hlk12276778"/>
            <w:r>
              <w:rPr>
                <w:rFonts w:hint="eastAsia"/>
              </w:rPr>
              <w:t>残次品</w:t>
            </w:r>
            <w:bookmarkEnd w:id="190"/>
          </w:p>
        </w:tc>
        <w:tc>
          <w:tcPr>
            <w:tcW w:w="1946" w:type="dxa"/>
            <w:shd w:val="clear" w:color="auto" w:fill="auto"/>
            <w:vAlign w:val="center"/>
          </w:tcPr>
          <w:p>
            <w:pPr>
              <w:pStyle w:val="151"/>
            </w:pPr>
            <w:r>
              <w:rPr>
                <w:rFonts w:hint="eastAsia"/>
              </w:rPr>
              <w:t>一般固废</w:t>
            </w:r>
          </w:p>
        </w:tc>
        <w:tc>
          <w:tcPr>
            <w:tcW w:w="721" w:type="dxa"/>
            <w:shd w:val="clear" w:color="auto" w:fill="auto"/>
            <w:vAlign w:val="center"/>
          </w:tcPr>
          <w:p>
            <w:pPr>
              <w:pStyle w:val="151"/>
            </w:pPr>
            <w:r>
              <w:rPr>
                <w:rFonts w:hint="eastAsia"/>
              </w:rPr>
              <w:t>间断</w:t>
            </w:r>
          </w:p>
        </w:tc>
        <w:tc>
          <w:tcPr>
            <w:tcW w:w="2334" w:type="dxa"/>
            <w:shd w:val="clear" w:color="auto" w:fill="auto"/>
            <w:vAlign w:val="center"/>
          </w:tcPr>
          <w:p>
            <w:pPr>
              <w:pStyle w:val="151"/>
            </w:pPr>
            <w:bookmarkStart w:id="191" w:name="_Hlk12276795"/>
            <w:r>
              <w:rPr>
                <w:rFonts w:hint="eastAsia"/>
              </w:rPr>
              <w:t>收集后交资源回收单位综合利用</w:t>
            </w:r>
            <w:bookmarkEnd w:id="19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30" w:type="dxa"/>
            <w:vMerge w:val="continue"/>
            <w:vAlign w:val="center"/>
          </w:tcPr>
          <w:p>
            <w:pPr>
              <w:pStyle w:val="151"/>
            </w:pPr>
          </w:p>
        </w:tc>
        <w:tc>
          <w:tcPr>
            <w:tcW w:w="1373" w:type="dxa"/>
            <w:shd w:val="clear" w:color="auto" w:fill="auto"/>
            <w:vAlign w:val="center"/>
          </w:tcPr>
          <w:p>
            <w:pPr>
              <w:pStyle w:val="151"/>
            </w:pPr>
            <w:r>
              <w:rPr>
                <w:rFonts w:hint="eastAsia"/>
              </w:rPr>
              <w:t>袋式除尘</w:t>
            </w:r>
          </w:p>
        </w:tc>
        <w:tc>
          <w:tcPr>
            <w:tcW w:w="539" w:type="dxa"/>
            <w:shd w:val="clear" w:color="auto" w:fill="auto"/>
            <w:vAlign w:val="center"/>
          </w:tcPr>
          <w:p>
            <w:pPr>
              <w:pStyle w:val="151"/>
              <w:rPr>
                <w:rFonts w:eastAsia="等线"/>
              </w:rPr>
            </w:pPr>
            <w:r>
              <w:rPr>
                <w:rFonts w:eastAsia="等线"/>
              </w:rPr>
              <w:t>S5</w:t>
            </w:r>
          </w:p>
        </w:tc>
        <w:tc>
          <w:tcPr>
            <w:tcW w:w="1949" w:type="dxa"/>
            <w:shd w:val="clear" w:color="auto" w:fill="auto"/>
            <w:vAlign w:val="center"/>
          </w:tcPr>
          <w:p>
            <w:pPr>
              <w:pStyle w:val="151"/>
            </w:pPr>
            <w:bookmarkStart w:id="192" w:name="_Hlk12276810"/>
            <w:r>
              <w:rPr>
                <w:rFonts w:hint="eastAsia"/>
              </w:rPr>
              <w:t>袋式除尘器收集的除尘灰</w:t>
            </w:r>
            <w:bookmarkEnd w:id="192"/>
          </w:p>
        </w:tc>
        <w:tc>
          <w:tcPr>
            <w:tcW w:w="1946" w:type="dxa"/>
            <w:shd w:val="clear" w:color="auto" w:fill="auto"/>
            <w:vAlign w:val="center"/>
          </w:tcPr>
          <w:p>
            <w:pPr>
              <w:pStyle w:val="151"/>
            </w:pPr>
            <w:r>
              <w:rPr>
                <w:rFonts w:hint="eastAsia"/>
              </w:rPr>
              <w:t>/</w:t>
            </w:r>
          </w:p>
        </w:tc>
        <w:tc>
          <w:tcPr>
            <w:tcW w:w="721" w:type="dxa"/>
            <w:shd w:val="clear" w:color="auto" w:fill="auto"/>
            <w:vAlign w:val="center"/>
          </w:tcPr>
          <w:p>
            <w:pPr>
              <w:pStyle w:val="151"/>
            </w:pPr>
            <w:r>
              <w:rPr>
                <w:rFonts w:hint="eastAsia"/>
              </w:rPr>
              <w:t>间断</w:t>
            </w:r>
          </w:p>
        </w:tc>
        <w:tc>
          <w:tcPr>
            <w:tcW w:w="2334" w:type="dxa"/>
            <w:shd w:val="clear" w:color="auto" w:fill="auto"/>
            <w:vAlign w:val="center"/>
          </w:tcPr>
          <w:p>
            <w:pPr>
              <w:pStyle w:val="151"/>
            </w:pPr>
            <w:r>
              <w:rPr>
                <w:rFonts w:hint="eastAsia"/>
              </w:rPr>
              <w:t>收集后回用于生产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30" w:type="dxa"/>
            <w:vMerge w:val="continue"/>
            <w:vAlign w:val="center"/>
          </w:tcPr>
          <w:p>
            <w:pPr>
              <w:pStyle w:val="151"/>
            </w:pPr>
          </w:p>
        </w:tc>
        <w:tc>
          <w:tcPr>
            <w:tcW w:w="1373" w:type="dxa"/>
            <w:shd w:val="clear" w:color="auto" w:fill="auto"/>
            <w:vAlign w:val="center"/>
          </w:tcPr>
          <w:p>
            <w:pPr>
              <w:pStyle w:val="151"/>
            </w:pPr>
            <w:r>
              <w:rPr>
                <w:rFonts w:hint="eastAsia"/>
              </w:rPr>
              <w:t>废气处理</w:t>
            </w:r>
          </w:p>
        </w:tc>
        <w:tc>
          <w:tcPr>
            <w:tcW w:w="539" w:type="dxa"/>
            <w:shd w:val="clear" w:color="auto" w:fill="auto"/>
            <w:vAlign w:val="center"/>
          </w:tcPr>
          <w:p>
            <w:pPr>
              <w:pStyle w:val="151"/>
              <w:rPr>
                <w:rFonts w:eastAsia="等线"/>
              </w:rPr>
            </w:pPr>
            <w:r>
              <w:rPr>
                <w:rFonts w:eastAsia="等线"/>
              </w:rPr>
              <w:t>S6</w:t>
            </w:r>
          </w:p>
        </w:tc>
        <w:tc>
          <w:tcPr>
            <w:tcW w:w="1949" w:type="dxa"/>
            <w:shd w:val="clear" w:color="auto" w:fill="auto"/>
            <w:vAlign w:val="center"/>
          </w:tcPr>
          <w:p>
            <w:pPr>
              <w:pStyle w:val="151"/>
            </w:pPr>
            <w:bookmarkStart w:id="193" w:name="_Hlk12276827"/>
            <w:r>
              <w:rPr>
                <w:rFonts w:hint="eastAsia"/>
              </w:rPr>
              <w:t>废饱和活性炭</w:t>
            </w:r>
            <w:bookmarkEnd w:id="193"/>
          </w:p>
        </w:tc>
        <w:tc>
          <w:tcPr>
            <w:tcW w:w="1946" w:type="dxa"/>
            <w:shd w:val="clear" w:color="auto" w:fill="auto"/>
            <w:vAlign w:val="center"/>
          </w:tcPr>
          <w:p>
            <w:pPr>
              <w:pStyle w:val="151"/>
            </w:pPr>
            <w:r>
              <w:rPr>
                <w:rFonts w:hint="eastAsia"/>
              </w:rPr>
              <w:t>危险废物</w:t>
            </w:r>
          </w:p>
        </w:tc>
        <w:tc>
          <w:tcPr>
            <w:tcW w:w="721" w:type="dxa"/>
            <w:shd w:val="clear" w:color="auto" w:fill="auto"/>
            <w:vAlign w:val="center"/>
          </w:tcPr>
          <w:p>
            <w:pPr>
              <w:pStyle w:val="151"/>
            </w:pPr>
            <w:r>
              <w:rPr>
                <w:rFonts w:hint="eastAsia"/>
              </w:rPr>
              <w:t>间断</w:t>
            </w:r>
          </w:p>
        </w:tc>
        <w:tc>
          <w:tcPr>
            <w:tcW w:w="2334" w:type="dxa"/>
            <w:shd w:val="clear" w:color="auto" w:fill="auto"/>
            <w:vAlign w:val="center"/>
          </w:tcPr>
          <w:p>
            <w:pPr>
              <w:pStyle w:val="151"/>
            </w:pPr>
            <w:r>
              <w:rPr>
                <w:rFonts w:hint="eastAsia"/>
              </w:rPr>
              <w:t>暂存危废暂存间，交有危险废物处理资质单位处理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430" w:type="dxa"/>
            <w:vMerge w:val="continue"/>
            <w:vAlign w:val="center"/>
          </w:tcPr>
          <w:p>
            <w:pPr>
              <w:pStyle w:val="151"/>
            </w:pPr>
          </w:p>
        </w:tc>
        <w:tc>
          <w:tcPr>
            <w:tcW w:w="1373" w:type="dxa"/>
            <w:shd w:val="clear" w:color="auto" w:fill="auto"/>
            <w:vAlign w:val="center"/>
          </w:tcPr>
          <w:p>
            <w:pPr>
              <w:pStyle w:val="151"/>
            </w:pPr>
            <w:r>
              <w:rPr>
                <w:rFonts w:hint="eastAsia"/>
              </w:rPr>
              <w:t>设备运行及维修</w:t>
            </w:r>
          </w:p>
        </w:tc>
        <w:tc>
          <w:tcPr>
            <w:tcW w:w="539" w:type="dxa"/>
            <w:shd w:val="clear" w:color="auto" w:fill="auto"/>
            <w:vAlign w:val="center"/>
          </w:tcPr>
          <w:p>
            <w:pPr>
              <w:pStyle w:val="151"/>
              <w:rPr>
                <w:rFonts w:eastAsia="等线"/>
              </w:rPr>
            </w:pPr>
            <w:r>
              <w:rPr>
                <w:rFonts w:eastAsia="等线"/>
              </w:rPr>
              <w:t>S7</w:t>
            </w:r>
          </w:p>
        </w:tc>
        <w:tc>
          <w:tcPr>
            <w:tcW w:w="1949" w:type="dxa"/>
            <w:shd w:val="clear" w:color="auto" w:fill="auto"/>
            <w:vAlign w:val="center"/>
          </w:tcPr>
          <w:p>
            <w:pPr>
              <w:pStyle w:val="151"/>
            </w:pPr>
            <w:bookmarkStart w:id="194" w:name="_Hlk12276841"/>
            <w:r>
              <w:rPr>
                <w:rFonts w:hint="eastAsia"/>
              </w:rPr>
              <w:t>废润滑油和含油废抹布</w:t>
            </w:r>
            <w:bookmarkEnd w:id="194"/>
          </w:p>
        </w:tc>
        <w:tc>
          <w:tcPr>
            <w:tcW w:w="1946" w:type="dxa"/>
            <w:shd w:val="clear" w:color="auto" w:fill="auto"/>
            <w:vAlign w:val="center"/>
          </w:tcPr>
          <w:p>
            <w:pPr>
              <w:pStyle w:val="151"/>
            </w:pPr>
            <w:r>
              <w:rPr>
                <w:rFonts w:hint="eastAsia"/>
              </w:rPr>
              <w:t>危险废物</w:t>
            </w:r>
          </w:p>
        </w:tc>
        <w:tc>
          <w:tcPr>
            <w:tcW w:w="721" w:type="dxa"/>
            <w:shd w:val="clear" w:color="auto" w:fill="auto"/>
            <w:vAlign w:val="center"/>
          </w:tcPr>
          <w:p>
            <w:pPr>
              <w:pStyle w:val="151"/>
            </w:pPr>
            <w:r>
              <w:rPr>
                <w:rFonts w:hint="eastAsia"/>
              </w:rPr>
              <w:t>间断</w:t>
            </w:r>
          </w:p>
        </w:tc>
        <w:tc>
          <w:tcPr>
            <w:tcW w:w="2334" w:type="dxa"/>
            <w:shd w:val="clear" w:color="auto" w:fill="auto"/>
            <w:vAlign w:val="center"/>
          </w:tcPr>
          <w:p>
            <w:pPr>
              <w:pStyle w:val="151"/>
            </w:pPr>
            <w:r>
              <w:rPr>
                <w:rFonts w:hint="eastAsia"/>
              </w:rPr>
              <w:t>暂存危废暂存间，交有危险废物处理资质单位处理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30" w:type="dxa"/>
            <w:vMerge w:val="continue"/>
            <w:vAlign w:val="center"/>
          </w:tcPr>
          <w:p>
            <w:pPr>
              <w:pStyle w:val="151"/>
            </w:pPr>
          </w:p>
        </w:tc>
        <w:tc>
          <w:tcPr>
            <w:tcW w:w="1373" w:type="dxa"/>
            <w:shd w:val="clear" w:color="auto" w:fill="auto"/>
            <w:vAlign w:val="center"/>
          </w:tcPr>
          <w:p>
            <w:pPr>
              <w:pStyle w:val="151"/>
              <w:rPr>
                <w:rStyle w:val="63"/>
                <w:color w:val="auto"/>
              </w:rPr>
            </w:pPr>
            <w:r>
              <w:rPr>
                <w:rStyle w:val="63"/>
                <w:rFonts w:hint="eastAsia"/>
                <w:color w:val="auto"/>
              </w:rPr>
              <w:t>配料、投料</w:t>
            </w:r>
          </w:p>
        </w:tc>
        <w:tc>
          <w:tcPr>
            <w:tcW w:w="539" w:type="dxa"/>
            <w:shd w:val="clear" w:color="auto" w:fill="auto"/>
            <w:vAlign w:val="center"/>
          </w:tcPr>
          <w:p>
            <w:pPr>
              <w:pStyle w:val="151"/>
              <w:rPr>
                <w:rStyle w:val="63"/>
                <w:color w:val="auto"/>
              </w:rPr>
            </w:pPr>
            <w:r>
              <w:rPr>
                <w:rStyle w:val="63"/>
                <w:color w:val="auto"/>
              </w:rPr>
              <w:t>S8</w:t>
            </w:r>
          </w:p>
        </w:tc>
        <w:tc>
          <w:tcPr>
            <w:tcW w:w="1949" w:type="dxa"/>
            <w:shd w:val="clear" w:color="auto" w:fill="auto"/>
            <w:vAlign w:val="center"/>
          </w:tcPr>
          <w:p>
            <w:pPr>
              <w:pStyle w:val="151"/>
              <w:rPr>
                <w:rStyle w:val="63"/>
                <w:color w:val="auto"/>
              </w:rPr>
            </w:pPr>
            <w:r>
              <w:rPr>
                <w:rStyle w:val="63"/>
                <w:rFonts w:hint="eastAsia"/>
                <w:color w:val="auto"/>
              </w:rPr>
              <w:t>落地粉尘</w:t>
            </w:r>
          </w:p>
        </w:tc>
        <w:tc>
          <w:tcPr>
            <w:tcW w:w="1946" w:type="dxa"/>
            <w:shd w:val="clear" w:color="auto" w:fill="auto"/>
            <w:vAlign w:val="center"/>
          </w:tcPr>
          <w:p>
            <w:pPr>
              <w:pStyle w:val="151"/>
              <w:rPr>
                <w:rStyle w:val="63"/>
                <w:color w:val="auto"/>
              </w:rPr>
            </w:pPr>
            <w:r>
              <w:rPr>
                <w:rStyle w:val="63"/>
                <w:rFonts w:hint="eastAsia"/>
                <w:color w:val="auto"/>
              </w:rPr>
              <w:t>/</w:t>
            </w:r>
          </w:p>
        </w:tc>
        <w:tc>
          <w:tcPr>
            <w:tcW w:w="721" w:type="dxa"/>
            <w:shd w:val="clear" w:color="auto" w:fill="auto"/>
            <w:vAlign w:val="center"/>
          </w:tcPr>
          <w:p>
            <w:pPr>
              <w:pStyle w:val="151"/>
              <w:rPr>
                <w:rStyle w:val="63"/>
                <w:color w:val="auto"/>
              </w:rPr>
            </w:pPr>
            <w:r>
              <w:rPr>
                <w:rStyle w:val="63"/>
                <w:rFonts w:hint="eastAsia"/>
                <w:color w:val="auto"/>
              </w:rPr>
              <w:t>间断</w:t>
            </w:r>
          </w:p>
        </w:tc>
        <w:tc>
          <w:tcPr>
            <w:tcW w:w="2334" w:type="dxa"/>
            <w:shd w:val="clear" w:color="auto" w:fill="auto"/>
            <w:vAlign w:val="center"/>
          </w:tcPr>
          <w:p>
            <w:pPr>
              <w:pStyle w:val="151"/>
              <w:rPr>
                <w:rStyle w:val="63"/>
                <w:color w:val="auto"/>
              </w:rPr>
            </w:pPr>
            <w:r>
              <w:rPr>
                <w:rStyle w:val="63"/>
                <w:rFonts w:hint="eastAsia"/>
                <w:color w:val="auto"/>
              </w:rPr>
              <w:t>收集后回用于生产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30" w:type="dxa"/>
            <w:vMerge w:val="continue"/>
            <w:vAlign w:val="center"/>
          </w:tcPr>
          <w:p>
            <w:pPr>
              <w:pStyle w:val="151"/>
            </w:pPr>
          </w:p>
        </w:tc>
        <w:tc>
          <w:tcPr>
            <w:tcW w:w="1373" w:type="dxa"/>
            <w:shd w:val="clear" w:color="auto" w:fill="auto"/>
            <w:vAlign w:val="center"/>
          </w:tcPr>
          <w:p>
            <w:pPr>
              <w:pStyle w:val="151"/>
            </w:pPr>
            <w:r>
              <w:rPr>
                <w:rFonts w:hint="eastAsia"/>
              </w:rPr>
              <w:t>职工生活、办公</w:t>
            </w:r>
          </w:p>
        </w:tc>
        <w:tc>
          <w:tcPr>
            <w:tcW w:w="539" w:type="dxa"/>
            <w:shd w:val="clear" w:color="auto" w:fill="auto"/>
            <w:vAlign w:val="center"/>
          </w:tcPr>
          <w:p>
            <w:pPr>
              <w:pStyle w:val="151"/>
              <w:rPr>
                <w:rFonts w:eastAsia="等线"/>
              </w:rPr>
            </w:pPr>
            <w:r>
              <w:rPr>
                <w:rFonts w:eastAsia="等线"/>
              </w:rPr>
              <w:t>S9</w:t>
            </w:r>
          </w:p>
        </w:tc>
        <w:tc>
          <w:tcPr>
            <w:tcW w:w="1949" w:type="dxa"/>
            <w:shd w:val="clear" w:color="auto" w:fill="auto"/>
            <w:vAlign w:val="center"/>
          </w:tcPr>
          <w:p>
            <w:pPr>
              <w:pStyle w:val="151"/>
            </w:pPr>
            <w:r>
              <w:rPr>
                <w:rFonts w:hint="eastAsia"/>
              </w:rPr>
              <w:t>员工日常生活、办公垃圾</w:t>
            </w:r>
          </w:p>
        </w:tc>
        <w:tc>
          <w:tcPr>
            <w:tcW w:w="1946" w:type="dxa"/>
            <w:shd w:val="clear" w:color="auto" w:fill="auto"/>
            <w:vAlign w:val="center"/>
          </w:tcPr>
          <w:p>
            <w:pPr>
              <w:pStyle w:val="151"/>
            </w:pPr>
            <w:r>
              <w:rPr>
                <w:rFonts w:hint="eastAsia"/>
              </w:rPr>
              <w:t>生活垃圾</w:t>
            </w:r>
          </w:p>
        </w:tc>
        <w:tc>
          <w:tcPr>
            <w:tcW w:w="721" w:type="dxa"/>
            <w:shd w:val="clear" w:color="auto" w:fill="auto"/>
            <w:vAlign w:val="center"/>
          </w:tcPr>
          <w:p>
            <w:pPr>
              <w:pStyle w:val="151"/>
            </w:pPr>
            <w:r>
              <w:rPr>
                <w:rFonts w:hint="eastAsia"/>
              </w:rPr>
              <w:t>间断</w:t>
            </w:r>
          </w:p>
        </w:tc>
        <w:tc>
          <w:tcPr>
            <w:tcW w:w="2334" w:type="dxa"/>
            <w:shd w:val="clear" w:color="auto" w:fill="auto"/>
            <w:vAlign w:val="center"/>
          </w:tcPr>
          <w:p>
            <w:pPr>
              <w:pStyle w:val="151"/>
            </w:pPr>
            <w:r>
              <w:rPr>
                <w:rFonts w:hint="eastAsia"/>
              </w:rPr>
              <w:t>定点收集，交环卫部门清运</w:t>
            </w:r>
          </w:p>
        </w:tc>
      </w:tr>
    </w:tbl>
    <w:p>
      <w:pPr>
        <w:pStyle w:val="4"/>
      </w:pPr>
      <w:bookmarkStart w:id="195" w:name="_Toc3538783"/>
      <w:r>
        <w:rPr>
          <w:rFonts w:hint="eastAsia"/>
        </w:rPr>
        <w:t>水平衡与物料平衡</w:t>
      </w:r>
      <w:bookmarkEnd w:id="195"/>
    </w:p>
    <w:p>
      <w:pPr>
        <w:pStyle w:val="5"/>
      </w:pPr>
      <w:r>
        <w:rPr>
          <w:rFonts w:hint="eastAsia"/>
        </w:rPr>
        <w:t>物</w:t>
      </w:r>
      <w:r>
        <w:t>料平衡</w:t>
      </w:r>
    </w:p>
    <w:p>
      <w:pPr>
        <w:ind w:firstLine="480"/>
        <w:rPr>
          <w:rFonts w:eastAsiaTheme="minorEastAsia"/>
        </w:rPr>
      </w:pPr>
      <w:r>
        <w:rPr>
          <w:rFonts w:eastAsiaTheme="minorEastAsia"/>
        </w:rPr>
        <w:t>项目</w:t>
      </w:r>
      <w:r>
        <w:rPr>
          <w:rFonts w:hint="eastAsia" w:eastAsiaTheme="minorEastAsia"/>
        </w:rPr>
        <w:t>生产过程为橡胶制品生产，将天然胶、合成胶作为原料，</w:t>
      </w:r>
      <w:r>
        <w:rPr>
          <w:rFonts w:eastAsiaTheme="minorEastAsia"/>
        </w:rPr>
        <w:t>再加入配合剂，进行混炼（密炼、开炼）、硫化得到项目</w:t>
      </w:r>
      <w:r>
        <w:rPr>
          <w:rFonts w:hint="eastAsia" w:eastAsiaTheme="minorEastAsia"/>
        </w:rPr>
        <w:t>终</w:t>
      </w:r>
      <w:r>
        <w:rPr>
          <w:rFonts w:eastAsiaTheme="minorEastAsia"/>
        </w:rPr>
        <w:t>产品橡胶轮。</w:t>
      </w:r>
    </w:p>
    <w:p>
      <w:pPr>
        <w:pStyle w:val="18"/>
      </w:pPr>
      <w:bookmarkStart w:id="196" w:name="_Ref527357320"/>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2.6</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bookmarkEnd w:id="196"/>
      <w:r>
        <w:t xml:space="preserve"> </w:t>
      </w:r>
      <w:r>
        <w:rPr>
          <w:rFonts w:hint="eastAsia"/>
        </w:rPr>
        <w:t>橡胶制品生产过程物料投入-产出平衡表（t/a）</w:t>
      </w:r>
    </w:p>
    <w:tbl>
      <w:tblPr>
        <w:tblStyle w:val="56"/>
        <w:tblW w:w="9117" w:type="dxa"/>
        <w:tblInd w:w="0" w:type="dxa"/>
        <w:tblLayout w:type="fixed"/>
        <w:tblCellMar>
          <w:top w:w="0" w:type="dxa"/>
          <w:left w:w="108" w:type="dxa"/>
          <w:bottom w:w="0" w:type="dxa"/>
          <w:right w:w="108" w:type="dxa"/>
        </w:tblCellMar>
      </w:tblPr>
      <w:tblGrid>
        <w:gridCol w:w="936"/>
        <w:gridCol w:w="1803"/>
        <w:gridCol w:w="1521"/>
        <w:gridCol w:w="552"/>
        <w:gridCol w:w="2352"/>
        <w:gridCol w:w="1953"/>
      </w:tblGrid>
      <w:tr>
        <w:tblPrEx>
          <w:tblLayout w:type="fixed"/>
          <w:tblCellMar>
            <w:top w:w="0" w:type="dxa"/>
            <w:left w:w="108" w:type="dxa"/>
            <w:bottom w:w="0" w:type="dxa"/>
            <w:right w:w="108" w:type="dxa"/>
          </w:tblCellMar>
        </w:tblPrEx>
        <w:trPr>
          <w:trHeight w:val="585" w:hRule="atLeast"/>
          <w:tblHeader/>
        </w:trPr>
        <w:tc>
          <w:tcPr>
            <w:tcW w:w="4260" w:type="dxa"/>
            <w:gridSpan w:val="3"/>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b/>
              </w:rPr>
            </w:pPr>
            <w:r>
              <w:rPr>
                <w:rFonts w:hint="eastAsia"/>
                <w:b/>
              </w:rPr>
              <w:t>投入物料总量</w:t>
            </w:r>
          </w:p>
        </w:tc>
        <w:tc>
          <w:tcPr>
            <w:tcW w:w="552" w:type="dxa"/>
            <w:vMerge w:val="restart"/>
            <w:tcBorders>
              <w:top w:val="single" w:color="auto" w:sz="4" w:space="0"/>
              <w:left w:val="nil"/>
              <w:right w:val="single" w:color="auto" w:sz="4" w:space="0"/>
            </w:tcBorders>
            <w:shd w:val="clear" w:color="auto" w:fill="auto"/>
            <w:noWrap/>
            <w:vAlign w:val="center"/>
          </w:tcPr>
          <w:p>
            <w:pPr>
              <w:pStyle w:val="107"/>
              <w:rPr>
                <w:b/>
              </w:rPr>
            </w:pPr>
          </w:p>
        </w:tc>
        <w:tc>
          <w:tcPr>
            <w:tcW w:w="4305"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b/>
              </w:rPr>
            </w:pPr>
            <w:r>
              <w:rPr>
                <w:rFonts w:hint="eastAsia"/>
                <w:b/>
              </w:rPr>
              <w:t>产出物料总量</w:t>
            </w:r>
          </w:p>
        </w:tc>
      </w:tr>
      <w:tr>
        <w:tblPrEx>
          <w:tblLayout w:type="fixed"/>
          <w:tblCellMar>
            <w:top w:w="0" w:type="dxa"/>
            <w:left w:w="108" w:type="dxa"/>
            <w:bottom w:w="0" w:type="dxa"/>
            <w:right w:w="108" w:type="dxa"/>
          </w:tblCellMar>
        </w:tblPrEx>
        <w:trPr>
          <w:trHeight w:val="285" w:hRule="atLeast"/>
          <w:tblHeader/>
        </w:trPr>
        <w:tc>
          <w:tcPr>
            <w:tcW w:w="936" w:type="dxa"/>
            <w:tcBorders>
              <w:top w:val="nil"/>
              <w:left w:val="single" w:color="auto" w:sz="8" w:space="0"/>
              <w:bottom w:val="single" w:color="auto" w:sz="4" w:space="0"/>
              <w:right w:val="single" w:color="auto" w:sz="4" w:space="0"/>
            </w:tcBorders>
            <w:shd w:val="clear" w:color="auto" w:fill="auto"/>
            <w:noWrap/>
            <w:vAlign w:val="center"/>
          </w:tcPr>
          <w:p>
            <w:pPr>
              <w:pStyle w:val="107"/>
            </w:pPr>
            <w:r>
              <w:rPr>
                <w:rFonts w:hint="eastAsia"/>
              </w:rPr>
              <w:t>序号</w:t>
            </w:r>
          </w:p>
        </w:tc>
        <w:tc>
          <w:tcPr>
            <w:tcW w:w="1803" w:type="dxa"/>
            <w:tcBorders>
              <w:top w:val="nil"/>
              <w:left w:val="nil"/>
              <w:bottom w:val="single" w:color="auto" w:sz="4" w:space="0"/>
              <w:right w:val="single" w:color="auto" w:sz="4" w:space="0"/>
            </w:tcBorders>
            <w:shd w:val="clear" w:color="auto" w:fill="auto"/>
            <w:noWrap/>
            <w:vAlign w:val="center"/>
          </w:tcPr>
          <w:p>
            <w:pPr>
              <w:pStyle w:val="107"/>
            </w:pPr>
            <w:r>
              <w:rPr>
                <w:rFonts w:hint="eastAsia"/>
              </w:rPr>
              <w:t>物料名称</w:t>
            </w:r>
          </w:p>
        </w:tc>
        <w:tc>
          <w:tcPr>
            <w:tcW w:w="1521" w:type="dxa"/>
            <w:tcBorders>
              <w:top w:val="nil"/>
              <w:left w:val="nil"/>
              <w:bottom w:val="single" w:color="auto" w:sz="4" w:space="0"/>
              <w:right w:val="single" w:color="auto" w:sz="4" w:space="0"/>
            </w:tcBorders>
            <w:shd w:val="clear" w:color="auto" w:fill="auto"/>
            <w:noWrap/>
            <w:vAlign w:val="center"/>
          </w:tcPr>
          <w:p>
            <w:pPr>
              <w:pStyle w:val="107"/>
            </w:pPr>
            <w:r>
              <w:rPr>
                <w:rFonts w:hint="eastAsia"/>
              </w:rPr>
              <w:t>数量(t/a)</w:t>
            </w:r>
          </w:p>
        </w:tc>
        <w:tc>
          <w:tcPr>
            <w:tcW w:w="552" w:type="dxa"/>
            <w:vMerge w:val="continue"/>
            <w:tcBorders>
              <w:left w:val="nil"/>
              <w:right w:val="single" w:color="auto" w:sz="4" w:space="0"/>
            </w:tcBorders>
            <w:shd w:val="clear" w:color="auto" w:fill="auto"/>
            <w:noWrap/>
            <w:vAlign w:val="center"/>
          </w:tcPr>
          <w:p>
            <w:pPr>
              <w:pStyle w:val="107"/>
            </w:pPr>
          </w:p>
        </w:tc>
        <w:tc>
          <w:tcPr>
            <w:tcW w:w="2352" w:type="dxa"/>
            <w:tcBorders>
              <w:top w:val="nil"/>
              <w:left w:val="single" w:color="auto" w:sz="4" w:space="0"/>
              <w:bottom w:val="single" w:color="auto" w:sz="4" w:space="0"/>
              <w:right w:val="single" w:color="auto" w:sz="4" w:space="0"/>
            </w:tcBorders>
            <w:shd w:val="clear" w:color="auto" w:fill="auto"/>
            <w:noWrap/>
            <w:vAlign w:val="center"/>
          </w:tcPr>
          <w:p>
            <w:pPr>
              <w:pStyle w:val="107"/>
            </w:pPr>
            <w:r>
              <w:rPr>
                <w:rFonts w:hint="eastAsia"/>
              </w:rPr>
              <w:t>物料名称</w:t>
            </w:r>
          </w:p>
        </w:tc>
        <w:tc>
          <w:tcPr>
            <w:tcW w:w="1953" w:type="dxa"/>
            <w:tcBorders>
              <w:top w:val="nil"/>
              <w:left w:val="nil"/>
              <w:bottom w:val="single" w:color="auto" w:sz="4" w:space="0"/>
              <w:right w:val="single" w:color="auto" w:sz="4" w:space="0"/>
            </w:tcBorders>
            <w:shd w:val="clear" w:color="auto" w:fill="auto"/>
            <w:noWrap/>
            <w:vAlign w:val="center"/>
          </w:tcPr>
          <w:p>
            <w:pPr>
              <w:pStyle w:val="107"/>
            </w:pPr>
            <w:r>
              <w:rPr>
                <w:rFonts w:hint="eastAsia"/>
              </w:rPr>
              <w:t>数量(t/a)</w:t>
            </w:r>
          </w:p>
        </w:tc>
      </w:tr>
      <w:tr>
        <w:tblPrEx>
          <w:tblLayout w:type="fixed"/>
          <w:tblCellMar>
            <w:top w:w="0" w:type="dxa"/>
            <w:left w:w="108" w:type="dxa"/>
            <w:bottom w:w="0" w:type="dxa"/>
            <w:right w:w="108" w:type="dxa"/>
          </w:tblCellMar>
        </w:tblPrEx>
        <w:trPr>
          <w:trHeight w:val="285" w:hRule="atLeast"/>
          <w:tblHeader/>
        </w:trPr>
        <w:tc>
          <w:tcPr>
            <w:tcW w:w="936" w:type="dxa"/>
            <w:tcBorders>
              <w:top w:val="nil"/>
              <w:left w:val="single" w:color="auto" w:sz="8" w:space="0"/>
              <w:bottom w:val="single" w:color="auto" w:sz="4" w:space="0"/>
              <w:right w:val="single" w:color="auto" w:sz="4" w:space="0"/>
            </w:tcBorders>
            <w:shd w:val="clear" w:color="auto" w:fill="auto"/>
            <w:noWrap/>
            <w:vAlign w:val="center"/>
          </w:tcPr>
          <w:p>
            <w:pPr>
              <w:pStyle w:val="107"/>
            </w:pPr>
            <w:r>
              <w:rPr>
                <w:rFonts w:hint="eastAsia"/>
              </w:rPr>
              <w:t>1</w:t>
            </w:r>
          </w:p>
        </w:tc>
        <w:tc>
          <w:tcPr>
            <w:tcW w:w="1803" w:type="dxa"/>
            <w:tcBorders>
              <w:top w:val="nil"/>
              <w:left w:val="nil"/>
              <w:bottom w:val="single" w:color="auto" w:sz="4" w:space="0"/>
              <w:right w:val="single" w:color="auto" w:sz="4" w:space="0"/>
            </w:tcBorders>
            <w:shd w:val="clear" w:color="auto" w:fill="auto"/>
            <w:noWrap/>
            <w:vAlign w:val="center"/>
          </w:tcPr>
          <w:p>
            <w:pPr>
              <w:pStyle w:val="107"/>
            </w:pPr>
            <w:r>
              <w:rPr>
                <w:rFonts w:hint="eastAsia"/>
              </w:rPr>
              <w:t>天然胶、合成胶</w:t>
            </w:r>
          </w:p>
        </w:tc>
        <w:tc>
          <w:tcPr>
            <w:tcW w:w="1521" w:type="dxa"/>
            <w:tcBorders>
              <w:top w:val="nil"/>
              <w:left w:val="nil"/>
              <w:bottom w:val="single" w:color="auto" w:sz="4" w:space="0"/>
              <w:right w:val="single" w:color="auto" w:sz="4" w:space="0"/>
            </w:tcBorders>
            <w:shd w:val="clear" w:color="auto" w:fill="auto"/>
            <w:noWrap/>
            <w:vAlign w:val="center"/>
          </w:tcPr>
          <w:p>
            <w:pPr>
              <w:pStyle w:val="107"/>
            </w:pPr>
            <w:r>
              <w:rPr>
                <w:rFonts w:hint="eastAsia"/>
              </w:rPr>
              <w:t>4</w:t>
            </w:r>
            <w:r>
              <w:t>0</w:t>
            </w:r>
            <w:r>
              <w:rPr>
                <w:rFonts w:hint="eastAsia"/>
              </w:rPr>
              <w:t>0</w:t>
            </w:r>
          </w:p>
        </w:tc>
        <w:tc>
          <w:tcPr>
            <w:tcW w:w="552" w:type="dxa"/>
            <w:vMerge w:val="continue"/>
            <w:tcBorders>
              <w:left w:val="nil"/>
              <w:right w:val="single" w:color="auto" w:sz="4" w:space="0"/>
            </w:tcBorders>
            <w:shd w:val="clear" w:color="auto" w:fill="auto"/>
            <w:noWrap/>
            <w:vAlign w:val="center"/>
          </w:tcPr>
          <w:p>
            <w:pPr>
              <w:pStyle w:val="107"/>
            </w:pPr>
          </w:p>
        </w:tc>
        <w:tc>
          <w:tcPr>
            <w:tcW w:w="2352" w:type="dxa"/>
            <w:tcBorders>
              <w:top w:val="nil"/>
              <w:left w:val="single" w:color="auto" w:sz="4" w:space="0"/>
              <w:bottom w:val="single" w:color="auto" w:sz="4" w:space="0"/>
              <w:right w:val="single" w:color="auto" w:sz="4" w:space="0"/>
            </w:tcBorders>
            <w:shd w:val="clear" w:color="auto" w:fill="auto"/>
            <w:noWrap/>
            <w:vAlign w:val="center"/>
          </w:tcPr>
          <w:p>
            <w:pPr>
              <w:pStyle w:val="107"/>
            </w:pPr>
            <w:r>
              <w:rPr>
                <w:rFonts w:hint="eastAsia"/>
              </w:rPr>
              <w:t>橡胶制品</w:t>
            </w:r>
          </w:p>
        </w:tc>
        <w:tc>
          <w:tcPr>
            <w:tcW w:w="1953" w:type="dxa"/>
            <w:tcBorders>
              <w:top w:val="nil"/>
              <w:left w:val="nil"/>
              <w:bottom w:val="single" w:color="auto" w:sz="4" w:space="0"/>
              <w:right w:val="single" w:color="auto" w:sz="4" w:space="0"/>
            </w:tcBorders>
            <w:shd w:val="clear" w:color="auto" w:fill="auto"/>
            <w:noWrap/>
            <w:vAlign w:val="center"/>
          </w:tcPr>
          <w:p>
            <w:pPr>
              <w:pStyle w:val="107"/>
            </w:pPr>
            <w:r>
              <w:t>852</w:t>
            </w:r>
          </w:p>
        </w:tc>
      </w:tr>
      <w:tr>
        <w:tblPrEx>
          <w:tblLayout w:type="fixed"/>
          <w:tblCellMar>
            <w:top w:w="0" w:type="dxa"/>
            <w:left w:w="108" w:type="dxa"/>
            <w:bottom w:w="0" w:type="dxa"/>
            <w:right w:w="108" w:type="dxa"/>
          </w:tblCellMar>
        </w:tblPrEx>
        <w:trPr>
          <w:trHeight w:val="285" w:hRule="atLeast"/>
          <w:tblHeader/>
        </w:trPr>
        <w:tc>
          <w:tcPr>
            <w:tcW w:w="936" w:type="dxa"/>
            <w:tcBorders>
              <w:top w:val="nil"/>
              <w:left w:val="single" w:color="auto" w:sz="8" w:space="0"/>
              <w:bottom w:val="single" w:color="auto" w:sz="4" w:space="0"/>
              <w:right w:val="single" w:color="auto" w:sz="4" w:space="0"/>
            </w:tcBorders>
            <w:shd w:val="clear" w:color="auto" w:fill="auto"/>
            <w:noWrap/>
            <w:vAlign w:val="center"/>
          </w:tcPr>
          <w:p>
            <w:pPr>
              <w:pStyle w:val="107"/>
            </w:pPr>
            <w:r>
              <w:rPr>
                <w:rFonts w:hint="eastAsia"/>
              </w:rPr>
              <w:t>2</w:t>
            </w:r>
          </w:p>
        </w:tc>
        <w:tc>
          <w:tcPr>
            <w:tcW w:w="1803" w:type="dxa"/>
            <w:tcBorders>
              <w:top w:val="nil"/>
              <w:left w:val="nil"/>
              <w:bottom w:val="single" w:color="auto" w:sz="4" w:space="0"/>
              <w:right w:val="single" w:color="auto" w:sz="4" w:space="0"/>
            </w:tcBorders>
            <w:shd w:val="clear" w:color="auto" w:fill="auto"/>
            <w:noWrap/>
            <w:vAlign w:val="center"/>
          </w:tcPr>
          <w:p>
            <w:pPr>
              <w:pStyle w:val="107"/>
            </w:pPr>
            <w:r>
              <w:rPr>
                <w:rFonts w:hint="eastAsia"/>
              </w:rPr>
              <w:t>钙粉</w:t>
            </w:r>
          </w:p>
        </w:tc>
        <w:tc>
          <w:tcPr>
            <w:tcW w:w="1521" w:type="dxa"/>
            <w:tcBorders>
              <w:top w:val="nil"/>
              <w:left w:val="nil"/>
              <w:bottom w:val="single" w:color="auto" w:sz="4" w:space="0"/>
              <w:right w:val="single" w:color="auto" w:sz="4" w:space="0"/>
            </w:tcBorders>
            <w:shd w:val="clear" w:color="auto" w:fill="auto"/>
            <w:noWrap/>
            <w:vAlign w:val="center"/>
          </w:tcPr>
          <w:p>
            <w:pPr>
              <w:pStyle w:val="107"/>
            </w:pPr>
            <w:r>
              <w:t>40</w:t>
            </w:r>
            <w:r>
              <w:rPr>
                <w:rFonts w:hint="eastAsia"/>
              </w:rPr>
              <w:t>0</w:t>
            </w:r>
          </w:p>
        </w:tc>
        <w:tc>
          <w:tcPr>
            <w:tcW w:w="552" w:type="dxa"/>
            <w:vMerge w:val="continue"/>
            <w:tcBorders>
              <w:left w:val="nil"/>
              <w:right w:val="single" w:color="auto" w:sz="4" w:space="0"/>
            </w:tcBorders>
            <w:shd w:val="clear" w:color="auto" w:fill="auto"/>
            <w:noWrap/>
            <w:vAlign w:val="center"/>
          </w:tcPr>
          <w:p>
            <w:pPr>
              <w:pStyle w:val="107"/>
            </w:pPr>
          </w:p>
        </w:tc>
        <w:tc>
          <w:tcPr>
            <w:tcW w:w="2352" w:type="dxa"/>
            <w:tcBorders>
              <w:top w:val="nil"/>
              <w:left w:val="single" w:color="auto" w:sz="4" w:space="0"/>
              <w:bottom w:val="single" w:color="auto" w:sz="4" w:space="0"/>
              <w:right w:val="single" w:color="auto" w:sz="4" w:space="0"/>
            </w:tcBorders>
            <w:shd w:val="clear" w:color="auto" w:fill="auto"/>
            <w:noWrap/>
            <w:vAlign w:val="center"/>
          </w:tcPr>
          <w:p>
            <w:pPr>
              <w:pStyle w:val="107"/>
            </w:pPr>
            <w:r>
              <w:rPr>
                <w:rFonts w:hint="eastAsia"/>
              </w:rPr>
              <w:t>粉尘（颗粒物）</w:t>
            </w:r>
          </w:p>
        </w:tc>
        <w:tc>
          <w:tcPr>
            <w:tcW w:w="1953" w:type="dxa"/>
            <w:tcBorders>
              <w:top w:val="nil"/>
              <w:left w:val="nil"/>
              <w:bottom w:val="single" w:color="auto" w:sz="4" w:space="0"/>
              <w:right w:val="single" w:color="auto" w:sz="4" w:space="0"/>
            </w:tcBorders>
            <w:shd w:val="clear" w:color="auto" w:fill="auto"/>
            <w:noWrap/>
            <w:vAlign w:val="center"/>
          </w:tcPr>
          <w:p>
            <w:pPr>
              <w:pStyle w:val="107"/>
            </w:pPr>
            <w:r>
              <w:rPr>
                <w:rFonts w:hint="eastAsia"/>
              </w:rPr>
              <w:t>0</w:t>
            </w:r>
            <w:r>
              <w:t>.428096</w:t>
            </w:r>
          </w:p>
        </w:tc>
      </w:tr>
      <w:tr>
        <w:tblPrEx>
          <w:tblLayout w:type="fixed"/>
          <w:tblCellMar>
            <w:top w:w="0" w:type="dxa"/>
            <w:left w:w="108" w:type="dxa"/>
            <w:bottom w:w="0" w:type="dxa"/>
            <w:right w:w="108" w:type="dxa"/>
          </w:tblCellMar>
        </w:tblPrEx>
        <w:trPr>
          <w:trHeight w:val="285" w:hRule="atLeast"/>
          <w:tblHeader/>
        </w:trPr>
        <w:tc>
          <w:tcPr>
            <w:tcW w:w="936" w:type="dxa"/>
            <w:tcBorders>
              <w:top w:val="nil"/>
              <w:left w:val="single" w:color="auto" w:sz="8" w:space="0"/>
              <w:bottom w:val="single" w:color="auto" w:sz="4" w:space="0"/>
              <w:right w:val="single" w:color="auto" w:sz="4" w:space="0"/>
            </w:tcBorders>
            <w:shd w:val="clear" w:color="auto" w:fill="auto"/>
            <w:noWrap/>
            <w:vAlign w:val="center"/>
          </w:tcPr>
          <w:p>
            <w:pPr>
              <w:pStyle w:val="107"/>
            </w:pPr>
            <w:r>
              <w:rPr>
                <w:rFonts w:hint="eastAsia"/>
              </w:rPr>
              <w:t>3</w:t>
            </w:r>
          </w:p>
        </w:tc>
        <w:tc>
          <w:tcPr>
            <w:tcW w:w="1803" w:type="dxa"/>
            <w:tcBorders>
              <w:top w:val="nil"/>
              <w:left w:val="nil"/>
              <w:bottom w:val="single" w:color="auto" w:sz="4" w:space="0"/>
              <w:right w:val="single" w:color="auto" w:sz="4" w:space="0"/>
            </w:tcBorders>
            <w:shd w:val="clear" w:color="auto" w:fill="auto"/>
            <w:noWrap/>
            <w:vAlign w:val="center"/>
          </w:tcPr>
          <w:p>
            <w:pPr>
              <w:pStyle w:val="107"/>
            </w:pPr>
            <w:r>
              <w:rPr>
                <w:rFonts w:hint="eastAsia"/>
              </w:rPr>
              <w:t>硬脂酸</w:t>
            </w:r>
          </w:p>
        </w:tc>
        <w:tc>
          <w:tcPr>
            <w:tcW w:w="1521" w:type="dxa"/>
            <w:tcBorders>
              <w:top w:val="nil"/>
              <w:left w:val="nil"/>
              <w:bottom w:val="single" w:color="auto" w:sz="4" w:space="0"/>
              <w:right w:val="single" w:color="auto" w:sz="4" w:space="0"/>
            </w:tcBorders>
            <w:shd w:val="clear" w:color="auto" w:fill="auto"/>
            <w:noWrap/>
            <w:vAlign w:val="center"/>
          </w:tcPr>
          <w:p>
            <w:pPr>
              <w:pStyle w:val="107"/>
            </w:pPr>
            <w:r>
              <w:t>2</w:t>
            </w:r>
          </w:p>
        </w:tc>
        <w:tc>
          <w:tcPr>
            <w:tcW w:w="552" w:type="dxa"/>
            <w:vMerge w:val="continue"/>
            <w:tcBorders>
              <w:left w:val="nil"/>
              <w:right w:val="single" w:color="auto" w:sz="4" w:space="0"/>
            </w:tcBorders>
            <w:shd w:val="clear" w:color="auto" w:fill="auto"/>
            <w:noWrap/>
            <w:vAlign w:val="center"/>
          </w:tcPr>
          <w:p>
            <w:pPr>
              <w:pStyle w:val="107"/>
            </w:pPr>
          </w:p>
        </w:tc>
        <w:tc>
          <w:tcPr>
            <w:tcW w:w="2352" w:type="dxa"/>
            <w:tcBorders>
              <w:top w:val="nil"/>
              <w:left w:val="single" w:color="auto" w:sz="4" w:space="0"/>
              <w:bottom w:val="single" w:color="auto" w:sz="4" w:space="0"/>
              <w:right w:val="single" w:color="auto" w:sz="4" w:space="0"/>
            </w:tcBorders>
            <w:shd w:val="clear" w:color="auto" w:fill="auto"/>
            <w:noWrap/>
            <w:vAlign w:val="center"/>
          </w:tcPr>
          <w:p>
            <w:pPr>
              <w:pStyle w:val="107"/>
            </w:pPr>
            <w:r>
              <w:rPr>
                <w:rFonts w:hint="eastAsia"/>
              </w:rPr>
              <w:t>V</w:t>
            </w:r>
            <w:r>
              <w:t>OCs</w:t>
            </w:r>
          </w:p>
        </w:tc>
        <w:tc>
          <w:tcPr>
            <w:tcW w:w="1953" w:type="dxa"/>
            <w:tcBorders>
              <w:top w:val="nil"/>
              <w:left w:val="nil"/>
              <w:bottom w:val="single" w:color="auto" w:sz="4" w:space="0"/>
              <w:right w:val="single" w:color="auto" w:sz="4" w:space="0"/>
            </w:tcBorders>
            <w:shd w:val="clear" w:color="auto" w:fill="auto"/>
            <w:noWrap/>
            <w:vAlign w:val="center"/>
          </w:tcPr>
          <w:p>
            <w:pPr>
              <w:pStyle w:val="107"/>
            </w:pPr>
            <w:r>
              <w:rPr>
                <w:rFonts w:hint="eastAsia"/>
              </w:rPr>
              <w:t>0</w:t>
            </w:r>
            <w:r>
              <w:t>.298</w:t>
            </w:r>
          </w:p>
        </w:tc>
      </w:tr>
      <w:tr>
        <w:tblPrEx>
          <w:tblLayout w:type="fixed"/>
          <w:tblCellMar>
            <w:top w:w="0" w:type="dxa"/>
            <w:left w:w="108" w:type="dxa"/>
            <w:bottom w:w="0" w:type="dxa"/>
            <w:right w:w="108" w:type="dxa"/>
          </w:tblCellMar>
        </w:tblPrEx>
        <w:trPr>
          <w:trHeight w:val="375" w:hRule="atLeast"/>
          <w:tblHeader/>
        </w:trPr>
        <w:tc>
          <w:tcPr>
            <w:tcW w:w="936" w:type="dxa"/>
            <w:tcBorders>
              <w:top w:val="nil"/>
              <w:left w:val="single" w:color="auto" w:sz="8" w:space="0"/>
              <w:bottom w:val="single" w:color="auto" w:sz="4" w:space="0"/>
              <w:right w:val="single" w:color="auto" w:sz="4" w:space="0"/>
            </w:tcBorders>
            <w:shd w:val="clear" w:color="auto" w:fill="auto"/>
            <w:noWrap/>
            <w:vAlign w:val="center"/>
          </w:tcPr>
          <w:p>
            <w:pPr>
              <w:pStyle w:val="107"/>
            </w:pPr>
            <w:r>
              <w:rPr>
                <w:rFonts w:hint="eastAsia"/>
              </w:rPr>
              <w:t>4</w:t>
            </w:r>
          </w:p>
        </w:tc>
        <w:tc>
          <w:tcPr>
            <w:tcW w:w="1803" w:type="dxa"/>
            <w:tcBorders>
              <w:top w:val="nil"/>
              <w:left w:val="nil"/>
              <w:bottom w:val="single" w:color="auto" w:sz="4" w:space="0"/>
              <w:right w:val="single" w:color="auto" w:sz="4" w:space="0"/>
            </w:tcBorders>
            <w:shd w:val="clear" w:color="auto" w:fill="auto"/>
            <w:noWrap/>
            <w:vAlign w:val="center"/>
          </w:tcPr>
          <w:p>
            <w:pPr>
              <w:pStyle w:val="107"/>
            </w:pPr>
            <w:r>
              <w:rPr>
                <w:rFonts w:hint="eastAsia"/>
              </w:rPr>
              <w:t>氧化锌</w:t>
            </w:r>
          </w:p>
        </w:tc>
        <w:tc>
          <w:tcPr>
            <w:tcW w:w="1521" w:type="dxa"/>
            <w:tcBorders>
              <w:top w:val="nil"/>
              <w:left w:val="nil"/>
              <w:bottom w:val="single" w:color="auto" w:sz="4" w:space="0"/>
              <w:right w:val="single" w:color="auto" w:sz="4" w:space="0"/>
            </w:tcBorders>
            <w:shd w:val="clear" w:color="auto" w:fill="auto"/>
            <w:noWrap/>
            <w:vAlign w:val="center"/>
          </w:tcPr>
          <w:p>
            <w:pPr>
              <w:pStyle w:val="107"/>
            </w:pPr>
            <w:r>
              <w:rPr>
                <w:rFonts w:hint="eastAsia"/>
              </w:rPr>
              <w:t>1</w:t>
            </w:r>
            <w:r>
              <w:t>2</w:t>
            </w:r>
          </w:p>
        </w:tc>
        <w:tc>
          <w:tcPr>
            <w:tcW w:w="552" w:type="dxa"/>
            <w:vMerge w:val="continue"/>
            <w:tcBorders>
              <w:left w:val="nil"/>
              <w:right w:val="single" w:color="auto" w:sz="4" w:space="0"/>
            </w:tcBorders>
            <w:shd w:val="clear" w:color="auto" w:fill="auto"/>
            <w:noWrap/>
            <w:vAlign w:val="center"/>
          </w:tcPr>
          <w:p>
            <w:pPr>
              <w:pStyle w:val="107"/>
            </w:pPr>
          </w:p>
        </w:tc>
        <w:tc>
          <w:tcPr>
            <w:tcW w:w="2352" w:type="dxa"/>
            <w:tcBorders>
              <w:top w:val="nil"/>
              <w:left w:val="single" w:color="auto" w:sz="4" w:space="0"/>
              <w:bottom w:val="single" w:color="auto" w:sz="4" w:space="0"/>
              <w:right w:val="single" w:color="auto" w:sz="4" w:space="0"/>
            </w:tcBorders>
            <w:shd w:val="clear" w:color="auto" w:fill="auto"/>
            <w:noWrap/>
            <w:vAlign w:val="center"/>
          </w:tcPr>
          <w:p>
            <w:pPr>
              <w:pStyle w:val="107"/>
              <w:rPr>
                <w:rFonts w:ascii="Times New Roman" w:hAnsi="Times New Roman" w:cs="Times New Roman"/>
              </w:rPr>
            </w:pP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S</w:t>
            </w:r>
          </w:p>
        </w:tc>
        <w:tc>
          <w:tcPr>
            <w:tcW w:w="1953" w:type="dxa"/>
            <w:tcBorders>
              <w:top w:val="nil"/>
              <w:left w:val="nil"/>
              <w:bottom w:val="single" w:color="auto" w:sz="4" w:space="0"/>
              <w:right w:val="single" w:color="auto" w:sz="4" w:space="0"/>
            </w:tcBorders>
            <w:shd w:val="clear" w:color="auto" w:fill="auto"/>
            <w:noWrap/>
            <w:vAlign w:val="center"/>
          </w:tcPr>
          <w:p>
            <w:pPr>
              <w:pStyle w:val="107"/>
            </w:pPr>
            <w:r>
              <w:rPr>
                <w:rFonts w:hint="eastAsia"/>
              </w:rPr>
              <w:t>0</w:t>
            </w:r>
            <w:r>
              <w:t>.0112</w:t>
            </w:r>
          </w:p>
        </w:tc>
      </w:tr>
      <w:tr>
        <w:tblPrEx>
          <w:tblLayout w:type="fixed"/>
          <w:tblCellMar>
            <w:top w:w="0" w:type="dxa"/>
            <w:left w:w="108" w:type="dxa"/>
            <w:bottom w:w="0" w:type="dxa"/>
            <w:right w:w="108" w:type="dxa"/>
          </w:tblCellMar>
        </w:tblPrEx>
        <w:trPr>
          <w:trHeight w:val="285" w:hRule="atLeast"/>
          <w:tblHeader/>
        </w:trPr>
        <w:tc>
          <w:tcPr>
            <w:tcW w:w="936" w:type="dxa"/>
            <w:tcBorders>
              <w:top w:val="nil"/>
              <w:left w:val="single" w:color="auto" w:sz="8" w:space="0"/>
              <w:bottom w:val="single" w:color="auto" w:sz="4" w:space="0"/>
              <w:right w:val="single" w:color="auto" w:sz="4" w:space="0"/>
            </w:tcBorders>
            <w:shd w:val="clear" w:color="auto" w:fill="auto"/>
            <w:noWrap/>
            <w:vAlign w:val="center"/>
          </w:tcPr>
          <w:p>
            <w:pPr>
              <w:pStyle w:val="107"/>
            </w:pPr>
            <w:r>
              <w:rPr>
                <w:rFonts w:hint="eastAsia"/>
              </w:rPr>
              <w:t>5</w:t>
            </w:r>
          </w:p>
        </w:tc>
        <w:tc>
          <w:tcPr>
            <w:tcW w:w="1803" w:type="dxa"/>
            <w:tcBorders>
              <w:top w:val="nil"/>
              <w:left w:val="nil"/>
              <w:bottom w:val="single" w:color="auto" w:sz="4" w:space="0"/>
              <w:right w:val="single" w:color="auto" w:sz="4" w:space="0"/>
            </w:tcBorders>
            <w:shd w:val="clear" w:color="auto" w:fill="auto"/>
            <w:noWrap/>
            <w:vAlign w:val="center"/>
          </w:tcPr>
          <w:p>
            <w:pPr>
              <w:pStyle w:val="107"/>
            </w:pPr>
            <w:r>
              <w:rPr>
                <w:rFonts w:hint="eastAsia"/>
              </w:rPr>
              <w:t>钛白粉</w:t>
            </w:r>
          </w:p>
        </w:tc>
        <w:tc>
          <w:tcPr>
            <w:tcW w:w="1521" w:type="dxa"/>
            <w:tcBorders>
              <w:top w:val="nil"/>
              <w:left w:val="nil"/>
              <w:bottom w:val="single" w:color="auto" w:sz="4" w:space="0"/>
              <w:right w:val="single" w:color="auto" w:sz="4" w:space="0"/>
            </w:tcBorders>
            <w:shd w:val="clear" w:color="auto" w:fill="auto"/>
            <w:noWrap/>
            <w:vAlign w:val="center"/>
          </w:tcPr>
          <w:p>
            <w:pPr>
              <w:pStyle w:val="107"/>
            </w:pPr>
            <w:r>
              <w:t>5</w:t>
            </w:r>
          </w:p>
        </w:tc>
        <w:tc>
          <w:tcPr>
            <w:tcW w:w="552" w:type="dxa"/>
            <w:vMerge w:val="continue"/>
            <w:tcBorders>
              <w:left w:val="nil"/>
              <w:right w:val="single" w:color="auto" w:sz="4" w:space="0"/>
            </w:tcBorders>
            <w:shd w:val="clear" w:color="auto" w:fill="auto"/>
            <w:noWrap/>
            <w:vAlign w:val="center"/>
          </w:tcPr>
          <w:p>
            <w:pPr>
              <w:pStyle w:val="107"/>
            </w:pPr>
          </w:p>
        </w:tc>
        <w:tc>
          <w:tcPr>
            <w:tcW w:w="2352" w:type="dxa"/>
            <w:tcBorders>
              <w:top w:val="nil"/>
              <w:left w:val="single" w:color="auto" w:sz="4" w:space="0"/>
              <w:bottom w:val="single" w:color="auto" w:sz="4" w:space="0"/>
              <w:right w:val="single" w:color="auto" w:sz="4" w:space="0"/>
            </w:tcBorders>
            <w:shd w:val="clear" w:color="auto" w:fill="auto"/>
            <w:noWrap/>
            <w:vAlign w:val="center"/>
          </w:tcPr>
          <w:p>
            <w:pPr>
              <w:pStyle w:val="107"/>
            </w:pPr>
            <w:r>
              <w:rPr>
                <w:rFonts w:hint="eastAsia"/>
              </w:rPr>
              <w:t>切胶边角料</w:t>
            </w:r>
          </w:p>
        </w:tc>
        <w:tc>
          <w:tcPr>
            <w:tcW w:w="1953" w:type="dxa"/>
            <w:tcBorders>
              <w:top w:val="nil"/>
              <w:left w:val="nil"/>
              <w:bottom w:val="single" w:color="auto" w:sz="4" w:space="0"/>
              <w:right w:val="single" w:color="auto" w:sz="4" w:space="0"/>
            </w:tcBorders>
            <w:shd w:val="clear" w:color="auto" w:fill="auto"/>
            <w:noWrap/>
            <w:vAlign w:val="center"/>
          </w:tcPr>
          <w:p>
            <w:pPr>
              <w:pStyle w:val="107"/>
            </w:pPr>
            <w:r>
              <w:t>8</w:t>
            </w:r>
          </w:p>
        </w:tc>
      </w:tr>
      <w:tr>
        <w:tblPrEx>
          <w:tblLayout w:type="fixed"/>
          <w:tblCellMar>
            <w:top w:w="0" w:type="dxa"/>
            <w:left w:w="108" w:type="dxa"/>
            <w:bottom w:w="0" w:type="dxa"/>
            <w:right w:w="108" w:type="dxa"/>
          </w:tblCellMar>
        </w:tblPrEx>
        <w:trPr>
          <w:trHeight w:val="300" w:hRule="atLeast"/>
          <w:tblHeader/>
        </w:trPr>
        <w:tc>
          <w:tcPr>
            <w:tcW w:w="936" w:type="dxa"/>
            <w:tcBorders>
              <w:top w:val="nil"/>
              <w:left w:val="single" w:color="auto" w:sz="8" w:space="0"/>
              <w:bottom w:val="single" w:color="auto" w:sz="4" w:space="0"/>
              <w:right w:val="single" w:color="auto" w:sz="4" w:space="0"/>
            </w:tcBorders>
            <w:shd w:val="clear" w:color="auto" w:fill="auto"/>
            <w:noWrap/>
            <w:vAlign w:val="center"/>
          </w:tcPr>
          <w:p>
            <w:pPr>
              <w:pStyle w:val="107"/>
            </w:pPr>
            <w:r>
              <w:rPr>
                <w:rFonts w:hint="eastAsia"/>
              </w:rPr>
              <w:t>6</w:t>
            </w:r>
          </w:p>
        </w:tc>
        <w:tc>
          <w:tcPr>
            <w:tcW w:w="1803" w:type="dxa"/>
            <w:tcBorders>
              <w:top w:val="nil"/>
              <w:left w:val="nil"/>
              <w:bottom w:val="single" w:color="auto" w:sz="4" w:space="0"/>
              <w:right w:val="single" w:color="auto" w:sz="4" w:space="0"/>
            </w:tcBorders>
            <w:shd w:val="clear" w:color="auto" w:fill="auto"/>
            <w:noWrap/>
            <w:vAlign w:val="center"/>
          </w:tcPr>
          <w:p>
            <w:pPr>
              <w:pStyle w:val="107"/>
            </w:pPr>
            <w:r>
              <w:rPr>
                <w:rFonts w:hint="eastAsia"/>
              </w:rPr>
              <w:t>硫磺粉</w:t>
            </w:r>
          </w:p>
        </w:tc>
        <w:tc>
          <w:tcPr>
            <w:tcW w:w="1521" w:type="dxa"/>
            <w:tcBorders>
              <w:top w:val="nil"/>
              <w:left w:val="nil"/>
              <w:bottom w:val="single" w:color="auto" w:sz="4" w:space="0"/>
              <w:right w:val="single" w:color="auto" w:sz="4" w:space="0"/>
            </w:tcBorders>
            <w:shd w:val="clear" w:color="auto" w:fill="auto"/>
            <w:noWrap/>
            <w:vAlign w:val="center"/>
          </w:tcPr>
          <w:p>
            <w:pPr>
              <w:pStyle w:val="107"/>
            </w:pPr>
            <w:r>
              <w:t>3</w:t>
            </w:r>
          </w:p>
        </w:tc>
        <w:tc>
          <w:tcPr>
            <w:tcW w:w="552" w:type="dxa"/>
            <w:vMerge w:val="continue"/>
            <w:tcBorders>
              <w:left w:val="nil"/>
              <w:right w:val="single" w:color="auto" w:sz="4" w:space="0"/>
            </w:tcBorders>
            <w:shd w:val="clear" w:color="auto" w:fill="auto"/>
            <w:noWrap/>
            <w:vAlign w:val="center"/>
          </w:tcPr>
          <w:p>
            <w:pPr>
              <w:pStyle w:val="107"/>
            </w:pPr>
          </w:p>
        </w:tc>
        <w:tc>
          <w:tcPr>
            <w:tcW w:w="2352" w:type="dxa"/>
            <w:tcBorders>
              <w:top w:val="nil"/>
              <w:left w:val="single" w:color="auto" w:sz="4" w:space="0"/>
              <w:bottom w:val="single" w:color="auto" w:sz="4" w:space="0"/>
              <w:right w:val="single" w:color="auto" w:sz="4" w:space="0"/>
            </w:tcBorders>
            <w:shd w:val="clear" w:color="auto" w:fill="auto"/>
            <w:noWrap/>
            <w:vAlign w:val="bottom"/>
          </w:tcPr>
          <w:p>
            <w:pPr>
              <w:pStyle w:val="107"/>
            </w:pPr>
            <w:r>
              <w:rPr>
                <w:rFonts w:hint="eastAsia"/>
              </w:rPr>
              <w:t>修边边角料</w:t>
            </w:r>
          </w:p>
        </w:tc>
        <w:tc>
          <w:tcPr>
            <w:tcW w:w="1953" w:type="dxa"/>
            <w:tcBorders>
              <w:top w:val="nil"/>
              <w:left w:val="nil"/>
              <w:bottom w:val="single" w:color="auto" w:sz="4" w:space="0"/>
              <w:right w:val="single" w:color="auto" w:sz="4" w:space="0"/>
            </w:tcBorders>
            <w:shd w:val="clear" w:color="auto" w:fill="auto"/>
            <w:noWrap/>
            <w:vAlign w:val="center"/>
          </w:tcPr>
          <w:p>
            <w:pPr>
              <w:pStyle w:val="107"/>
            </w:pPr>
            <w:r>
              <w:rPr>
                <w:rFonts w:hint="eastAsia"/>
              </w:rPr>
              <w:t xml:space="preserve">2 </w:t>
            </w:r>
          </w:p>
        </w:tc>
      </w:tr>
      <w:tr>
        <w:tblPrEx>
          <w:tblLayout w:type="fixed"/>
          <w:tblCellMar>
            <w:top w:w="0" w:type="dxa"/>
            <w:left w:w="108" w:type="dxa"/>
            <w:bottom w:w="0" w:type="dxa"/>
            <w:right w:w="108" w:type="dxa"/>
          </w:tblCellMar>
        </w:tblPrEx>
        <w:trPr>
          <w:trHeight w:val="300" w:hRule="atLeast"/>
          <w:tblHeader/>
        </w:trPr>
        <w:tc>
          <w:tcPr>
            <w:tcW w:w="936" w:type="dxa"/>
            <w:tcBorders>
              <w:top w:val="nil"/>
              <w:left w:val="single" w:color="auto" w:sz="8" w:space="0"/>
              <w:bottom w:val="single" w:color="auto" w:sz="4" w:space="0"/>
              <w:right w:val="single" w:color="auto" w:sz="4" w:space="0"/>
            </w:tcBorders>
            <w:shd w:val="clear" w:color="auto" w:fill="auto"/>
            <w:noWrap/>
            <w:vAlign w:val="center"/>
          </w:tcPr>
          <w:p>
            <w:pPr>
              <w:pStyle w:val="107"/>
            </w:pPr>
            <w:r>
              <w:rPr>
                <w:rFonts w:hint="eastAsia"/>
              </w:rPr>
              <w:t>7</w:t>
            </w:r>
          </w:p>
        </w:tc>
        <w:tc>
          <w:tcPr>
            <w:tcW w:w="1803" w:type="dxa"/>
            <w:tcBorders>
              <w:top w:val="nil"/>
              <w:left w:val="nil"/>
              <w:bottom w:val="single" w:color="auto" w:sz="4" w:space="0"/>
              <w:right w:val="single" w:color="auto" w:sz="4" w:space="0"/>
            </w:tcBorders>
            <w:shd w:val="clear" w:color="auto" w:fill="auto"/>
            <w:noWrap/>
            <w:vAlign w:val="center"/>
          </w:tcPr>
          <w:p>
            <w:pPr>
              <w:pStyle w:val="107"/>
            </w:pPr>
            <w:r>
              <w:rPr>
                <w:rFonts w:hint="eastAsia"/>
              </w:rPr>
              <w:t>白黑炭</w:t>
            </w:r>
          </w:p>
        </w:tc>
        <w:tc>
          <w:tcPr>
            <w:tcW w:w="1521" w:type="dxa"/>
            <w:tcBorders>
              <w:top w:val="nil"/>
              <w:left w:val="nil"/>
              <w:bottom w:val="single" w:color="auto" w:sz="4" w:space="0"/>
              <w:right w:val="single" w:color="auto" w:sz="4" w:space="0"/>
            </w:tcBorders>
            <w:shd w:val="clear" w:color="auto" w:fill="auto"/>
            <w:noWrap/>
            <w:vAlign w:val="center"/>
          </w:tcPr>
          <w:p>
            <w:pPr>
              <w:pStyle w:val="107"/>
            </w:pPr>
            <w:r>
              <w:rPr>
                <w:rFonts w:hint="eastAsia"/>
              </w:rPr>
              <w:t>5</w:t>
            </w:r>
            <w:r>
              <w:t>0</w:t>
            </w:r>
          </w:p>
        </w:tc>
        <w:tc>
          <w:tcPr>
            <w:tcW w:w="552" w:type="dxa"/>
            <w:vMerge w:val="continue"/>
            <w:tcBorders>
              <w:left w:val="nil"/>
              <w:right w:val="single" w:color="auto" w:sz="4" w:space="0"/>
            </w:tcBorders>
            <w:shd w:val="clear" w:color="auto" w:fill="auto"/>
            <w:noWrap/>
            <w:vAlign w:val="center"/>
          </w:tcPr>
          <w:p>
            <w:pPr>
              <w:pStyle w:val="107"/>
            </w:pPr>
          </w:p>
        </w:tc>
        <w:tc>
          <w:tcPr>
            <w:tcW w:w="2352" w:type="dxa"/>
            <w:tcBorders>
              <w:top w:val="nil"/>
              <w:left w:val="single" w:color="auto" w:sz="4" w:space="0"/>
              <w:bottom w:val="single" w:color="auto" w:sz="4" w:space="0"/>
              <w:right w:val="single" w:color="auto" w:sz="4" w:space="0"/>
            </w:tcBorders>
            <w:shd w:val="clear" w:color="auto" w:fill="auto"/>
            <w:noWrap/>
            <w:vAlign w:val="center"/>
          </w:tcPr>
          <w:p>
            <w:pPr>
              <w:pStyle w:val="107"/>
            </w:pPr>
            <w:r>
              <w:rPr>
                <w:rFonts w:hint="eastAsia"/>
              </w:rPr>
              <w:t>不合格品</w:t>
            </w:r>
          </w:p>
        </w:tc>
        <w:tc>
          <w:tcPr>
            <w:tcW w:w="1953" w:type="dxa"/>
            <w:tcBorders>
              <w:top w:val="nil"/>
              <w:left w:val="nil"/>
              <w:bottom w:val="single" w:color="auto" w:sz="4" w:space="0"/>
              <w:right w:val="single" w:color="auto" w:sz="4" w:space="0"/>
            </w:tcBorders>
            <w:shd w:val="clear" w:color="auto" w:fill="auto"/>
            <w:noWrap/>
            <w:vAlign w:val="center"/>
          </w:tcPr>
          <w:p>
            <w:pPr>
              <w:pStyle w:val="107"/>
            </w:pPr>
            <w:r>
              <w:rPr>
                <w:rFonts w:hint="eastAsia"/>
              </w:rPr>
              <w:t>9.</w:t>
            </w:r>
            <w:r>
              <w:t>2627</w:t>
            </w:r>
            <w:r>
              <w:rPr>
                <w:rFonts w:hint="eastAsia"/>
              </w:rPr>
              <w:t xml:space="preserve"> </w:t>
            </w:r>
          </w:p>
        </w:tc>
      </w:tr>
      <w:tr>
        <w:tblPrEx>
          <w:tblLayout w:type="fixed"/>
          <w:tblCellMar>
            <w:top w:w="0" w:type="dxa"/>
            <w:left w:w="108" w:type="dxa"/>
            <w:bottom w:w="0" w:type="dxa"/>
            <w:right w:w="108" w:type="dxa"/>
          </w:tblCellMar>
        </w:tblPrEx>
        <w:trPr>
          <w:trHeight w:val="300" w:hRule="atLeast"/>
          <w:tblHeader/>
        </w:trPr>
        <w:tc>
          <w:tcPr>
            <w:tcW w:w="2739" w:type="dxa"/>
            <w:gridSpan w:val="2"/>
            <w:tcBorders>
              <w:top w:val="single" w:color="auto" w:sz="4" w:space="0"/>
              <w:left w:val="single" w:color="auto" w:sz="8" w:space="0"/>
              <w:bottom w:val="single" w:color="auto" w:sz="8" w:space="0"/>
              <w:right w:val="single" w:color="000000" w:sz="4" w:space="0"/>
            </w:tcBorders>
            <w:shd w:val="clear" w:color="auto" w:fill="auto"/>
            <w:noWrap/>
            <w:vAlign w:val="center"/>
          </w:tcPr>
          <w:p>
            <w:pPr>
              <w:pStyle w:val="107"/>
            </w:pPr>
            <w:r>
              <w:rPr>
                <w:rFonts w:hint="eastAsia"/>
              </w:rPr>
              <w:t>∑投入</w:t>
            </w:r>
          </w:p>
        </w:tc>
        <w:tc>
          <w:tcPr>
            <w:tcW w:w="1521" w:type="dxa"/>
            <w:tcBorders>
              <w:top w:val="nil"/>
              <w:left w:val="nil"/>
              <w:bottom w:val="single" w:color="auto" w:sz="4" w:space="0"/>
              <w:right w:val="single" w:color="auto" w:sz="4" w:space="0"/>
            </w:tcBorders>
            <w:shd w:val="clear" w:color="auto" w:fill="auto"/>
            <w:noWrap/>
            <w:vAlign w:val="center"/>
          </w:tcPr>
          <w:p>
            <w:pPr>
              <w:pStyle w:val="107"/>
            </w:pPr>
            <w:r>
              <w:t>872</w:t>
            </w:r>
            <w:r>
              <w:rPr>
                <w:rFonts w:hint="eastAsia"/>
              </w:rPr>
              <w:t xml:space="preserve"> </w:t>
            </w:r>
          </w:p>
        </w:tc>
        <w:tc>
          <w:tcPr>
            <w:tcW w:w="552" w:type="dxa"/>
            <w:vMerge w:val="continue"/>
            <w:tcBorders>
              <w:left w:val="nil"/>
              <w:bottom w:val="single" w:color="auto" w:sz="4" w:space="0"/>
              <w:right w:val="single" w:color="auto" w:sz="4" w:space="0"/>
            </w:tcBorders>
            <w:shd w:val="clear" w:color="auto" w:fill="auto"/>
            <w:noWrap/>
            <w:vAlign w:val="center"/>
          </w:tcPr>
          <w:p>
            <w:pPr>
              <w:pStyle w:val="107"/>
            </w:pPr>
          </w:p>
        </w:tc>
        <w:tc>
          <w:tcPr>
            <w:tcW w:w="2352" w:type="dxa"/>
            <w:tcBorders>
              <w:top w:val="nil"/>
              <w:left w:val="nil"/>
              <w:bottom w:val="single" w:color="auto" w:sz="4" w:space="0"/>
              <w:right w:val="single" w:color="auto" w:sz="4" w:space="0"/>
            </w:tcBorders>
            <w:shd w:val="clear" w:color="auto" w:fill="auto"/>
            <w:noWrap/>
            <w:vAlign w:val="center"/>
          </w:tcPr>
          <w:p>
            <w:pPr>
              <w:pStyle w:val="107"/>
            </w:pPr>
            <w:r>
              <w:rPr>
                <w:rFonts w:hint="eastAsia"/>
              </w:rPr>
              <w:t>∑产出</w:t>
            </w:r>
          </w:p>
        </w:tc>
        <w:tc>
          <w:tcPr>
            <w:tcW w:w="1953" w:type="dxa"/>
            <w:tcBorders>
              <w:top w:val="nil"/>
              <w:left w:val="nil"/>
              <w:bottom w:val="single" w:color="auto" w:sz="4" w:space="0"/>
              <w:right w:val="single" w:color="auto" w:sz="4" w:space="0"/>
            </w:tcBorders>
            <w:shd w:val="clear" w:color="auto" w:fill="auto"/>
            <w:noWrap/>
            <w:vAlign w:val="center"/>
          </w:tcPr>
          <w:p>
            <w:pPr>
              <w:pStyle w:val="107"/>
            </w:pPr>
            <w:r>
              <w:t>872</w:t>
            </w:r>
          </w:p>
        </w:tc>
      </w:tr>
    </w:tbl>
    <w:p>
      <w:pPr>
        <w:pStyle w:val="5"/>
      </w:pPr>
      <w:r>
        <w:rPr>
          <w:rFonts w:hint="eastAsia"/>
        </w:rPr>
        <w:t>硫平衡</w:t>
      </w:r>
    </w:p>
    <w:p>
      <w:pPr>
        <w:pStyle w:val="99"/>
        <w:numPr>
          <w:ilvl w:val="0"/>
          <w:numId w:val="24"/>
        </w:numPr>
        <w:ind w:firstLineChars="0"/>
        <w:rPr>
          <w:rFonts w:eastAsiaTheme="minorEastAsia"/>
        </w:rPr>
      </w:pPr>
      <w:r>
        <w:rPr>
          <w:rFonts w:hint="eastAsia" w:eastAsiaTheme="minorEastAsia"/>
        </w:rPr>
        <w:t>原料含硫部分</w:t>
      </w:r>
    </w:p>
    <w:p>
      <w:pPr>
        <w:ind w:firstLine="480"/>
        <w:rPr>
          <w:rFonts w:eastAsiaTheme="minorEastAsia"/>
        </w:rPr>
      </w:pPr>
      <w:r>
        <w:rPr>
          <w:rFonts w:hint="eastAsia" w:eastAsiaTheme="minorEastAsia"/>
        </w:rPr>
        <w:t>项目生产过程中的硫主要来自于天然橡胶、合成橡胶、硫磺等原辅材料。</w:t>
      </w:r>
    </w:p>
    <w:p>
      <w:pPr>
        <w:ind w:firstLine="480"/>
        <w:rPr>
          <w:rFonts w:eastAsiaTheme="minorEastAsia"/>
        </w:rPr>
      </w:pPr>
      <w:r>
        <w:rPr>
          <w:rFonts w:hint="eastAsia" w:eastAsiaTheme="minorEastAsia"/>
        </w:rPr>
        <w:t>天然胶含硫量约为0.5%，合成胶含硫量为0.5%，硫磺粉含硫率约为9</w:t>
      </w:r>
      <w:r>
        <w:rPr>
          <w:rFonts w:eastAsiaTheme="minorEastAsia"/>
        </w:rPr>
        <w:t>8</w:t>
      </w:r>
      <w:r>
        <w:rPr>
          <w:rFonts w:hint="eastAsia" w:eastAsiaTheme="minorEastAsia"/>
        </w:rPr>
        <w:t>%。</w:t>
      </w:r>
    </w:p>
    <w:p>
      <w:pPr>
        <w:pStyle w:val="99"/>
        <w:numPr>
          <w:ilvl w:val="0"/>
          <w:numId w:val="24"/>
        </w:numPr>
        <w:ind w:firstLineChars="0"/>
        <w:rPr>
          <w:rFonts w:eastAsiaTheme="minorEastAsia"/>
        </w:rPr>
      </w:pPr>
      <w:r>
        <w:rPr>
          <w:rFonts w:hint="eastAsia" w:eastAsiaTheme="minorEastAsia"/>
        </w:rPr>
        <w:t>硫去向</w:t>
      </w:r>
    </w:p>
    <w:p>
      <w:pPr>
        <w:ind w:firstLine="480"/>
        <w:rPr>
          <w:rFonts w:eastAsiaTheme="minorEastAsia"/>
        </w:rPr>
      </w:pPr>
      <w:r>
        <w:rPr>
          <w:rFonts w:hint="eastAsia" w:eastAsiaTheme="minorEastAsia"/>
        </w:rPr>
        <w:t>在橡胶制品生产过程中，硫去向主要为：</w:t>
      </w:r>
    </w:p>
    <w:p>
      <w:pPr>
        <w:ind w:firstLine="480"/>
        <w:rPr>
          <w:rFonts w:eastAsiaTheme="minorEastAsia"/>
        </w:rPr>
      </w:pPr>
      <w:r>
        <w:rPr>
          <w:rFonts w:hint="eastAsia" w:eastAsiaTheme="minorEastAsia"/>
        </w:rPr>
        <w:t>一是进入产品，硫磺气化温度为700℃，在硫化工序14</w:t>
      </w:r>
      <w:r>
        <w:rPr>
          <w:rFonts w:eastAsiaTheme="minorEastAsia"/>
        </w:rPr>
        <w:t>0</w:t>
      </w:r>
      <w:r>
        <w:rPr>
          <w:rFonts w:hint="eastAsia" w:eastAsiaTheme="minorEastAsia"/>
        </w:rPr>
        <w:t>℃的温度下，基本不发生气化和反应，转入产品中；</w:t>
      </w:r>
    </w:p>
    <w:p>
      <w:pPr>
        <w:ind w:firstLine="480"/>
        <w:rPr>
          <w:rFonts w:eastAsiaTheme="minorEastAsia"/>
        </w:rPr>
      </w:pPr>
      <w:r>
        <w:rPr>
          <w:rFonts w:hint="eastAsia" w:eastAsiaTheme="minorEastAsia"/>
        </w:rPr>
        <w:t>二是进入废气，密炼、开炼、硫化工序产生含硫污染物，未收集的部分含硫污染物无组织排入大气，收集的部分经废气处理设施去除一部分，处理后剩余的含硫污染物通过排气筒有组织排入大气中；</w:t>
      </w:r>
    </w:p>
    <w:p>
      <w:pPr>
        <w:ind w:firstLine="480"/>
        <w:rPr>
          <w:rFonts w:eastAsiaTheme="minorEastAsia"/>
        </w:rPr>
      </w:pPr>
      <w:r>
        <w:rPr>
          <w:rFonts w:hint="eastAsia" w:eastAsiaTheme="minorEastAsia"/>
        </w:rPr>
        <w:t>三是进入固体废弃物，分条工序切胶、修边工序产生的橡胶边角料含硫，检验工序产生的不合格品含硫，其中切胶边角料回用于开炼。</w:t>
      </w:r>
    </w:p>
    <w:p>
      <w:pPr>
        <w:ind w:firstLine="480"/>
        <w:rPr>
          <w:rFonts w:eastAsiaTheme="minorEastAsia"/>
        </w:rPr>
      </w:pPr>
      <w:r>
        <w:rPr>
          <w:rFonts w:hint="eastAsia" w:eastAsiaTheme="minorEastAsia"/>
        </w:rPr>
        <w:t>项目生产过程硫元素投入-产出平衡情况见</w:t>
      </w:r>
      <w:r>
        <w:rPr>
          <w:rFonts w:eastAsiaTheme="minorEastAsia"/>
        </w:rPr>
        <w:fldChar w:fldCharType="begin"/>
      </w:r>
      <w:r>
        <w:rPr>
          <w:rFonts w:eastAsiaTheme="minorEastAsia"/>
        </w:rPr>
        <w:instrText xml:space="preserve"> </w:instrText>
      </w:r>
      <w:r>
        <w:rPr>
          <w:rFonts w:hint="eastAsia" w:eastAsiaTheme="minorEastAsia"/>
        </w:rPr>
        <w:instrText xml:space="preserve">REF _Ref531337265 \h</w:instrText>
      </w:r>
      <w:r>
        <w:rPr>
          <w:rFonts w:eastAsiaTheme="minorEastAsia"/>
        </w:rPr>
        <w:instrText xml:space="preserve"> </w:instrText>
      </w:r>
      <w:r>
        <w:rPr>
          <w:rFonts w:eastAsiaTheme="minorEastAsia"/>
        </w:rPr>
        <w:fldChar w:fldCharType="separate"/>
      </w:r>
      <w:r>
        <w:rPr>
          <w:rFonts w:hint="eastAsia"/>
        </w:rPr>
        <w:t xml:space="preserve">表 </w:t>
      </w:r>
      <w:r>
        <w:t>2.6</w:t>
      </w:r>
      <w:r>
        <w:noBreakHyphen/>
      </w:r>
      <w:r>
        <w:t>2</w:t>
      </w:r>
      <w:r>
        <w:rPr>
          <w:rFonts w:eastAsiaTheme="minorEastAsia"/>
        </w:rPr>
        <w:fldChar w:fldCharType="end"/>
      </w:r>
      <w:r>
        <w:rPr>
          <w:rFonts w:hint="eastAsia" w:eastAsiaTheme="minorEastAsia"/>
        </w:rPr>
        <w:t>。</w:t>
      </w:r>
    </w:p>
    <w:p>
      <w:pPr>
        <w:pStyle w:val="18"/>
      </w:pPr>
      <w:bookmarkStart w:id="197" w:name="_Ref531337265"/>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2.6</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bookmarkEnd w:id="197"/>
      <w:r>
        <w:t xml:space="preserve"> </w:t>
      </w:r>
      <w:r>
        <w:rPr>
          <w:rFonts w:hint="eastAsia"/>
        </w:rPr>
        <w:t>项目生产过程硫平衡表</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9"/>
        <w:gridCol w:w="1060"/>
        <w:gridCol w:w="803"/>
        <w:gridCol w:w="1063"/>
        <w:gridCol w:w="936"/>
        <w:gridCol w:w="235"/>
        <w:gridCol w:w="1257"/>
        <w:gridCol w:w="948"/>
        <w:gridCol w:w="968"/>
        <w:gridCol w:w="1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trPr>
        <w:tc>
          <w:tcPr>
            <w:tcW w:w="4501" w:type="dxa"/>
            <w:gridSpan w:val="5"/>
            <w:shd w:val="clear" w:color="auto" w:fill="auto"/>
            <w:noWrap/>
            <w:vAlign w:val="center"/>
          </w:tcPr>
          <w:p>
            <w:pPr>
              <w:pStyle w:val="107"/>
              <w:rPr>
                <w:b/>
              </w:rPr>
            </w:pPr>
            <w:r>
              <w:rPr>
                <w:rFonts w:hint="eastAsia"/>
                <w:b/>
              </w:rPr>
              <w:t>入方</w:t>
            </w:r>
          </w:p>
        </w:tc>
        <w:tc>
          <w:tcPr>
            <w:tcW w:w="235" w:type="dxa"/>
            <w:vMerge w:val="restart"/>
            <w:shd w:val="clear" w:color="auto" w:fill="auto"/>
            <w:noWrap/>
            <w:vAlign w:val="center"/>
          </w:tcPr>
          <w:p>
            <w:pPr>
              <w:pStyle w:val="107"/>
              <w:rPr>
                <w:b/>
              </w:rPr>
            </w:pPr>
          </w:p>
        </w:tc>
        <w:tc>
          <w:tcPr>
            <w:tcW w:w="4381" w:type="dxa"/>
            <w:gridSpan w:val="4"/>
            <w:shd w:val="clear" w:color="auto" w:fill="auto"/>
            <w:noWrap/>
            <w:vAlign w:val="center"/>
          </w:tcPr>
          <w:p>
            <w:pPr>
              <w:pStyle w:val="107"/>
              <w:rPr>
                <w:b/>
              </w:rPr>
            </w:pPr>
            <w:r>
              <w:rPr>
                <w:rFonts w:hint="eastAsia"/>
                <w:b/>
              </w:rPr>
              <w:t>出方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trPr>
        <w:tc>
          <w:tcPr>
            <w:tcW w:w="639" w:type="dxa"/>
            <w:shd w:val="clear" w:color="auto" w:fill="auto"/>
            <w:noWrap/>
            <w:vAlign w:val="center"/>
          </w:tcPr>
          <w:p>
            <w:pPr>
              <w:pStyle w:val="107"/>
              <w:rPr>
                <w:b/>
              </w:rPr>
            </w:pPr>
            <w:r>
              <w:rPr>
                <w:rFonts w:hint="eastAsia"/>
                <w:b/>
              </w:rPr>
              <w:t>序号</w:t>
            </w:r>
          </w:p>
        </w:tc>
        <w:tc>
          <w:tcPr>
            <w:tcW w:w="1060" w:type="dxa"/>
            <w:shd w:val="clear" w:color="auto" w:fill="auto"/>
            <w:noWrap/>
            <w:vAlign w:val="center"/>
          </w:tcPr>
          <w:p>
            <w:pPr>
              <w:pStyle w:val="107"/>
              <w:rPr>
                <w:b/>
              </w:rPr>
            </w:pPr>
            <w:r>
              <w:rPr>
                <w:rFonts w:hint="eastAsia"/>
                <w:b/>
              </w:rPr>
              <w:t>物料名称</w:t>
            </w:r>
          </w:p>
        </w:tc>
        <w:tc>
          <w:tcPr>
            <w:tcW w:w="803" w:type="dxa"/>
            <w:shd w:val="clear" w:color="auto" w:fill="auto"/>
            <w:noWrap/>
            <w:vAlign w:val="center"/>
          </w:tcPr>
          <w:p>
            <w:pPr>
              <w:pStyle w:val="107"/>
              <w:rPr>
                <w:b/>
              </w:rPr>
            </w:pPr>
            <w:r>
              <w:rPr>
                <w:rFonts w:hint="eastAsia"/>
                <w:b/>
              </w:rPr>
              <w:t>数量(t/a)</w:t>
            </w:r>
          </w:p>
        </w:tc>
        <w:tc>
          <w:tcPr>
            <w:tcW w:w="1063" w:type="dxa"/>
            <w:shd w:val="clear" w:color="auto" w:fill="auto"/>
            <w:noWrap/>
            <w:vAlign w:val="center"/>
          </w:tcPr>
          <w:p>
            <w:pPr>
              <w:pStyle w:val="107"/>
              <w:rPr>
                <w:b/>
              </w:rPr>
            </w:pPr>
            <w:r>
              <w:rPr>
                <w:rFonts w:hint="eastAsia"/>
                <w:b/>
              </w:rPr>
              <w:t>含硫率</w:t>
            </w:r>
          </w:p>
        </w:tc>
        <w:tc>
          <w:tcPr>
            <w:tcW w:w="936" w:type="dxa"/>
            <w:shd w:val="clear" w:color="auto" w:fill="auto"/>
            <w:noWrap/>
            <w:vAlign w:val="center"/>
          </w:tcPr>
          <w:p>
            <w:pPr>
              <w:pStyle w:val="107"/>
              <w:rPr>
                <w:b/>
              </w:rPr>
            </w:pPr>
            <w:r>
              <w:rPr>
                <w:rFonts w:hint="eastAsia"/>
                <w:b/>
              </w:rPr>
              <w:t>含硫量(t/a)</w:t>
            </w:r>
          </w:p>
        </w:tc>
        <w:tc>
          <w:tcPr>
            <w:tcW w:w="235" w:type="dxa"/>
            <w:vMerge w:val="continue"/>
            <w:shd w:val="clear" w:color="auto" w:fill="auto"/>
            <w:noWrap/>
            <w:vAlign w:val="center"/>
          </w:tcPr>
          <w:p>
            <w:pPr>
              <w:pStyle w:val="107"/>
              <w:rPr>
                <w:b/>
              </w:rPr>
            </w:pPr>
          </w:p>
        </w:tc>
        <w:tc>
          <w:tcPr>
            <w:tcW w:w="1257" w:type="dxa"/>
            <w:shd w:val="clear" w:color="auto" w:fill="auto"/>
            <w:noWrap/>
            <w:vAlign w:val="center"/>
          </w:tcPr>
          <w:p>
            <w:pPr>
              <w:pStyle w:val="107"/>
              <w:rPr>
                <w:b/>
              </w:rPr>
            </w:pPr>
            <w:r>
              <w:rPr>
                <w:rFonts w:hint="eastAsia"/>
                <w:b/>
              </w:rPr>
              <w:t>物料名称</w:t>
            </w:r>
          </w:p>
        </w:tc>
        <w:tc>
          <w:tcPr>
            <w:tcW w:w="948" w:type="dxa"/>
            <w:shd w:val="clear" w:color="auto" w:fill="auto"/>
            <w:noWrap/>
            <w:vAlign w:val="center"/>
          </w:tcPr>
          <w:p>
            <w:pPr>
              <w:pStyle w:val="107"/>
              <w:rPr>
                <w:b/>
              </w:rPr>
            </w:pPr>
            <w:r>
              <w:rPr>
                <w:rFonts w:hint="eastAsia"/>
                <w:b/>
              </w:rPr>
              <w:t>数量(t/a)</w:t>
            </w:r>
          </w:p>
        </w:tc>
        <w:tc>
          <w:tcPr>
            <w:tcW w:w="968" w:type="dxa"/>
            <w:shd w:val="clear" w:color="auto" w:fill="auto"/>
            <w:noWrap/>
            <w:vAlign w:val="center"/>
          </w:tcPr>
          <w:p>
            <w:pPr>
              <w:pStyle w:val="107"/>
              <w:rPr>
                <w:b/>
              </w:rPr>
            </w:pPr>
            <w:r>
              <w:rPr>
                <w:rFonts w:hint="eastAsia"/>
                <w:b/>
              </w:rPr>
              <w:t>含硫率</w:t>
            </w:r>
          </w:p>
        </w:tc>
        <w:tc>
          <w:tcPr>
            <w:tcW w:w="1208" w:type="dxa"/>
            <w:shd w:val="clear" w:color="auto" w:fill="auto"/>
            <w:noWrap/>
            <w:vAlign w:val="center"/>
          </w:tcPr>
          <w:p>
            <w:pPr>
              <w:pStyle w:val="107"/>
              <w:rPr>
                <w:b/>
              </w:rPr>
            </w:pPr>
            <w:r>
              <w:rPr>
                <w:rFonts w:hint="eastAsia"/>
                <w:b/>
              </w:rPr>
              <w:t>含硫量(t/a)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blHeader/>
        </w:trPr>
        <w:tc>
          <w:tcPr>
            <w:tcW w:w="639" w:type="dxa"/>
            <w:shd w:val="clear" w:color="auto" w:fill="auto"/>
            <w:noWrap/>
            <w:vAlign w:val="center"/>
          </w:tcPr>
          <w:p>
            <w:pPr>
              <w:pStyle w:val="107"/>
            </w:pPr>
            <w:r>
              <w:rPr>
                <w:rFonts w:hint="eastAsia"/>
              </w:rPr>
              <w:t>1</w:t>
            </w:r>
          </w:p>
        </w:tc>
        <w:tc>
          <w:tcPr>
            <w:tcW w:w="1060" w:type="dxa"/>
            <w:shd w:val="clear" w:color="auto" w:fill="auto"/>
            <w:noWrap/>
            <w:vAlign w:val="center"/>
          </w:tcPr>
          <w:p>
            <w:pPr>
              <w:pStyle w:val="107"/>
            </w:pPr>
            <w:r>
              <w:rPr>
                <w:rFonts w:hint="eastAsia"/>
              </w:rPr>
              <w:t>橡胶</w:t>
            </w:r>
          </w:p>
        </w:tc>
        <w:tc>
          <w:tcPr>
            <w:tcW w:w="803" w:type="dxa"/>
            <w:shd w:val="clear" w:color="auto" w:fill="auto"/>
            <w:noWrap/>
            <w:vAlign w:val="center"/>
          </w:tcPr>
          <w:p>
            <w:pPr>
              <w:pStyle w:val="107"/>
            </w:pPr>
            <w:r>
              <w:rPr>
                <w:rFonts w:hint="eastAsia"/>
              </w:rPr>
              <w:t>4</w:t>
            </w:r>
            <w:r>
              <w:t>0</w:t>
            </w:r>
            <w:r>
              <w:rPr>
                <w:rFonts w:hint="eastAsia"/>
              </w:rPr>
              <w:t>0</w:t>
            </w:r>
          </w:p>
        </w:tc>
        <w:tc>
          <w:tcPr>
            <w:tcW w:w="1063" w:type="dxa"/>
            <w:shd w:val="clear" w:color="auto" w:fill="auto"/>
            <w:noWrap/>
            <w:vAlign w:val="center"/>
          </w:tcPr>
          <w:p>
            <w:pPr>
              <w:pStyle w:val="107"/>
            </w:pPr>
            <w:r>
              <w:rPr>
                <w:rFonts w:hint="eastAsia"/>
              </w:rPr>
              <w:t>0.50%</w:t>
            </w:r>
          </w:p>
        </w:tc>
        <w:tc>
          <w:tcPr>
            <w:tcW w:w="936" w:type="dxa"/>
            <w:shd w:val="clear" w:color="auto" w:fill="auto"/>
            <w:noWrap/>
            <w:vAlign w:val="center"/>
          </w:tcPr>
          <w:p>
            <w:pPr>
              <w:pStyle w:val="107"/>
            </w:pPr>
            <w:r>
              <w:rPr>
                <w:rFonts w:hint="eastAsia"/>
              </w:rPr>
              <w:t>2</w:t>
            </w:r>
          </w:p>
        </w:tc>
        <w:tc>
          <w:tcPr>
            <w:tcW w:w="235" w:type="dxa"/>
            <w:vMerge w:val="continue"/>
            <w:shd w:val="clear" w:color="auto" w:fill="auto"/>
            <w:noWrap/>
            <w:vAlign w:val="center"/>
          </w:tcPr>
          <w:p>
            <w:pPr>
              <w:pStyle w:val="107"/>
            </w:pPr>
          </w:p>
        </w:tc>
        <w:tc>
          <w:tcPr>
            <w:tcW w:w="1257" w:type="dxa"/>
            <w:shd w:val="clear" w:color="auto" w:fill="auto"/>
            <w:noWrap/>
            <w:vAlign w:val="center"/>
          </w:tcPr>
          <w:p>
            <w:pPr>
              <w:pStyle w:val="107"/>
            </w:pPr>
            <w:r>
              <w:rPr>
                <w:rFonts w:hint="eastAsia"/>
              </w:rPr>
              <w:t>橡胶制品</w:t>
            </w:r>
          </w:p>
        </w:tc>
        <w:tc>
          <w:tcPr>
            <w:tcW w:w="948" w:type="dxa"/>
            <w:shd w:val="clear" w:color="auto" w:fill="auto"/>
            <w:noWrap/>
            <w:vAlign w:val="center"/>
          </w:tcPr>
          <w:p>
            <w:pPr>
              <w:pStyle w:val="107"/>
            </w:pPr>
            <w:r>
              <w:t>852</w:t>
            </w:r>
          </w:p>
        </w:tc>
        <w:tc>
          <w:tcPr>
            <w:tcW w:w="968" w:type="dxa"/>
            <w:shd w:val="clear" w:color="auto" w:fill="auto"/>
            <w:noWrap/>
            <w:vAlign w:val="center"/>
          </w:tcPr>
          <w:p>
            <w:pPr>
              <w:pStyle w:val="107"/>
            </w:pPr>
            <w:r>
              <w:t>0.5632</w:t>
            </w:r>
            <w:r>
              <w:rPr>
                <w:rFonts w:hint="eastAsia"/>
              </w:rPr>
              <w:t>%</w:t>
            </w:r>
          </w:p>
        </w:tc>
        <w:tc>
          <w:tcPr>
            <w:tcW w:w="1208" w:type="dxa"/>
            <w:shd w:val="clear" w:color="auto" w:fill="auto"/>
            <w:noWrap/>
            <w:vAlign w:val="center"/>
          </w:tcPr>
          <w:p>
            <w:pPr>
              <w:pStyle w:val="107"/>
            </w:pPr>
            <w:r>
              <w:t>4.82097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0" w:hRule="atLeast"/>
          <w:tblHeader/>
        </w:trPr>
        <w:tc>
          <w:tcPr>
            <w:tcW w:w="639" w:type="dxa"/>
            <w:shd w:val="clear" w:color="auto" w:fill="auto"/>
            <w:noWrap/>
            <w:vAlign w:val="center"/>
          </w:tcPr>
          <w:p>
            <w:pPr>
              <w:pStyle w:val="107"/>
            </w:pPr>
            <w:r>
              <w:rPr>
                <w:rFonts w:hint="eastAsia"/>
              </w:rPr>
              <w:t>2</w:t>
            </w:r>
          </w:p>
        </w:tc>
        <w:tc>
          <w:tcPr>
            <w:tcW w:w="1060" w:type="dxa"/>
            <w:shd w:val="clear" w:color="auto" w:fill="auto"/>
            <w:noWrap/>
            <w:vAlign w:val="center"/>
          </w:tcPr>
          <w:p>
            <w:pPr>
              <w:pStyle w:val="107"/>
            </w:pPr>
            <w:r>
              <w:rPr>
                <w:rFonts w:hint="eastAsia"/>
              </w:rPr>
              <w:t>硫磺粉</w:t>
            </w:r>
          </w:p>
        </w:tc>
        <w:tc>
          <w:tcPr>
            <w:tcW w:w="803" w:type="dxa"/>
            <w:shd w:val="clear" w:color="auto" w:fill="auto"/>
            <w:noWrap/>
            <w:vAlign w:val="center"/>
          </w:tcPr>
          <w:p>
            <w:pPr>
              <w:pStyle w:val="107"/>
            </w:pPr>
            <w:r>
              <w:t>3</w:t>
            </w:r>
          </w:p>
        </w:tc>
        <w:tc>
          <w:tcPr>
            <w:tcW w:w="1063" w:type="dxa"/>
            <w:shd w:val="clear" w:color="auto" w:fill="auto"/>
            <w:noWrap/>
            <w:vAlign w:val="center"/>
          </w:tcPr>
          <w:p>
            <w:pPr>
              <w:pStyle w:val="107"/>
            </w:pPr>
            <w:r>
              <w:rPr>
                <w:rFonts w:hint="eastAsia"/>
              </w:rPr>
              <w:t>98.00%</w:t>
            </w:r>
          </w:p>
        </w:tc>
        <w:tc>
          <w:tcPr>
            <w:tcW w:w="936" w:type="dxa"/>
            <w:shd w:val="clear" w:color="auto" w:fill="auto"/>
            <w:noWrap/>
            <w:vAlign w:val="center"/>
          </w:tcPr>
          <w:p>
            <w:pPr>
              <w:pStyle w:val="107"/>
            </w:pPr>
            <w:r>
              <w:t>2.94</w:t>
            </w:r>
          </w:p>
        </w:tc>
        <w:tc>
          <w:tcPr>
            <w:tcW w:w="235" w:type="dxa"/>
            <w:vMerge w:val="continue"/>
            <w:shd w:val="clear" w:color="auto" w:fill="auto"/>
            <w:noWrap/>
            <w:vAlign w:val="center"/>
          </w:tcPr>
          <w:p>
            <w:pPr>
              <w:pStyle w:val="107"/>
            </w:pPr>
          </w:p>
        </w:tc>
        <w:tc>
          <w:tcPr>
            <w:tcW w:w="1257" w:type="dxa"/>
            <w:shd w:val="clear" w:color="auto" w:fill="auto"/>
            <w:vAlign w:val="center"/>
          </w:tcPr>
          <w:p>
            <w:pPr>
              <w:pStyle w:val="107"/>
            </w:pPr>
            <w:r>
              <w:rPr>
                <w:rFonts w:hint="eastAsia"/>
              </w:rPr>
              <w:t>密炼废气中H</w:t>
            </w:r>
            <w:r>
              <w:rPr>
                <w:rFonts w:ascii="Arial" w:hAnsi="Arial" w:cs="Arial"/>
                <w:vertAlign w:val="subscript"/>
              </w:rPr>
              <w:t>2</w:t>
            </w:r>
            <w:r>
              <w:rPr>
                <w:rFonts w:ascii="Arial" w:hAnsi="Arial" w:cs="Arial"/>
              </w:rPr>
              <w:t>S</w:t>
            </w:r>
          </w:p>
        </w:tc>
        <w:tc>
          <w:tcPr>
            <w:tcW w:w="948" w:type="dxa"/>
            <w:shd w:val="clear" w:color="auto" w:fill="auto"/>
            <w:noWrap/>
            <w:vAlign w:val="center"/>
          </w:tcPr>
          <w:p>
            <w:pPr>
              <w:pStyle w:val="107"/>
            </w:pPr>
            <w:r>
              <w:rPr>
                <w:rFonts w:hint="eastAsia"/>
              </w:rPr>
              <w:t>0.00</w:t>
            </w:r>
            <w:r>
              <w:t>24</w:t>
            </w:r>
          </w:p>
        </w:tc>
        <w:tc>
          <w:tcPr>
            <w:tcW w:w="968" w:type="dxa"/>
            <w:shd w:val="clear" w:color="auto" w:fill="auto"/>
            <w:noWrap/>
            <w:vAlign w:val="center"/>
          </w:tcPr>
          <w:p>
            <w:pPr>
              <w:pStyle w:val="107"/>
            </w:pPr>
            <w:r>
              <w:rPr>
                <w:rFonts w:hint="eastAsia"/>
              </w:rPr>
              <w:t>94.12%</w:t>
            </w:r>
          </w:p>
        </w:tc>
        <w:tc>
          <w:tcPr>
            <w:tcW w:w="1208" w:type="dxa"/>
            <w:shd w:val="clear" w:color="auto" w:fill="auto"/>
            <w:noWrap/>
            <w:vAlign w:val="center"/>
          </w:tcPr>
          <w:p>
            <w:pPr>
              <w:pStyle w:val="107"/>
            </w:pPr>
            <w:r>
              <w:rPr>
                <w:rFonts w:hint="eastAsia"/>
              </w:rPr>
              <w:t>0</w:t>
            </w:r>
            <w:r>
              <w:t>.00226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trPr>
        <w:tc>
          <w:tcPr>
            <w:tcW w:w="639" w:type="dxa"/>
            <w:shd w:val="clear" w:color="auto" w:fill="auto"/>
            <w:noWrap/>
            <w:vAlign w:val="center"/>
          </w:tcPr>
          <w:p>
            <w:pPr>
              <w:pStyle w:val="107"/>
            </w:pPr>
            <w:r>
              <w:rPr>
                <w:rFonts w:hint="eastAsia"/>
              </w:rPr>
              <w:t>3</w:t>
            </w:r>
          </w:p>
        </w:tc>
        <w:tc>
          <w:tcPr>
            <w:tcW w:w="1060" w:type="dxa"/>
            <w:shd w:val="clear" w:color="auto" w:fill="auto"/>
            <w:noWrap/>
            <w:vAlign w:val="center"/>
          </w:tcPr>
          <w:p>
            <w:pPr>
              <w:pStyle w:val="107"/>
            </w:pPr>
          </w:p>
        </w:tc>
        <w:tc>
          <w:tcPr>
            <w:tcW w:w="803" w:type="dxa"/>
            <w:shd w:val="clear" w:color="auto" w:fill="auto"/>
            <w:noWrap/>
            <w:vAlign w:val="center"/>
          </w:tcPr>
          <w:p>
            <w:pPr>
              <w:pStyle w:val="107"/>
            </w:pPr>
          </w:p>
        </w:tc>
        <w:tc>
          <w:tcPr>
            <w:tcW w:w="1063" w:type="dxa"/>
            <w:shd w:val="clear" w:color="auto" w:fill="auto"/>
            <w:noWrap/>
            <w:vAlign w:val="center"/>
          </w:tcPr>
          <w:p>
            <w:pPr>
              <w:pStyle w:val="107"/>
            </w:pPr>
          </w:p>
        </w:tc>
        <w:tc>
          <w:tcPr>
            <w:tcW w:w="936" w:type="dxa"/>
            <w:shd w:val="clear" w:color="auto" w:fill="auto"/>
            <w:noWrap/>
            <w:vAlign w:val="center"/>
          </w:tcPr>
          <w:p>
            <w:pPr>
              <w:pStyle w:val="107"/>
            </w:pPr>
          </w:p>
        </w:tc>
        <w:tc>
          <w:tcPr>
            <w:tcW w:w="235" w:type="dxa"/>
            <w:vMerge w:val="continue"/>
            <w:shd w:val="clear" w:color="auto" w:fill="auto"/>
            <w:noWrap/>
            <w:vAlign w:val="center"/>
          </w:tcPr>
          <w:p>
            <w:pPr>
              <w:pStyle w:val="107"/>
            </w:pPr>
          </w:p>
        </w:tc>
        <w:tc>
          <w:tcPr>
            <w:tcW w:w="1257" w:type="dxa"/>
            <w:shd w:val="clear" w:color="auto" w:fill="auto"/>
            <w:vAlign w:val="center"/>
          </w:tcPr>
          <w:p>
            <w:pPr>
              <w:pStyle w:val="107"/>
            </w:pPr>
            <w:r>
              <w:rPr>
                <w:rFonts w:hint="eastAsia"/>
              </w:rPr>
              <w:t>开炼废气中H</w:t>
            </w:r>
            <w:r>
              <w:rPr>
                <w:rFonts w:ascii="Arial" w:hAnsi="Arial" w:cs="Arial"/>
                <w:vertAlign w:val="subscript"/>
              </w:rPr>
              <w:t>2</w:t>
            </w:r>
            <w:r>
              <w:rPr>
                <w:rFonts w:ascii="Arial" w:hAnsi="Arial" w:cs="Arial"/>
              </w:rPr>
              <w:t>S</w:t>
            </w:r>
          </w:p>
        </w:tc>
        <w:tc>
          <w:tcPr>
            <w:tcW w:w="948" w:type="dxa"/>
            <w:shd w:val="clear" w:color="auto" w:fill="auto"/>
            <w:noWrap/>
            <w:vAlign w:val="center"/>
          </w:tcPr>
          <w:p>
            <w:pPr>
              <w:pStyle w:val="107"/>
            </w:pPr>
            <w:r>
              <w:rPr>
                <w:rFonts w:hint="eastAsia"/>
              </w:rPr>
              <w:t>0.00</w:t>
            </w:r>
            <w:r>
              <w:t>44</w:t>
            </w:r>
          </w:p>
        </w:tc>
        <w:tc>
          <w:tcPr>
            <w:tcW w:w="968" w:type="dxa"/>
            <w:shd w:val="clear" w:color="auto" w:fill="auto"/>
            <w:noWrap/>
            <w:vAlign w:val="center"/>
          </w:tcPr>
          <w:p>
            <w:pPr>
              <w:pStyle w:val="107"/>
            </w:pPr>
            <w:r>
              <w:rPr>
                <w:rFonts w:hint="eastAsia"/>
              </w:rPr>
              <w:t>94.12%</w:t>
            </w:r>
          </w:p>
        </w:tc>
        <w:tc>
          <w:tcPr>
            <w:tcW w:w="1208" w:type="dxa"/>
            <w:shd w:val="clear" w:color="auto" w:fill="auto"/>
            <w:noWrap/>
            <w:vAlign w:val="center"/>
          </w:tcPr>
          <w:p>
            <w:pPr>
              <w:pStyle w:val="107"/>
            </w:pPr>
            <w:r>
              <w:rPr>
                <w:rFonts w:hint="eastAsia"/>
              </w:rPr>
              <w:t>0</w:t>
            </w:r>
            <w:r>
              <w:t>.00414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trPr>
        <w:tc>
          <w:tcPr>
            <w:tcW w:w="639" w:type="dxa"/>
            <w:shd w:val="clear" w:color="auto" w:fill="auto"/>
            <w:noWrap/>
            <w:vAlign w:val="center"/>
          </w:tcPr>
          <w:p>
            <w:pPr>
              <w:pStyle w:val="107"/>
            </w:pPr>
            <w:r>
              <w:rPr>
                <w:rFonts w:hint="eastAsia"/>
              </w:rPr>
              <w:t>4</w:t>
            </w:r>
          </w:p>
        </w:tc>
        <w:tc>
          <w:tcPr>
            <w:tcW w:w="1060" w:type="dxa"/>
            <w:shd w:val="clear" w:color="auto" w:fill="auto"/>
            <w:noWrap/>
            <w:vAlign w:val="center"/>
          </w:tcPr>
          <w:p>
            <w:pPr>
              <w:pStyle w:val="107"/>
            </w:pPr>
          </w:p>
        </w:tc>
        <w:tc>
          <w:tcPr>
            <w:tcW w:w="803" w:type="dxa"/>
            <w:shd w:val="clear" w:color="auto" w:fill="auto"/>
            <w:noWrap/>
            <w:vAlign w:val="center"/>
          </w:tcPr>
          <w:p>
            <w:pPr>
              <w:pStyle w:val="107"/>
            </w:pPr>
          </w:p>
        </w:tc>
        <w:tc>
          <w:tcPr>
            <w:tcW w:w="1063" w:type="dxa"/>
            <w:shd w:val="clear" w:color="auto" w:fill="auto"/>
            <w:noWrap/>
            <w:vAlign w:val="center"/>
          </w:tcPr>
          <w:p>
            <w:pPr>
              <w:pStyle w:val="107"/>
            </w:pPr>
          </w:p>
        </w:tc>
        <w:tc>
          <w:tcPr>
            <w:tcW w:w="936" w:type="dxa"/>
            <w:shd w:val="clear" w:color="auto" w:fill="auto"/>
            <w:noWrap/>
            <w:vAlign w:val="center"/>
          </w:tcPr>
          <w:p>
            <w:pPr>
              <w:pStyle w:val="107"/>
            </w:pPr>
          </w:p>
        </w:tc>
        <w:tc>
          <w:tcPr>
            <w:tcW w:w="235" w:type="dxa"/>
            <w:vMerge w:val="continue"/>
            <w:shd w:val="clear" w:color="auto" w:fill="auto"/>
            <w:noWrap/>
            <w:vAlign w:val="center"/>
          </w:tcPr>
          <w:p>
            <w:pPr>
              <w:pStyle w:val="107"/>
            </w:pPr>
          </w:p>
        </w:tc>
        <w:tc>
          <w:tcPr>
            <w:tcW w:w="1257" w:type="dxa"/>
            <w:shd w:val="clear" w:color="auto" w:fill="auto"/>
            <w:vAlign w:val="center"/>
          </w:tcPr>
          <w:p>
            <w:pPr>
              <w:pStyle w:val="107"/>
            </w:pPr>
            <w:r>
              <w:rPr>
                <w:rFonts w:hint="eastAsia"/>
              </w:rPr>
              <w:t>硫化废气中H</w:t>
            </w:r>
            <w:r>
              <w:rPr>
                <w:rFonts w:ascii="Arial" w:hAnsi="Arial" w:cs="Arial"/>
                <w:vertAlign w:val="subscript"/>
              </w:rPr>
              <w:t>2</w:t>
            </w:r>
            <w:r>
              <w:rPr>
                <w:rFonts w:ascii="Arial" w:hAnsi="Arial" w:cs="Arial"/>
              </w:rPr>
              <w:t>S</w:t>
            </w:r>
          </w:p>
        </w:tc>
        <w:tc>
          <w:tcPr>
            <w:tcW w:w="948" w:type="dxa"/>
            <w:shd w:val="clear" w:color="auto" w:fill="auto"/>
            <w:noWrap/>
            <w:vAlign w:val="center"/>
          </w:tcPr>
          <w:p>
            <w:pPr>
              <w:pStyle w:val="107"/>
            </w:pPr>
            <w:r>
              <w:rPr>
                <w:rFonts w:hint="eastAsia"/>
              </w:rPr>
              <w:t>0.00</w:t>
            </w:r>
            <w:r>
              <w:t>44</w:t>
            </w:r>
          </w:p>
        </w:tc>
        <w:tc>
          <w:tcPr>
            <w:tcW w:w="968" w:type="dxa"/>
            <w:shd w:val="clear" w:color="auto" w:fill="auto"/>
            <w:noWrap/>
            <w:vAlign w:val="center"/>
          </w:tcPr>
          <w:p>
            <w:pPr>
              <w:pStyle w:val="107"/>
            </w:pPr>
            <w:r>
              <w:rPr>
                <w:rFonts w:hint="eastAsia"/>
              </w:rPr>
              <w:t>94.12%</w:t>
            </w:r>
          </w:p>
        </w:tc>
        <w:tc>
          <w:tcPr>
            <w:tcW w:w="1208" w:type="dxa"/>
            <w:shd w:val="clear" w:color="auto" w:fill="auto"/>
            <w:noWrap/>
            <w:vAlign w:val="center"/>
          </w:tcPr>
          <w:p>
            <w:pPr>
              <w:pStyle w:val="107"/>
            </w:pPr>
            <w:r>
              <w:rPr>
                <w:rFonts w:hint="eastAsia"/>
              </w:rPr>
              <w:t>0</w:t>
            </w:r>
            <w:r>
              <w:t>.00414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trPr>
        <w:tc>
          <w:tcPr>
            <w:tcW w:w="639" w:type="dxa"/>
            <w:shd w:val="clear" w:color="auto" w:fill="auto"/>
            <w:noWrap/>
            <w:vAlign w:val="center"/>
          </w:tcPr>
          <w:p>
            <w:pPr>
              <w:pStyle w:val="107"/>
            </w:pPr>
            <w:r>
              <w:rPr>
                <w:rFonts w:hint="eastAsia"/>
              </w:rPr>
              <w:t>5</w:t>
            </w:r>
          </w:p>
        </w:tc>
        <w:tc>
          <w:tcPr>
            <w:tcW w:w="1060" w:type="dxa"/>
            <w:shd w:val="clear" w:color="auto" w:fill="auto"/>
            <w:noWrap/>
            <w:vAlign w:val="center"/>
          </w:tcPr>
          <w:p>
            <w:pPr>
              <w:pStyle w:val="107"/>
            </w:pPr>
          </w:p>
        </w:tc>
        <w:tc>
          <w:tcPr>
            <w:tcW w:w="803" w:type="dxa"/>
            <w:shd w:val="clear" w:color="auto" w:fill="auto"/>
            <w:noWrap/>
            <w:vAlign w:val="center"/>
          </w:tcPr>
          <w:p>
            <w:pPr>
              <w:pStyle w:val="107"/>
            </w:pPr>
          </w:p>
        </w:tc>
        <w:tc>
          <w:tcPr>
            <w:tcW w:w="1063" w:type="dxa"/>
            <w:shd w:val="clear" w:color="auto" w:fill="auto"/>
            <w:noWrap/>
            <w:vAlign w:val="center"/>
          </w:tcPr>
          <w:p>
            <w:pPr>
              <w:pStyle w:val="107"/>
            </w:pPr>
          </w:p>
        </w:tc>
        <w:tc>
          <w:tcPr>
            <w:tcW w:w="936" w:type="dxa"/>
            <w:shd w:val="clear" w:color="auto" w:fill="auto"/>
            <w:noWrap/>
            <w:vAlign w:val="center"/>
          </w:tcPr>
          <w:p>
            <w:pPr>
              <w:pStyle w:val="107"/>
            </w:pPr>
          </w:p>
        </w:tc>
        <w:tc>
          <w:tcPr>
            <w:tcW w:w="235" w:type="dxa"/>
            <w:vMerge w:val="continue"/>
            <w:shd w:val="clear" w:color="auto" w:fill="auto"/>
            <w:noWrap/>
            <w:vAlign w:val="center"/>
          </w:tcPr>
          <w:p>
            <w:pPr>
              <w:pStyle w:val="107"/>
            </w:pPr>
          </w:p>
        </w:tc>
        <w:tc>
          <w:tcPr>
            <w:tcW w:w="1257" w:type="dxa"/>
            <w:shd w:val="clear" w:color="auto" w:fill="auto"/>
            <w:noWrap/>
            <w:vAlign w:val="center"/>
          </w:tcPr>
          <w:p>
            <w:pPr>
              <w:pStyle w:val="107"/>
            </w:pPr>
            <w:r>
              <w:rPr>
                <w:rFonts w:hint="eastAsia"/>
              </w:rPr>
              <w:t>切胶边角料</w:t>
            </w:r>
          </w:p>
        </w:tc>
        <w:tc>
          <w:tcPr>
            <w:tcW w:w="948" w:type="dxa"/>
            <w:shd w:val="clear" w:color="auto" w:fill="auto"/>
            <w:vAlign w:val="center"/>
          </w:tcPr>
          <w:p>
            <w:pPr>
              <w:pStyle w:val="107"/>
            </w:pPr>
            <w:r>
              <w:t>8</w:t>
            </w:r>
            <w:r>
              <w:rPr>
                <w:rFonts w:hint="eastAsia"/>
              </w:rPr>
              <w:t xml:space="preserve"> </w:t>
            </w:r>
          </w:p>
        </w:tc>
        <w:tc>
          <w:tcPr>
            <w:tcW w:w="968" w:type="dxa"/>
            <w:shd w:val="clear" w:color="auto" w:fill="auto"/>
            <w:noWrap/>
          </w:tcPr>
          <w:p>
            <w:pPr>
              <w:pStyle w:val="107"/>
            </w:pPr>
            <w:r>
              <w:t>0.5632</w:t>
            </w:r>
            <w:r>
              <w:rPr>
                <w:rFonts w:hint="eastAsia"/>
              </w:rPr>
              <w:t>%</w:t>
            </w:r>
          </w:p>
        </w:tc>
        <w:tc>
          <w:tcPr>
            <w:tcW w:w="1208" w:type="dxa"/>
            <w:shd w:val="clear" w:color="auto" w:fill="auto"/>
            <w:noWrap/>
            <w:vAlign w:val="center"/>
          </w:tcPr>
          <w:p>
            <w:pPr>
              <w:pStyle w:val="107"/>
            </w:pPr>
            <w:r>
              <w:rPr>
                <w:rFonts w:hint="eastAsia"/>
              </w:rPr>
              <w:t>0</w:t>
            </w:r>
            <w:r>
              <w:t>.04506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blHeader/>
        </w:trPr>
        <w:tc>
          <w:tcPr>
            <w:tcW w:w="639" w:type="dxa"/>
            <w:shd w:val="clear" w:color="auto" w:fill="auto"/>
            <w:noWrap/>
            <w:vAlign w:val="center"/>
          </w:tcPr>
          <w:p>
            <w:pPr>
              <w:pStyle w:val="107"/>
            </w:pPr>
            <w:r>
              <w:rPr>
                <w:rFonts w:hint="eastAsia"/>
              </w:rPr>
              <w:t>6</w:t>
            </w:r>
          </w:p>
        </w:tc>
        <w:tc>
          <w:tcPr>
            <w:tcW w:w="1060" w:type="dxa"/>
            <w:shd w:val="clear" w:color="auto" w:fill="auto"/>
            <w:noWrap/>
            <w:vAlign w:val="center"/>
          </w:tcPr>
          <w:p>
            <w:pPr>
              <w:pStyle w:val="107"/>
            </w:pPr>
          </w:p>
        </w:tc>
        <w:tc>
          <w:tcPr>
            <w:tcW w:w="803" w:type="dxa"/>
            <w:shd w:val="clear" w:color="auto" w:fill="auto"/>
            <w:noWrap/>
            <w:vAlign w:val="center"/>
          </w:tcPr>
          <w:p>
            <w:pPr>
              <w:pStyle w:val="107"/>
            </w:pPr>
          </w:p>
        </w:tc>
        <w:tc>
          <w:tcPr>
            <w:tcW w:w="1063" w:type="dxa"/>
            <w:shd w:val="clear" w:color="auto" w:fill="auto"/>
            <w:noWrap/>
            <w:vAlign w:val="center"/>
          </w:tcPr>
          <w:p>
            <w:pPr>
              <w:pStyle w:val="107"/>
            </w:pPr>
          </w:p>
        </w:tc>
        <w:tc>
          <w:tcPr>
            <w:tcW w:w="936" w:type="dxa"/>
            <w:shd w:val="clear" w:color="auto" w:fill="auto"/>
            <w:noWrap/>
            <w:vAlign w:val="center"/>
          </w:tcPr>
          <w:p>
            <w:pPr>
              <w:pStyle w:val="107"/>
            </w:pPr>
          </w:p>
        </w:tc>
        <w:tc>
          <w:tcPr>
            <w:tcW w:w="235" w:type="dxa"/>
            <w:vMerge w:val="continue"/>
            <w:shd w:val="clear" w:color="auto" w:fill="auto"/>
            <w:noWrap/>
            <w:vAlign w:val="center"/>
          </w:tcPr>
          <w:p>
            <w:pPr>
              <w:pStyle w:val="107"/>
            </w:pPr>
          </w:p>
        </w:tc>
        <w:tc>
          <w:tcPr>
            <w:tcW w:w="1257" w:type="dxa"/>
            <w:shd w:val="clear" w:color="auto" w:fill="auto"/>
            <w:noWrap/>
            <w:vAlign w:val="center"/>
          </w:tcPr>
          <w:p>
            <w:pPr>
              <w:pStyle w:val="107"/>
            </w:pPr>
            <w:r>
              <w:rPr>
                <w:rFonts w:hint="eastAsia"/>
              </w:rPr>
              <w:t>修边边角料</w:t>
            </w:r>
          </w:p>
        </w:tc>
        <w:tc>
          <w:tcPr>
            <w:tcW w:w="948" w:type="dxa"/>
            <w:shd w:val="clear" w:color="auto" w:fill="auto"/>
            <w:vAlign w:val="center"/>
          </w:tcPr>
          <w:p>
            <w:pPr>
              <w:pStyle w:val="107"/>
            </w:pPr>
            <w:r>
              <w:t>2</w:t>
            </w:r>
            <w:r>
              <w:rPr>
                <w:rFonts w:hint="eastAsia"/>
              </w:rPr>
              <w:t xml:space="preserve"> </w:t>
            </w:r>
          </w:p>
        </w:tc>
        <w:tc>
          <w:tcPr>
            <w:tcW w:w="968" w:type="dxa"/>
            <w:shd w:val="clear" w:color="auto" w:fill="auto"/>
            <w:noWrap/>
          </w:tcPr>
          <w:p>
            <w:pPr>
              <w:pStyle w:val="107"/>
            </w:pPr>
            <w:r>
              <w:t>0.5632</w:t>
            </w:r>
            <w:r>
              <w:rPr>
                <w:rFonts w:hint="eastAsia"/>
              </w:rPr>
              <w:t>%</w:t>
            </w:r>
          </w:p>
        </w:tc>
        <w:tc>
          <w:tcPr>
            <w:tcW w:w="1208" w:type="dxa"/>
            <w:shd w:val="clear" w:color="auto" w:fill="auto"/>
            <w:noWrap/>
            <w:vAlign w:val="center"/>
          </w:tcPr>
          <w:p>
            <w:pPr>
              <w:pStyle w:val="107"/>
            </w:pPr>
            <w:r>
              <w:rPr>
                <w:rFonts w:hint="eastAsia"/>
              </w:rPr>
              <w:t>0</w:t>
            </w:r>
            <w:r>
              <w:t>.01126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blHeader/>
        </w:trPr>
        <w:tc>
          <w:tcPr>
            <w:tcW w:w="639" w:type="dxa"/>
            <w:shd w:val="clear" w:color="auto" w:fill="auto"/>
            <w:noWrap/>
            <w:vAlign w:val="center"/>
          </w:tcPr>
          <w:p>
            <w:pPr>
              <w:pStyle w:val="107"/>
            </w:pPr>
            <w:r>
              <w:rPr>
                <w:rFonts w:hint="eastAsia"/>
              </w:rPr>
              <w:t>7</w:t>
            </w:r>
          </w:p>
        </w:tc>
        <w:tc>
          <w:tcPr>
            <w:tcW w:w="1060" w:type="dxa"/>
            <w:shd w:val="clear" w:color="auto" w:fill="auto"/>
            <w:noWrap/>
            <w:vAlign w:val="center"/>
          </w:tcPr>
          <w:p>
            <w:pPr>
              <w:pStyle w:val="107"/>
            </w:pPr>
          </w:p>
        </w:tc>
        <w:tc>
          <w:tcPr>
            <w:tcW w:w="803" w:type="dxa"/>
            <w:shd w:val="clear" w:color="auto" w:fill="auto"/>
            <w:noWrap/>
            <w:vAlign w:val="center"/>
          </w:tcPr>
          <w:p>
            <w:pPr>
              <w:pStyle w:val="107"/>
            </w:pPr>
          </w:p>
        </w:tc>
        <w:tc>
          <w:tcPr>
            <w:tcW w:w="1063" w:type="dxa"/>
            <w:shd w:val="clear" w:color="auto" w:fill="auto"/>
            <w:noWrap/>
            <w:vAlign w:val="center"/>
          </w:tcPr>
          <w:p>
            <w:pPr>
              <w:pStyle w:val="107"/>
            </w:pPr>
          </w:p>
        </w:tc>
        <w:tc>
          <w:tcPr>
            <w:tcW w:w="936" w:type="dxa"/>
            <w:shd w:val="clear" w:color="auto" w:fill="auto"/>
            <w:noWrap/>
            <w:vAlign w:val="center"/>
          </w:tcPr>
          <w:p>
            <w:pPr>
              <w:pStyle w:val="107"/>
            </w:pPr>
          </w:p>
        </w:tc>
        <w:tc>
          <w:tcPr>
            <w:tcW w:w="235" w:type="dxa"/>
            <w:vMerge w:val="continue"/>
            <w:shd w:val="clear" w:color="auto" w:fill="auto"/>
            <w:noWrap/>
            <w:vAlign w:val="center"/>
          </w:tcPr>
          <w:p>
            <w:pPr>
              <w:pStyle w:val="107"/>
            </w:pPr>
          </w:p>
        </w:tc>
        <w:tc>
          <w:tcPr>
            <w:tcW w:w="1257" w:type="dxa"/>
            <w:shd w:val="clear" w:color="auto" w:fill="auto"/>
            <w:noWrap/>
            <w:vAlign w:val="center"/>
          </w:tcPr>
          <w:p>
            <w:pPr>
              <w:pStyle w:val="107"/>
            </w:pPr>
            <w:r>
              <w:rPr>
                <w:rFonts w:hint="eastAsia"/>
              </w:rPr>
              <w:t>不合格品</w:t>
            </w:r>
          </w:p>
        </w:tc>
        <w:tc>
          <w:tcPr>
            <w:tcW w:w="948" w:type="dxa"/>
            <w:shd w:val="clear" w:color="auto" w:fill="auto"/>
            <w:vAlign w:val="center"/>
          </w:tcPr>
          <w:p>
            <w:pPr>
              <w:pStyle w:val="107"/>
            </w:pPr>
            <w:r>
              <w:rPr>
                <w:rFonts w:hint="eastAsia"/>
              </w:rPr>
              <w:t>9.</w:t>
            </w:r>
            <w:r>
              <w:t>2627</w:t>
            </w:r>
            <w:r>
              <w:rPr>
                <w:rFonts w:hint="eastAsia"/>
              </w:rPr>
              <w:t xml:space="preserve"> </w:t>
            </w:r>
          </w:p>
        </w:tc>
        <w:tc>
          <w:tcPr>
            <w:tcW w:w="968" w:type="dxa"/>
            <w:shd w:val="clear" w:color="auto" w:fill="auto"/>
            <w:noWrap/>
          </w:tcPr>
          <w:p>
            <w:pPr>
              <w:pStyle w:val="107"/>
            </w:pPr>
            <w:r>
              <w:t>0.5632</w:t>
            </w:r>
            <w:r>
              <w:rPr>
                <w:rFonts w:hint="eastAsia"/>
              </w:rPr>
              <w:t>%</w:t>
            </w:r>
          </w:p>
        </w:tc>
        <w:tc>
          <w:tcPr>
            <w:tcW w:w="1208" w:type="dxa"/>
            <w:shd w:val="clear" w:color="auto" w:fill="auto"/>
            <w:noWrap/>
            <w:vAlign w:val="center"/>
          </w:tcPr>
          <w:p>
            <w:pPr>
              <w:pStyle w:val="107"/>
            </w:pPr>
            <w:r>
              <w:rPr>
                <w:rFonts w:hint="eastAsia"/>
              </w:rPr>
              <w:t>0</w:t>
            </w:r>
            <w:r>
              <w:t>.05217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blHeader/>
        </w:trPr>
        <w:tc>
          <w:tcPr>
            <w:tcW w:w="3565" w:type="dxa"/>
            <w:gridSpan w:val="4"/>
            <w:shd w:val="clear" w:color="auto" w:fill="auto"/>
            <w:noWrap/>
            <w:vAlign w:val="center"/>
          </w:tcPr>
          <w:p>
            <w:pPr>
              <w:pStyle w:val="107"/>
            </w:pPr>
            <w:r>
              <w:rPr>
                <w:rFonts w:hint="eastAsia"/>
              </w:rPr>
              <w:t>合计</w:t>
            </w:r>
          </w:p>
        </w:tc>
        <w:tc>
          <w:tcPr>
            <w:tcW w:w="936" w:type="dxa"/>
            <w:shd w:val="clear" w:color="auto" w:fill="auto"/>
            <w:noWrap/>
            <w:vAlign w:val="center"/>
          </w:tcPr>
          <w:p>
            <w:pPr>
              <w:pStyle w:val="107"/>
            </w:pPr>
            <w:r>
              <w:t>4.94</w:t>
            </w:r>
            <w:r>
              <w:rPr>
                <w:rFonts w:hint="eastAsia"/>
              </w:rPr>
              <w:t xml:space="preserve"> </w:t>
            </w:r>
          </w:p>
        </w:tc>
        <w:tc>
          <w:tcPr>
            <w:tcW w:w="235" w:type="dxa"/>
            <w:vMerge w:val="continue"/>
            <w:shd w:val="clear" w:color="auto" w:fill="auto"/>
            <w:noWrap/>
            <w:vAlign w:val="center"/>
          </w:tcPr>
          <w:p>
            <w:pPr>
              <w:pStyle w:val="107"/>
            </w:pPr>
          </w:p>
        </w:tc>
        <w:tc>
          <w:tcPr>
            <w:tcW w:w="3173" w:type="dxa"/>
            <w:gridSpan w:val="3"/>
            <w:shd w:val="clear" w:color="auto" w:fill="auto"/>
            <w:noWrap/>
            <w:vAlign w:val="center"/>
          </w:tcPr>
          <w:p>
            <w:pPr>
              <w:pStyle w:val="107"/>
            </w:pPr>
            <w:r>
              <w:rPr>
                <w:rFonts w:hint="eastAsia"/>
              </w:rPr>
              <w:t>合计</w:t>
            </w:r>
          </w:p>
        </w:tc>
        <w:tc>
          <w:tcPr>
            <w:tcW w:w="1208" w:type="dxa"/>
            <w:shd w:val="clear" w:color="auto" w:fill="auto"/>
            <w:noWrap/>
            <w:vAlign w:val="center"/>
          </w:tcPr>
          <w:p>
            <w:pPr>
              <w:pStyle w:val="107"/>
            </w:pPr>
            <w:r>
              <w:t>4.94</w:t>
            </w:r>
          </w:p>
        </w:tc>
      </w:tr>
    </w:tbl>
    <w:p>
      <w:pPr>
        <w:pStyle w:val="107"/>
        <w:jc w:val="left"/>
      </w:pPr>
      <w:r>
        <w:rPr>
          <w:rFonts w:hint="eastAsia"/>
        </w:rPr>
        <w:t>注：表中橡胶制品、边角料、不合格品含硫率为通过物料平衡得出的比率。</w:t>
      </w:r>
    </w:p>
    <w:p>
      <w:pPr>
        <w:pStyle w:val="107"/>
        <w:keepNext/>
      </w:pPr>
      <w:r>
        <w:drawing>
          <wp:inline distT="0" distB="0" distL="0" distR="0">
            <wp:extent cx="4182110" cy="5817870"/>
            <wp:effectExtent l="0" t="0" r="889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1"/>
                    <a:stretch>
                      <a:fillRect/>
                    </a:stretch>
                  </pic:blipFill>
                  <pic:spPr>
                    <a:xfrm>
                      <a:off x="0" y="0"/>
                      <a:ext cx="4188711" cy="5827424"/>
                    </a:xfrm>
                    <a:prstGeom prst="rect">
                      <a:avLst/>
                    </a:prstGeom>
                  </pic:spPr>
                </pic:pic>
              </a:graphicData>
            </a:graphic>
          </wp:inline>
        </w:drawing>
      </w:r>
    </w:p>
    <w:p>
      <w:pPr>
        <w:pStyle w:val="18"/>
      </w:pPr>
      <w:bookmarkStart w:id="198" w:name="_Ref531337301"/>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2.6</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bookmarkEnd w:id="198"/>
      <w:r>
        <w:t xml:space="preserve"> </w:t>
      </w:r>
      <w:r>
        <w:rPr>
          <w:rFonts w:hint="eastAsia"/>
        </w:rPr>
        <w:t>橡胶生产过程物料平衡图（单位：t</w:t>
      </w:r>
      <w:r>
        <w:t>/a</w:t>
      </w:r>
      <w:r>
        <w:rPr>
          <w:rFonts w:hint="eastAsia"/>
        </w:rPr>
        <w:t>）</w:t>
      </w:r>
    </w:p>
    <w:p>
      <w:pPr>
        <w:pStyle w:val="5"/>
      </w:pPr>
      <w:bookmarkStart w:id="199" w:name="_Hlk3505079"/>
      <w:r>
        <w:rPr>
          <w:rFonts w:hint="eastAsia"/>
        </w:rPr>
        <w:t>水平衡</w:t>
      </w:r>
    </w:p>
    <w:bookmarkEnd w:id="199"/>
    <w:p>
      <w:pPr>
        <w:ind w:firstLine="480"/>
        <w:rPr>
          <w:rFonts w:eastAsiaTheme="minorEastAsia"/>
        </w:rPr>
      </w:pPr>
      <w:r>
        <w:rPr>
          <w:rFonts w:hint="eastAsia" w:eastAsiaTheme="minorEastAsia"/>
        </w:rPr>
        <w:t>根据项目给排水工程分析，项目用水包括循环冷却用水、员工办公生活用水，总用水量为</w:t>
      </w:r>
      <w:r>
        <w:rPr>
          <w:rFonts w:eastAsiaTheme="minorEastAsia"/>
        </w:rPr>
        <w:t>746</w:t>
      </w:r>
      <w:r>
        <w:rPr>
          <w:rFonts w:hint="eastAsia" w:eastAsiaTheme="minorEastAsia"/>
        </w:rPr>
        <w:t>m</w:t>
      </w:r>
      <w:r>
        <w:rPr>
          <w:rFonts w:eastAsiaTheme="minorEastAsia"/>
          <w:vertAlign w:val="superscript"/>
        </w:rPr>
        <w:t>3</w:t>
      </w:r>
      <w:r>
        <w:rPr>
          <w:rFonts w:eastAsiaTheme="minorEastAsia"/>
        </w:rPr>
        <w:t>/</w:t>
      </w:r>
      <w:r>
        <w:rPr>
          <w:rFonts w:hint="eastAsia" w:eastAsiaTheme="minorEastAsia"/>
        </w:rPr>
        <w:t>a；项目废水主要为生活污水，排放量约为</w:t>
      </w:r>
      <w:r>
        <w:rPr>
          <w:rFonts w:eastAsiaTheme="minorEastAsia"/>
        </w:rPr>
        <w:t>324</w:t>
      </w:r>
      <w:r>
        <w:rPr>
          <w:rFonts w:hint="eastAsia" w:eastAsiaTheme="minorEastAsia"/>
        </w:rPr>
        <w:t>m</w:t>
      </w:r>
      <w:r>
        <w:rPr>
          <w:rFonts w:eastAsiaTheme="minorEastAsia"/>
          <w:vertAlign w:val="superscript"/>
        </w:rPr>
        <w:t>3</w:t>
      </w:r>
      <w:r>
        <w:rPr>
          <w:rFonts w:eastAsiaTheme="minorEastAsia"/>
        </w:rPr>
        <w:t>/</w:t>
      </w:r>
      <w:r>
        <w:rPr>
          <w:rFonts w:hint="eastAsia" w:eastAsiaTheme="minorEastAsia"/>
        </w:rPr>
        <w:t>a。全厂用水排水量见</w:t>
      </w:r>
      <w:r>
        <w:rPr>
          <w:rFonts w:eastAsiaTheme="minorEastAsia"/>
        </w:rPr>
        <w:fldChar w:fldCharType="begin"/>
      </w:r>
      <w:r>
        <w:rPr>
          <w:rFonts w:eastAsiaTheme="minorEastAsia"/>
        </w:rPr>
        <w:instrText xml:space="preserve"> </w:instrText>
      </w:r>
      <w:r>
        <w:rPr>
          <w:rFonts w:hint="eastAsia" w:eastAsiaTheme="minorEastAsia"/>
        </w:rPr>
        <w:instrText xml:space="preserve">REF _Ref527319012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2.6</w:t>
      </w:r>
      <w:r>
        <w:rPr>
          <w:rFonts w:eastAsiaTheme="minorEastAsia"/>
        </w:rPr>
        <w:noBreakHyphen/>
      </w:r>
      <w:r>
        <w:rPr>
          <w:rFonts w:eastAsiaTheme="minorEastAsia"/>
        </w:rPr>
        <w:t>3</w:t>
      </w:r>
      <w:r>
        <w:rPr>
          <w:rFonts w:eastAsiaTheme="minorEastAsia"/>
        </w:rPr>
        <w:fldChar w:fldCharType="end"/>
      </w:r>
      <w:r>
        <w:rPr>
          <w:rFonts w:hint="eastAsia" w:eastAsiaTheme="minorEastAsia"/>
        </w:rPr>
        <w:t>，项目给排水平衡图见</w:t>
      </w:r>
      <w:r>
        <w:rPr>
          <w:rFonts w:eastAsiaTheme="minorEastAsia"/>
        </w:rPr>
        <w:fldChar w:fldCharType="begin"/>
      </w:r>
      <w:r>
        <w:rPr>
          <w:rFonts w:eastAsiaTheme="minorEastAsia"/>
        </w:rPr>
        <w:instrText xml:space="preserve"> </w:instrText>
      </w:r>
      <w:r>
        <w:rPr>
          <w:rFonts w:hint="eastAsia" w:eastAsiaTheme="minorEastAsia"/>
        </w:rPr>
        <w:instrText xml:space="preserve">REF _Ref527319038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2.6</w:t>
      </w:r>
      <w:r>
        <w:rPr>
          <w:rFonts w:eastAsiaTheme="minorEastAsia"/>
        </w:rPr>
        <w:noBreakHyphen/>
      </w:r>
      <w:r>
        <w:rPr>
          <w:rFonts w:eastAsiaTheme="minorEastAsia"/>
        </w:rPr>
        <w:t>2</w:t>
      </w:r>
      <w:r>
        <w:rPr>
          <w:rFonts w:eastAsiaTheme="minorEastAsia"/>
        </w:rPr>
        <w:fldChar w:fldCharType="end"/>
      </w:r>
      <w:r>
        <w:rPr>
          <w:rFonts w:hint="eastAsia" w:eastAsiaTheme="minorEastAsia"/>
        </w:rPr>
        <w:t>。</w:t>
      </w:r>
    </w:p>
    <w:p>
      <w:pPr>
        <w:pStyle w:val="18"/>
      </w:pPr>
      <w:bookmarkStart w:id="200" w:name="_Ref527319012"/>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2.6</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bookmarkEnd w:id="200"/>
      <w:r>
        <w:rPr>
          <w:rFonts w:hint="eastAsia"/>
        </w:rPr>
        <w:t>厂区用水、排水情况统计表（m</w:t>
      </w:r>
      <w:r>
        <w:rPr>
          <w:vertAlign w:val="superscript"/>
        </w:rPr>
        <w:t>3</w:t>
      </w:r>
      <w:r>
        <w:t>/</w:t>
      </w:r>
      <w:r>
        <w:rPr>
          <w:rFonts w:hint="eastAsia"/>
        </w:rPr>
        <w:t>a）</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4"/>
        <w:gridCol w:w="1196"/>
        <w:gridCol w:w="1196"/>
        <w:gridCol w:w="1245"/>
        <w:gridCol w:w="1249"/>
        <w:gridCol w:w="1475"/>
        <w:gridCol w:w="10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trPr>
        <w:tc>
          <w:tcPr>
            <w:tcW w:w="1724" w:type="dxa"/>
            <w:shd w:val="clear" w:color="auto" w:fill="D8D8D8" w:themeFill="background1" w:themeFillShade="D9"/>
            <w:vAlign w:val="center"/>
          </w:tcPr>
          <w:p>
            <w:pPr>
              <w:pStyle w:val="107"/>
              <w:rPr>
                <w:b/>
              </w:rPr>
            </w:pPr>
            <w:r>
              <w:rPr>
                <w:rFonts w:hint="eastAsia"/>
                <w:b/>
              </w:rPr>
              <w:t>工序</w:t>
            </w:r>
          </w:p>
        </w:tc>
        <w:tc>
          <w:tcPr>
            <w:tcW w:w="1196" w:type="dxa"/>
            <w:shd w:val="clear" w:color="auto" w:fill="D8D8D8" w:themeFill="background1" w:themeFillShade="D9"/>
            <w:vAlign w:val="center"/>
          </w:tcPr>
          <w:p>
            <w:pPr>
              <w:pStyle w:val="107"/>
              <w:rPr>
                <w:b/>
              </w:rPr>
            </w:pPr>
            <w:r>
              <w:rPr>
                <w:rFonts w:hint="eastAsia"/>
                <w:b/>
              </w:rPr>
              <w:t>新鲜水量</w:t>
            </w:r>
          </w:p>
        </w:tc>
        <w:tc>
          <w:tcPr>
            <w:tcW w:w="1196" w:type="dxa"/>
            <w:shd w:val="clear" w:color="auto" w:fill="D8D8D8" w:themeFill="background1" w:themeFillShade="D9"/>
            <w:vAlign w:val="center"/>
          </w:tcPr>
          <w:p>
            <w:pPr>
              <w:pStyle w:val="107"/>
              <w:rPr>
                <w:b/>
              </w:rPr>
            </w:pPr>
            <w:r>
              <w:rPr>
                <w:rFonts w:hint="eastAsia"/>
                <w:b/>
              </w:rPr>
              <w:t>损耗量</w:t>
            </w:r>
          </w:p>
        </w:tc>
        <w:tc>
          <w:tcPr>
            <w:tcW w:w="1245" w:type="dxa"/>
            <w:shd w:val="clear" w:color="auto" w:fill="D8D8D8" w:themeFill="background1" w:themeFillShade="D9"/>
            <w:vAlign w:val="center"/>
          </w:tcPr>
          <w:p>
            <w:pPr>
              <w:pStyle w:val="107"/>
              <w:rPr>
                <w:b/>
              </w:rPr>
            </w:pPr>
            <w:r>
              <w:rPr>
                <w:rFonts w:hint="eastAsia"/>
                <w:b/>
              </w:rPr>
              <w:t>循环用水量</w:t>
            </w:r>
          </w:p>
        </w:tc>
        <w:tc>
          <w:tcPr>
            <w:tcW w:w="1249" w:type="dxa"/>
            <w:shd w:val="clear" w:color="auto" w:fill="D8D8D8" w:themeFill="background1" w:themeFillShade="D9"/>
            <w:vAlign w:val="center"/>
          </w:tcPr>
          <w:p>
            <w:pPr>
              <w:pStyle w:val="107"/>
              <w:rPr>
                <w:b/>
              </w:rPr>
            </w:pPr>
            <w:r>
              <w:rPr>
                <w:rFonts w:hint="eastAsia"/>
                <w:b/>
              </w:rPr>
              <w:t>废水产生量</w:t>
            </w:r>
          </w:p>
        </w:tc>
        <w:tc>
          <w:tcPr>
            <w:tcW w:w="1475" w:type="dxa"/>
            <w:shd w:val="clear" w:color="auto" w:fill="D8D8D8" w:themeFill="background1" w:themeFillShade="D9"/>
            <w:vAlign w:val="center"/>
          </w:tcPr>
          <w:p>
            <w:pPr>
              <w:pStyle w:val="107"/>
              <w:rPr>
                <w:b/>
              </w:rPr>
            </w:pPr>
            <w:r>
              <w:rPr>
                <w:rFonts w:hint="eastAsia"/>
                <w:b/>
              </w:rPr>
              <w:t>回用水量</w:t>
            </w:r>
          </w:p>
        </w:tc>
        <w:tc>
          <w:tcPr>
            <w:tcW w:w="1032" w:type="dxa"/>
            <w:shd w:val="clear" w:color="auto" w:fill="D8D8D8" w:themeFill="background1" w:themeFillShade="D9"/>
            <w:vAlign w:val="center"/>
          </w:tcPr>
          <w:p>
            <w:pPr>
              <w:pStyle w:val="107"/>
              <w:rPr>
                <w:b/>
              </w:rPr>
            </w:pPr>
            <w:r>
              <w:rPr>
                <w:rFonts w:hint="eastAsia"/>
                <w:b/>
              </w:rPr>
              <w:t>排放水量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724" w:type="dxa"/>
            <w:shd w:val="clear" w:color="auto" w:fill="auto"/>
            <w:vAlign w:val="center"/>
          </w:tcPr>
          <w:p>
            <w:pPr>
              <w:pStyle w:val="107"/>
            </w:pPr>
            <w:r>
              <w:rPr>
                <w:rFonts w:hint="eastAsia"/>
              </w:rPr>
              <w:t>设备循环冷却水补水</w:t>
            </w:r>
          </w:p>
        </w:tc>
        <w:tc>
          <w:tcPr>
            <w:tcW w:w="1196" w:type="dxa"/>
            <w:shd w:val="clear" w:color="auto" w:fill="auto"/>
            <w:vAlign w:val="center"/>
          </w:tcPr>
          <w:p>
            <w:pPr>
              <w:pStyle w:val="107"/>
            </w:pPr>
            <w:r>
              <w:t>336</w:t>
            </w:r>
          </w:p>
        </w:tc>
        <w:tc>
          <w:tcPr>
            <w:tcW w:w="1196" w:type="dxa"/>
            <w:shd w:val="clear" w:color="auto" w:fill="auto"/>
            <w:vAlign w:val="center"/>
          </w:tcPr>
          <w:p>
            <w:pPr>
              <w:pStyle w:val="107"/>
            </w:pPr>
            <w:r>
              <w:t>336</w:t>
            </w:r>
          </w:p>
        </w:tc>
        <w:tc>
          <w:tcPr>
            <w:tcW w:w="1245" w:type="dxa"/>
            <w:shd w:val="clear" w:color="auto" w:fill="auto"/>
            <w:vAlign w:val="center"/>
          </w:tcPr>
          <w:p>
            <w:pPr>
              <w:pStyle w:val="107"/>
            </w:pPr>
            <w:r>
              <w:t>12000</w:t>
            </w:r>
          </w:p>
        </w:tc>
        <w:tc>
          <w:tcPr>
            <w:tcW w:w="1249" w:type="dxa"/>
            <w:shd w:val="clear" w:color="auto" w:fill="auto"/>
            <w:vAlign w:val="center"/>
          </w:tcPr>
          <w:p>
            <w:pPr>
              <w:pStyle w:val="107"/>
            </w:pPr>
            <w:r>
              <w:rPr>
                <w:rFonts w:hint="eastAsia"/>
              </w:rPr>
              <w:t>0</w:t>
            </w:r>
          </w:p>
        </w:tc>
        <w:tc>
          <w:tcPr>
            <w:tcW w:w="1475" w:type="dxa"/>
            <w:shd w:val="clear" w:color="auto" w:fill="auto"/>
            <w:vAlign w:val="center"/>
          </w:tcPr>
          <w:p>
            <w:pPr>
              <w:pStyle w:val="107"/>
            </w:pPr>
            <w:r>
              <w:rPr>
                <w:rFonts w:hint="eastAsia"/>
              </w:rPr>
              <w:t>0</w:t>
            </w:r>
          </w:p>
        </w:tc>
        <w:tc>
          <w:tcPr>
            <w:tcW w:w="1032" w:type="dxa"/>
            <w:shd w:val="clear" w:color="auto" w:fill="auto"/>
            <w:vAlign w:val="center"/>
          </w:tcPr>
          <w:p>
            <w:pPr>
              <w:pStyle w:val="107"/>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724" w:type="dxa"/>
            <w:shd w:val="clear" w:color="auto" w:fill="auto"/>
            <w:vAlign w:val="center"/>
          </w:tcPr>
          <w:p>
            <w:pPr>
              <w:pStyle w:val="107"/>
            </w:pPr>
            <w:r>
              <w:rPr>
                <w:rFonts w:hint="eastAsia"/>
              </w:rPr>
              <w:t>喷淋系统补水</w:t>
            </w:r>
          </w:p>
        </w:tc>
        <w:tc>
          <w:tcPr>
            <w:tcW w:w="1196" w:type="dxa"/>
            <w:shd w:val="clear" w:color="auto" w:fill="auto"/>
            <w:vAlign w:val="center"/>
          </w:tcPr>
          <w:p>
            <w:pPr>
              <w:pStyle w:val="107"/>
            </w:pPr>
            <w:r>
              <w:rPr>
                <w:rFonts w:ascii="Times New Roman" w:hAnsi="Times New Roman" w:eastAsia="等线" w:cs="Times New Roman"/>
                <w:color w:val="000000"/>
              </w:rPr>
              <w:t>50</w:t>
            </w:r>
          </w:p>
        </w:tc>
        <w:tc>
          <w:tcPr>
            <w:tcW w:w="1196" w:type="dxa"/>
            <w:shd w:val="clear" w:color="auto" w:fill="auto"/>
            <w:vAlign w:val="center"/>
          </w:tcPr>
          <w:p>
            <w:pPr>
              <w:pStyle w:val="107"/>
            </w:pPr>
            <w:r>
              <w:rPr>
                <w:rFonts w:ascii="Times New Roman" w:hAnsi="Times New Roman" w:eastAsia="等线" w:cs="Times New Roman"/>
                <w:color w:val="000000"/>
              </w:rPr>
              <w:t>40</w:t>
            </w:r>
          </w:p>
        </w:tc>
        <w:tc>
          <w:tcPr>
            <w:tcW w:w="1245" w:type="dxa"/>
            <w:shd w:val="clear" w:color="auto" w:fill="auto"/>
            <w:vAlign w:val="center"/>
          </w:tcPr>
          <w:p>
            <w:pPr>
              <w:pStyle w:val="107"/>
            </w:pPr>
            <w:r>
              <w:rPr>
                <w:rFonts w:ascii="Times New Roman" w:hAnsi="Times New Roman" w:eastAsia="等线" w:cs="Times New Roman"/>
                <w:color w:val="000000"/>
              </w:rPr>
              <w:t>0</w:t>
            </w:r>
          </w:p>
        </w:tc>
        <w:tc>
          <w:tcPr>
            <w:tcW w:w="1249" w:type="dxa"/>
            <w:shd w:val="clear" w:color="auto" w:fill="auto"/>
            <w:vAlign w:val="center"/>
          </w:tcPr>
          <w:p>
            <w:pPr>
              <w:pStyle w:val="107"/>
            </w:pPr>
            <w:r>
              <w:rPr>
                <w:rFonts w:hint="eastAsia"/>
                <w:color w:val="000000"/>
              </w:rPr>
              <w:t>10</w:t>
            </w:r>
          </w:p>
        </w:tc>
        <w:tc>
          <w:tcPr>
            <w:tcW w:w="1475" w:type="dxa"/>
            <w:shd w:val="clear" w:color="auto" w:fill="auto"/>
            <w:vAlign w:val="center"/>
          </w:tcPr>
          <w:p>
            <w:pPr>
              <w:pStyle w:val="107"/>
            </w:pPr>
            <w:r>
              <w:rPr>
                <w:rFonts w:hint="eastAsia" w:ascii="等线" w:hAnsi="等线" w:eastAsia="等线"/>
                <w:color w:val="000000"/>
                <w:sz w:val="22"/>
                <w:szCs w:val="22"/>
              </w:rPr>
              <w:t>0</w:t>
            </w:r>
          </w:p>
        </w:tc>
        <w:tc>
          <w:tcPr>
            <w:tcW w:w="1032" w:type="dxa"/>
            <w:shd w:val="clear" w:color="auto" w:fill="auto"/>
            <w:vAlign w:val="center"/>
          </w:tcPr>
          <w:p>
            <w:pPr>
              <w:pStyle w:val="107"/>
            </w:pPr>
            <w:r>
              <w:rPr>
                <w:rFonts w:hint="eastAsia"/>
                <w:color w:val="00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724" w:type="dxa"/>
            <w:shd w:val="clear" w:color="auto" w:fill="auto"/>
            <w:vAlign w:val="center"/>
          </w:tcPr>
          <w:p>
            <w:pPr>
              <w:pStyle w:val="107"/>
            </w:pPr>
            <w:r>
              <w:rPr>
                <w:rFonts w:hint="eastAsia"/>
              </w:rPr>
              <w:t>生活用水</w:t>
            </w:r>
          </w:p>
        </w:tc>
        <w:tc>
          <w:tcPr>
            <w:tcW w:w="1196" w:type="dxa"/>
            <w:shd w:val="clear" w:color="auto" w:fill="auto"/>
            <w:vAlign w:val="center"/>
          </w:tcPr>
          <w:p>
            <w:pPr>
              <w:pStyle w:val="107"/>
            </w:pPr>
            <w:r>
              <w:rPr>
                <w:color w:val="000000"/>
              </w:rPr>
              <w:t>360</w:t>
            </w:r>
          </w:p>
        </w:tc>
        <w:tc>
          <w:tcPr>
            <w:tcW w:w="1196" w:type="dxa"/>
            <w:shd w:val="clear" w:color="auto" w:fill="auto"/>
            <w:vAlign w:val="center"/>
          </w:tcPr>
          <w:p>
            <w:pPr>
              <w:pStyle w:val="107"/>
            </w:pPr>
            <w:r>
              <w:rPr>
                <w:color w:val="000000"/>
              </w:rPr>
              <w:t>36</w:t>
            </w:r>
          </w:p>
        </w:tc>
        <w:tc>
          <w:tcPr>
            <w:tcW w:w="1245" w:type="dxa"/>
            <w:shd w:val="clear" w:color="auto" w:fill="auto"/>
            <w:vAlign w:val="center"/>
          </w:tcPr>
          <w:p>
            <w:pPr>
              <w:pStyle w:val="107"/>
            </w:pPr>
            <w:r>
              <w:rPr>
                <w:rFonts w:hint="eastAsia"/>
                <w:color w:val="000000"/>
              </w:rPr>
              <w:t>0</w:t>
            </w:r>
          </w:p>
        </w:tc>
        <w:tc>
          <w:tcPr>
            <w:tcW w:w="1249" w:type="dxa"/>
            <w:shd w:val="clear" w:color="auto" w:fill="auto"/>
            <w:vAlign w:val="center"/>
          </w:tcPr>
          <w:p>
            <w:pPr>
              <w:pStyle w:val="107"/>
            </w:pPr>
            <w:r>
              <w:rPr>
                <w:color w:val="000000"/>
              </w:rPr>
              <w:t>324</w:t>
            </w:r>
          </w:p>
        </w:tc>
        <w:tc>
          <w:tcPr>
            <w:tcW w:w="1475" w:type="dxa"/>
            <w:shd w:val="clear" w:color="auto" w:fill="auto"/>
            <w:vAlign w:val="center"/>
          </w:tcPr>
          <w:p>
            <w:pPr>
              <w:pStyle w:val="107"/>
            </w:pPr>
            <w:r>
              <w:rPr>
                <w:rFonts w:hint="eastAsia" w:ascii="等线" w:hAnsi="等线" w:eastAsia="等线"/>
                <w:color w:val="000000"/>
                <w:sz w:val="22"/>
                <w:szCs w:val="22"/>
              </w:rPr>
              <w:t>0</w:t>
            </w:r>
          </w:p>
        </w:tc>
        <w:tc>
          <w:tcPr>
            <w:tcW w:w="1032" w:type="dxa"/>
            <w:shd w:val="clear" w:color="auto" w:fill="auto"/>
            <w:vAlign w:val="center"/>
          </w:tcPr>
          <w:p>
            <w:pPr>
              <w:pStyle w:val="107"/>
            </w:pPr>
            <w:r>
              <w:rPr>
                <w:color w:val="000000"/>
              </w:rPr>
              <w:t>324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724" w:type="dxa"/>
            <w:shd w:val="clear" w:color="auto" w:fill="auto"/>
            <w:vAlign w:val="center"/>
          </w:tcPr>
          <w:p>
            <w:pPr>
              <w:pStyle w:val="107"/>
            </w:pPr>
            <w:r>
              <w:rPr>
                <w:rFonts w:hint="eastAsia"/>
              </w:rPr>
              <w:t>合计</w:t>
            </w:r>
          </w:p>
        </w:tc>
        <w:tc>
          <w:tcPr>
            <w:tcW w:w="1196" w:type="dxa"/>
            <w:shd w:val="clear" w:color="auto" w:fill="auto"/>
            <w:vAlign w:val="center"/>
          </w:tcPr>
          <w:p>
            <w:pPr>
              <w:pStyle w:val="107"/>
            </w:pPr>
            <w:r>
              <w:t>746</w:t>
            </w:r>
          </w:p>
        </w:tc>
        <w:tc>
          <w:tcPr>
            <w:tcW w:w="1196" w:type="dxa"/>
            <w:shd w:val="clear" w:color="auto" w:fill="auto"/>
            <w:vAlign w:val="center"/>
          </w:tcPr>
          <w:p>
            <w:pPr>
              <w:pStyle w:val="107"/>
            </w:pPr>
            <w:r>
              <w:t>412</w:t>
            </w:r>
          </w:p>
        </w:tc>
        <w:tc>
          <w:tcPr>
            <w:tcW w:w="1245" w:type="dxa"/>
            <w:shd w:val="clear" w:color="auto" w:fill="auto"/>
            <w:vAlign w:val="center"/>
          </w:tcPr>
          <w:p>
            <w:pPr>
              <w:pStyle w:val="107"/>
            </w:pPr>
            <w:r>
              <w:rPr>
                <w:rFonts w:hint="eastAsia"/>
              </w:rPr>
              <w:t>1</w:t>
            </w:r>
            <w:r>
              <w:t>20</w:t>
            </w:r>
            <w:r>
              <w:rPr>
                <w:rFonts w:hint="eastAsia"/>
              </w:rPr>
              <w:t>00</w:t>
            </w:r>
          </w:p>
        </w:tc>
        <w:tc>
          <w:tcPr>
            <w:tcW w:w="1249" w:type="dxa"/>
            <w:shd w:val="clear" w:color="auto" w:fill="auto"/>
            <w:vAlign w:val="center"/>
          </w:tcPr>
          <w:p>
            <w:pPr>
              <w:pStyle w:val="107"/>
            </w:pPr>
            <w:r>
              <w:t>334</w:t>
            </w:r>
          </w:p>
        </w:tc>
        <w:tc>
          <w:tcPr>
            <w:tcW w:w="1475" w:type="dxa"/>
            <w:shd w:val="clear" w:color="auto" w:fill="auto"/>
            <w:vAlign w:val="center"/>
          </w:tcPr>
          <w:p>
            <w:pPr>
              <w:pStyle w:val="107"/>
            </w:pPr>
            <w:r>
              <w:rPr>
                <w:rFonts w:hint="eastAsia"/>
              </w:rPr>
              <w:t>0</w:t>
            </w:r>
          </w:p>
        </w:tc>
        <w:tc>
          <w:tcPr>
            <w:tcW w:w="1032" w:type="dxa"/>
            <w:shd w:val="clear" w:color="auto" w:fill="auto"/>
            <w:vAlign w:val="center"/>
          </w:tcPr>
          <w:p>
            <w:pPr>
              <w:pStyle w:val="107"/>
            </w:pPr>
            <w:r>
              <w:t>324</w:t>
            </w:r>
          </w:p>
        </w:tc>
      </w:tr>
    </w:tbl>
    <w:p>
      <w:pPr>
        <w:pStyle w:val="107"/>
      </w:pPr>
      <w:r>
        <w:rPr>
          <w:color w:val="7030A0"/>
        </w:rPr>
        <mc:AlternateContent>
          <mc:Choice Requires="wps">
            <w:drawing>
              <wp:anchor distT="0" distB="0" distL="114300" distR="114300" simplePos="0" relativeHeight="251937792" behindDoc="0" locked="0" layoutInCell="1" allowOverlap="1">
                <wp:simplePos x="0" y="0"/>
                <wp:positionH relativeFrom="column">
                  <wp:posOffset>2490470</wp:posOffset>
                </wp:positionH>
                <wp:positionV relativeFrom="paragraph">
                  <wp:posOffset>2964815</wp:posOffset>
                </wp:positionV>
                <wp:extent cx="609600" cy="298450"/>
                <wp:effectExtent l="0" t="0" r="0" b="0"/>
                <wp:wrapNone/>
                <wp:docPr id="171" name="矩形 171"/>
                <wp:cNvGraphicFramePr/>
                <a:graphic xmlns:a="http://schemas.openxmlformats.org/drawingml/2006/main">
                  <a:graphicData uri="http://schemas.microsoft.com/office/word/2010/wordprocessingShape">
                    <wps:wsp>
                      <wps:cNvSpPr/>
                      <wps:spPr>
                        <a:xfrm>
                          <a:off x="0" y="0"/>
                          <a:ext cx="609600" cy="2984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6.1pt;margin-top:233.45pt;height:23.5pt;width:48pt;z-index:251937792;v-text-anchor:middle;mso-width-relative:page;mso-height-relative:page;" filled="f" stroked="f" coordsize="21600,21600" o:gfxdata="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IUboF2QAAAAsBAAAPAAAAAAAAAAEAIAAA&#10;ACIAAABkcnMvZG93bnJldi54bWxQSwECFAAUAAAACACHTuJAbPCjY0QCAABiBAAADgAAAAAAAAAB&#10;ACAAAAAoAQAAZHJzL2Uyb0RvYy54bWxQSwUGAAAAAAYABgBZAQAA3gU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36</w:t>
                      </w:r>
                    </w:p>
                  </w:txbxContent>
                </v:textbox>
              </v:rect>
            </w:pict>
          </mc:Fallback>
        </mc:AlternateContent>
      </w:r>
    </w:p>
    <w:p>
      <w:pPr>
        <w:ind w:firstLine="0" w:firstLineChars="0"/>
        <w:rPr>
          <w:rStyle w:val="63"/>
        </w:rPr>
      </w:pPr>
      <w:bookmarkStart w:id="201" w:name="_Hlk11602715"/>
      <w:bookmarkStart w:id="202" w:name="_Ref527319038"/>
    </w:p>
    <w:p>
      <w:pPr>
        <w:ind w:firstLine="480"/>
        <w:rPr>
          <w:rStyle w:val="63"/>
        </w:rPr>
      </w:pPr>
      <w:r>
        <w:rPr>
          <w:color w:val="7030A0"/>
        </w:rPr>
        <mc:AlternateContent>
          <mc:Choice Requires="wps">
            <w:drawing>
              <wp:anchor distT="0" distB="0" distL="114300" distR="114300" simplePos="0" relativeHeight="251972608" behindDoc="0" locked="0" layoutInCell="1" allowOverlap="1">
                <wp:simplePos x="0" y="0"/>
                <wp:positionH relativeFrom="column">
                  <wp:posOffset>2458720</wp:posOffset>
                </wp:positionH>
                <wp:positionV relativeFrom="paragraph">
                  <wp:posOffset>-26035</wp:posOffset>
                </wp:positionV>
                <wp:extent cx="355600" cy="298450"/>
                <wp:effectExtent l="0" t="0" r="0" b="0"/>
                <wp:wrapNone/>
                <wp:docPr id="495" name="矩形 495"/>
                <wp:cNvGraphicFramePr/>
                <a:graphic xmlns:a="http://schemas.openxmlformats.org/drawingml/2006/main">
                  <a:graphicData uri="http://schemas.microsoft.com/office/word/2010/wordprocessingShape">
                    <wps:wsp>
                      <wps:cNvSpPr/>
                      <wps:spPr>
                        <a:xfrm>
                          <a:off x="0" y="0"/>
                          <a:ext cx="355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6pt;margin-top:-2.05pt;height:23.5pt;width:28pt;z-index:251972608;v-text-anchor:middle;mso-width-relative:page;mso-height-relative:page;" filled="f" stroked="f" coordsize="21600,21600" o:gfxdata="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HACTdgAAAAJAQAADwAAAAAA&#10;AAABACAAAAAiAAAAZHJzL2Rvd25yZXYueG1sUEsBAhQAFAAAAAgAh07iQITScW5MAgAAcAQAAA4A&#10;AAAAAAAAAQAgAAAAJwEAAGRycy9lMm9Eb2MueG1sUEsFBgAAAAAGAAYAWQEAAOUFA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36</w:t>
                      </w:r>
                    </w:p>
                  </w:txbxContent>
                </v:textbox>
              </v:rect>
            </w:pict>
          </mc:Fallback>
        </mc:AlternateContent>
      </w:r>
      <w:r>
        <w:rPr>
          <w:color w:val="7030A0"/>
        </w:rPr>
        <mc:AlternateContent>
          <mc:Choice Requires="wps">
            <w:drawing>
              <wp:anchor distT="0" distB="0" distL="114300" distR="114300" simplePos="0" relativeHeight="251945984" behindDoc="0" locked="0" layoutInCell="1" allowOverlap="1">
                <wp:simplePos x="0" y="0"/>
                <wp:positionH relativeFrom="column">
                  <wp:posOffset>2813050</wp:posOffset>
                </wp:positionH>
                <wp:positionV relativeFrom="paragraph">
                  <wp:posOffset>292100</wp:posOffset>
                </wp:positionV>
                <wp:extent cx="609600" cy="298450"/>
                <wp:effectExtent l="0" t="0" r="0" b="0"/>
                <wp:wrapNone/>
                <wp:docPr id="187" name="矩形 187"/>
                <wp:cNvGraphicFramePr/>
                <a:graphic xmlns:a="http://schemas.openxmlformats.org/drawingml/2006/main">
                  <a:graphicData uri="http://schemas.microsoft.com/office/word/2010/wordprocessingShape">
                    <wps:wsp>
                      <wps:cNvSpPr/>
                      <wps:spPr>
                        <a:xfrm>
                          <a:off x="0" y="0"/>
                          <a:ext cx="609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324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1.5pt;margin-top:23pt;height:23.5pt;width:48pt;z-index:251945984;v-text-anchor:middle;mso-width-relative:page;mso-height-relative:page;" filled="f" stroked="f" coordsize="21600,21600" o:gfxdata="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wy+ud1QAAAAkBAAAPAAAAAAAAAAEA&#10;IAAAACIAAABkcnMvZG93bnJldi54bWxQSwECFAAUAAAACACHTuJAll33n0sCAABwBAAADgAAAAAA&#10;AAABACAAAAAkAQAAZHJzL2Uyb0RvYy54bWxQSwUGAAAAAAYABgBZAQAA4QU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324</w:t>
                      </w:r>
                    </w:p>
                  </w:txbxContent>
                </v:textbox>
              </v:rect>
            </w:pict>
          </mc:Fallback>
        </mc:AlternateContent>
      </w:r>
      <w:r>
        <w:rPr>
          <w:color w:val="7030A0"/>
        </w:rPr>
        <mc:AlternateContent>
          <mc:Choice Requires="wps">
            <w:drawing>
              <wp:anchor distT="0" distB="0" distL="114300" distR="114300" simplePos="0" relativeHeight="251948032" behindDoc="0" locked="0" layoutInCell="1" allowOverlap="1">
                <wp:simplePos x="0" y="0"/>
                <wp:positionH relativeFrom="column">
                  <wp:posOffset>4686300</wp:posOffset>
                </wp:positionH>
                <wp:positionV relativeFrom="paragraph">
                  <wp:posOffset>209550</wp:posOffset>
                </wp:positionV>
                <wp:extent cx="609600" cy="298450"/>
                <wp:effectExtent l="0" t="0" r="0" b="0"/>
                <wp:wrapNone/>
                <wp:docPr id="189" name="矩形 189"/>
                <wp:cNvGraphicFramePr/>
                <a:graphic xmlns:a="http://schemas.openxmlformats.org/drawingml/2006/main">
                  <a:graphicData uri="http://schemas.microsoft.com/office/word/2010/wordprocessingShape">
                    <wps:wsp>
                      <wps:cNvSpPr/>
                      <wps:spPr>
                        <a:xfrm>
                          <a:off x="0" y="0"/>
                          <a:ext cx="609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324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9pt;margin-top:16.5pt;height:23.5pt;width:48pt;z-index:251948032;v-text-anchor:middle;mso-width-relative:page;mso-height-relative:page;" filled="f" stroked="f" coordsize="21600,21600" o:gfxdata="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d+QltYAAAAJAQAADwAAAAAAAAAB&#10;ACAAAAAiAAAAZHJzL2Rvd25yZXYueG1sUEsBAhQAFAAAAAgAh07iQJzZgi5LAgAAcAQAAA4AAAAA&#10;AAAAAQAgAAAAJQEAAGRycy9lMm9Eb2MueG1sUEsFBgAAAAAGAAYAWQEAAOIFA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324</w:t>
                      </w:r>
                    </w:p>
                  </w:txbxContent>
                </v:textbox>
              </v:rect>
            </w:pict>
          </mc:Fallback>
        </mc:AlternateContent>
      </w:r>
      <w:r>
        <w:rPr>
          <w:color w:val="7030A0"/>
        </w:rPr>
        <mc:AlternateContent>
          <mc:Choice Requires="wps">
            <w:drawing>
              <wp:anchor distT="0" distB="0" distL="114300" distR="114300" simplePos="0" relativeHeight="251932672" behindDoc="0" locked="0" layoutInCell="1" allowOverlap="1">
                <wp:simplePos x="0" y="0"/>
                <wp:positionH relativeFrom="column">
                  <wp:posOffset>2153920</wp:posOffset>
                </wp:positionH>
                <wp:positionV relativeFrom="paragraph">
                  <wp:posOffset>291465</wp:posOffset>
                </wp:positionV>
                <wp:extent cx="419100" cy="222250"/>
                <wp:effectExtent l="0" t="57150" r="19050" b="25400"/>
                <wp:wrapNone/>
                <wp:docPr id="168" name="连接符: 曲线 168"/>
                <wp:cNvGraphicFramePr/>
                <a:graphic xmlns:a="http://schemas.openxmlformats.org/drawingml/2006/main">
                  <a:graphicData uri="http://schemas.microsoft.com/office/word/2010/wordprocessingShape">
                    <wps:wsp>
                      <wps:cNvCnPr/>
                      <wps:spPr>
                        <a:xfrm flipV="1">
                          <a:off x="0" y="0"/>
                          <a:ext cx="419100" cy="222250"/>
                        </a:xfrm>
                        <a:prstGeom prst="curvedConnector3">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连接符: 曲线 168" o:spid="_x0000_s1026" o:spt="38" type="#_x0000_t38" style="position:absolute;left:0pt;flip:y;margin-left:169.6pt;margin-top:22.95pt;height:17.5pt;width:33pt;z-index:251932672;mso-width-relative:page;mso-height-relative:page;" filled="f" stroked="t" coordsize="21600,21600" o:gfxdata="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AgLPC1AAAAAkBAAAPAAAAAAAAAAEAIAAAACIAAABkcnMvZG93bnJldi54bWxQSwECFAAUAAAA&#10;CACHTuJA+WzitfIBAACeAwAADgAAAAAAAAABACAAAAAjAQAAZHJzL2Uyb0RvYy54bWxQSwUGAAAA&#10;AAYABgBZAQAAhwUAAAAA&#10;" adj="10800">
                <v:fill on="f" focussize="0,0"/>
                <v:stroke weight="0.5pt" color="#000000 [3200]" miterlimit="8" joinstyle="miter" dashstyle="dash" endarrow="block"/>
                <v:imagedata o:title=""/>
                <o:lock v:ext="edit" aspectratio="f"/>
              </v:shape>
            </w:pict>
          </mc:Fallback>
        </mc:AlternateContent>
      </w:r>
    </w:p>
    <w:p>
      <w:pPr>
        <w:ind w:firstLine="480"/>
        <w:rPr>
          <w:rStyle w:val="63"/>
        </w:rPr>
      </w:pPr>
      <w:r>
        <w:rPr>
          <w:color w:val="7030A0"/>
        </w:rPr>
        <mc:AlternateContent>
          <mc:Choice Requires="wps">
            <w:drawing>
              <wp:anchor distT="0" distB="0" distL="114300" distR="114300" simplePos="0" relativeHeight="251963392" behindDoc="0" locked="0" layoutInCell="1" allowOverlap="1">
                <wp:simplePos x="0" y="0"/>
                <wp:positionH relativeFrom="column">
                  <wp:posOffset>1430020</wp:posOffset>
                </wp:positionH>
                <wp:positionV relativeFrom="paragraph">
                  <wp:posOffset>26035</wp:posOffset>
                </wp:positionV>
                <wp:extent cx="482600" cy="298450"/>
                <wp:effectExtent l="0" t="0" r="0" b="0"/>
                <wp:wrapNone/>
                <wp:docPr id="484" name="矩形 484"/>
                <wp:cNvGraphicFramePr/>
                <a:graphic xmlns:a="http://schemas.openxmlformats.org/drawingml/2006/main">
                  <a:graphicData uri="http://schemas.microsoft.com/office/word/2010/wordprocessingShape">
                    <wps:wsp>
                      <wps:cNvSpPr/>
                      <wps:spPr>
                        <a:xfrm>
                          <a:off x="0" y="0"/>
                          <a:ext cx="482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360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2.6pt;margin-top:2.05pt;height:23.5pt;width:38pt;z-index:251963392;v-text-anchor:middle;mso-width-relative:page;mso-height-relative:page;" filled="f" stroked="f" coordsize="21600,21600" o:gfxdata="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cg8X11QAAAAgBAAAPAAAAAAAAAAEA&#10;IAAAACIAAABkcnMvZG93bnJldi54bWxQSwECFAAUAAAACACHTuJACDqe/ksCAABwBAAADgAAAAAA&#10;AAABACAAAAAkAQAAZHJzL2Uyb0RvYy54bWxQSwUGAAAAAAYABgBZAQAA4QU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360</w:t>
                      </w:r>
                    </w:p>
                  </w:txbxContent>
                </v:textbox>
              </v:rect>
            </w:pict>
          </mc:Fallback>
        </mc:AlternateContent>
      </w:r>
      <w:r>
        <w:rPr>
          <w:rStyle w:val="63"/>
        </w:rPr>
        <mc:AlternateContent>
          <mc:Choice Requires="wps">
            <w:drawing>
              <wp:anchor distT="0" distB="0" distL="114300" distR="114300" simplePos="0" relativeHeight="251905024" behindDoc="0" locked="0" layoutInCell="1" allowOverlap="1">
                <wp:simplePos x="0" y="0"/>
                <wp:positionH relativeFrom="column">
                  <wp:posOffset>2007870</wp:posOffset>
                </wp:positionH>
                <wp:positionV relativeFrom="paragraph">
                  <wp:posOffset>215265</wp:posOffset>
                </wp:positionV>
                <wp:extent cx="755650" cy="342900"/>
                <wp:effectExtent l="0" t="0" r="25400" b="19050"/>
                <wp:wrapNone/>
                <wp:docPr id="140" name="矩形 140"/>
                <wp:cNvGraphicFramePr/>
                <a:graphic xmlns:a="http://schemas.openxmlformats.org/drawingml/2006/main">
                  <a:graphicData uri="http://schemas.microsoft.com/office/word/2010/wordprocessingShape">
                    <wps:wsp>
                      <wps:cNvSpPr/>
                      <wps:spPr>
                        <a:xfrm>
                          <a:off x="0" y="0"/>
                          <a:ext cx="755650" cy="3429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生活用水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8.1pt;margin-top:16.95pt;height:27pt;width:59.5pt;z-index:251905024;v-text-anchor:middle;mso-width-relative:page;mso-height-relative:page;" filled="f" stroked="t" coordsize="21600,21600" o:gfxdata="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kiYls1wAAAAkBAAAP&#10;AAAAAAAAAAEAIAAAACIAAABkcnMvZG93bnJldi54bWxQSwECFAAUAAAACACHTuJA/bsIsFICAACK&#10;BAAADgAAAAAAAAABACAAAAAmAQAAZHJzL2Uyb0RvYy54bWxQSwUGAAAAAAYABgBZAQAA6gUAAAAA&#10;">
                <v:fill on="f" focussize="0,0"/>
                <v:stroke weight="0.5pt" color="#000000 [3213]"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生活用水</w:t>
                      </w:r>
                    </w:p>
                  </w:txbxContent>
                </v:textbox>
              </v:rect>
            </w:pict>
          </mc:Fallback>
        </mc:AlternateContent>
      </w:r>
      <w:r>
        <w:rPr>
          <w:rStyle w:val="63"/>
        </w:rPr>
        <mc:AlternateContent>
          <mc:Choice Requires="wps">
            <w:drawing>
              <wp:anchor distT="0" distB="0" distL="114300" distR="114300" simplePos="0" relativeHeight="251909120" behindDoc="0" locked="0" layoutInCell="1" allowOverlap="1">
                <wp:simplePos x="0" y="0"/>
                <wp:positionH relativeFrom="column">
                  <wp:posOffset>5219700</wp:posOffset>
                </wp:positionH>
                <wp:positionV relativeFrom="paragraph">
                  <wp:posOffset>215900</wp:posOffset>
                </wp:positionV>
                <wp:extent cx="876300" cy="342900"/>
                <wp:effectExtent l="0" t="0" r="19050" b="19050"/>
                <wp:wrapNone/>
                <wp:docPr id="149" name="矩形 149"/>
                <wp:cNvGraphicFramePr/>
                <a:graphic xmlns:a="http://schemas.openxmlformats.org/drawingml/2006/main">
                  <a:graphicData uri="http://schemas.microsoft.com/office/word/2010/wordprocessingShape">
                    <wps:wsp>
                      <wps:cNvSpPr/>
                      <wps:spPr>
                        <a:xfrm>
                          <a:off x="0" y="0"/>
                          <a:ext cx="876300" cy="342900"/>
                        </a:xfrm>
                        <a:prstGeom prst="rect">
                          <a:avLst/>
                        </a:prstGeom>
                        <a:noFill/>
                        <a:ln w="6350" cap="flat" cmpd="sng" algn="ctr">
                          <a:solidFill>
                            <a:sysClr val="windowText" lastClr="000000"/>
                          </a:solid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排入镇海水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1pt;margin-top:17pt;height:27pt;width:69pt;z-index:251909120;v-text-anchor:middle;mso-width-relative:page;mso-height-relative:page;" filled="f" stroked="t" coordsize="21600,21600" o:gfxdata="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ygUXXWAAAACQEAAA8AAAAAAAAAAQAgAAAAIgAAAGRycy9kb3ducmV2LnhtbFBLAQIUABQA&#10;AAAIAIdO4kCrPd7GZAIAAKwEAAAOAAAAAAAAAAEAIAAAACUBAABkcnMvZTJvRG9jLnhtbFBLBQYA&#10;AAAABgAGAFkBAAD7BQAAAAA=&#10;">
                <v:fill on="f" focussize="0,0"/>
                <v:stroke weight="0.5pt" color="#000000"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排入镇海水</w:t>
                      </w:r>
                    </w:p>
                  </w:txbxContent>
                </v:textbox>
              </v:rect>
            </w:pict>
          </mc:Fallback>
        </mc:AlternateContent>
      </w:r>
      <w:r>
        <w:rPr>
          <w:rStyle w:val="63"/>
        </w:rPr>
        <mc:AlternateContent>
          <mc:Choice Requires="wps">
            <w:drawing>
              <wp:anchor distT="0" distB="0" distL="114300" distR="114300" simplePos="0" relativeHeight="251907072" behindDoc="0" locked="0" layoutInCell="1" allowOverlap="1">
                <wp:simplePos x="0" y="0"/>
                <wp:positionH relativeFrom="column">
                  <wp:posOffset>3303270</wp:posOffset>
                </wp:positionH>
                <wp:positionV relativeFrom="paragraph">
                  <wp:posOffset>215265</wp:posOffset>
                </wp:positionV>
                <wp:extent cx="1384300" cy="342900"/>
                <wp:effectExtent l="0" t="0" r="25400" b="19050"/>
                <wp:wrapNone/>
                <wp:docPr id="142" name="矩形 142"/>
                <wp:cNvGraphicFramePr/>
                <a:graphic xmlns:a="http://schemas.openxmlformats.org/drawingml/2006/main">
                  <a:graphicData uri="http://schemas.microsoft.com/office/word/2010/wordprocessingShape">
                    <wps:wsp>
                      <wps:cNvSpPr/>
                      <wps:spPr>
                        <a:xfrm>
                          <a:off x="0" y="0"/>
                          <a:ext cx="1384300" cy="342900"/>
                        </a:xfrm>
                        <a:prstGeom prst="rect">
                          <a:avLst/>
                        </a:prstGeom>
                        <a:noFill/>
                        <a:ln w="6350" cap="flat" cmpd="sng" algn="ctr">
                          <a:solidFill>
                            <a:sysClr val="windowText" lastClr="000000"/>
                          </a:solid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生活污水处理设施</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0.1pt;margin-top:16.95pt;height:27pt;width:109pt;z-index:251907072;v-text-anchor:middle;mso-width-relative:page;mso-height-relative:page;" filled="f" stroked="t" coordsize="21600,21600" o:gfxdata="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9IU5x1wAAAAkBAAAPAAAAAAAAAAEAIAAAACIAAABkcnMvZG93bnJldi54bWxQSwECFAAU&#10;AAAACACHTuJASnsPXmQCAACtBAAADgAAAAAAAAABACAAAAAmAQAAZHJzL2Uyb0RvYy54bWxQSwUG&#10;AAAAAAYABgBZAQAA/AUAAAAA&#10;">
                <v:fill on="f" focussize="0,0"/>
                <v:stroke weight="0.5pt" color="#000000"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生活污水处理设施</w:t>
                      </w:r>
                    </w:p>
                  </w:txbxContent>
                </v:textbox>
              </v:rect>
            </w:pict>
          </mc:Fallback>
        </mc:AlternateContent>
      </w:r>
    </w:p>
    <w:p>
      <w:pPr>
        <w:ind w:firstLine="480"/>
        <w:rPr>
          <w:rStyle w:val="63"/>
        </w:rPr>
      </w:pPr>
      <w:r>
        <w:rPr>
          <w:rFonts w:hint="eastAsia"/>
          <w:color w:val="7030A0"/>
        </w:rPr>
        <mc:AlternateContent>
          <mc:Choice Requires="wps">
            <w:drawing>
              <wp:anchor distT="0" distB="0" distL="114300" distR="114300" simplePos="0" relativeHeight="251931648" behindDoc="0" locked="0" layoutInCell="1" allowOverlap="1">
                <wp:simplePos x="0" y="0"/>
                <wp:positionH relativeFrom="column">
                  <wp:posOffset>1474470</wp:posOffset>
                </wp:positionH>
                <wp:positionV relativeFrom="paragraph">
                  <wp:posOffset>84455</wp:posOffset>
                </wp:positionV>
                <wp:extent cx="0" cy="1682750"/>
                <wp:effectExtent l="0" t="0" r="38100" b="31750"/>
                <wp:wrapNone/>
                <wp:docPr id="167" name="直接连接符 167"/>
                <wp:cNvGraphicFramePr/>
                <a:graphic xmlns:a="http://schemas.openxmlformats.org/drawingml/2006/main">
                  <a:graphicData uri="http://schemas.microsoft.com/office/word/2010/wordprocessingShape">
                    <wps:wsp>
                      <wps:cNvCnPr/>
                      <wps:spPr>
                        <a:xfrm>
                          <a:off x="0" y="0"/>
                          <a:ext cx="0" cy="1682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16.1pt;margin-top:6.65pt;height:132.5pt;width:0pt;z-index:251931648;mso-width-relative:page;mso-height-relative:page;" filled="f" stroked="t" coordsize="21600,21600" o:gfxdata="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C07sb7WAAAACgEAAA8AAAAAAAAAAQAgAAAAIgAAAGRycy9kb3du&#10;cmV2LnhtbFBLAQIUABQAAAAIAIdO4kC0E5ITyAEAAGcDAAAOAAAAAAAAAAEAIAAAACUBAABkcnMv&#10;ZTJvRG9jLnhtbFBLBQYAAAAABgAGAFkBAABfBQAAAAA=&#10;">
                <v:fill on="f" focussize="0,0"/>
                <v:stroke weight="0.5pt" color="#000000 [3200]" miterlimit="8" joinstyle="miter"/>
                <v:imagedata o:title=""/>
                <o:lock v:ext="edit" aspectratio="f"/>
              </v:line>
            </w:pict>
          </mc:Fallback>
        </mc:AlternateContent>
      </w:r>
      <w:r>
        <w:rPr>
          <w:rStyle w:val="63"/>
          <w:rFonts w:hint="eastAsia"/>
        </w:rPr>
        <mc:AlternateContent>
          <mc:Choice Requires="wps">
            <w:drawing>
              <wp:anchor distT="0" distB="0" distL="114300" distR="114300" simplePos="0" relativeHeight="251926528" behindDoc="0" locked="0" layoutInCell="1" allowOverlap="1">
                <wp:simplePos x="0" y="0"/>
                <wp:positionH relativeFrom="column">
                  <wp:posOffset>1473200</wp:posOffset>
                </wp:positionH>
                <wp:positionV relativeFrom="paragraph">
                  <wp:posOffset>84455</wp:posOffset>
                </wp:positionV>
                <wp:extent cx="533400" cy="0"/>
                <wp:effectExtent l="0" t="76200" r="19050" b="95250"/>
                <wp:wrapNone/>
                <wp:docPr id="163" name="直接箭头连接符 163"/>
                <wp:cNvGraphicFramePr/>
                <a:graphic xmlns:a="http://schemas.openxmlformats.org/drawingml/2006/main">
                  <a:graphicData uri="http://schemas.microsoft.com/office/word/2010/wordprocessingShape">
                    <wps:wsp>
                      <wps:cNvCnPr/>
                      <wps:spPr>
                        <a:xfrm>
                          <a:off x="0" y="0"/>
                          <a:ext cx="5334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_x0000_s1026" o:spid="_x0000_s1026" o:spt="32" type="#_x0000_t32" style="position:absolute;left:0pt;margin-left:116pt;margin-top:6.65pt;height:0pt;width:42pt;z-index:251926528;mso-width-relative:page;mso-height-relative:page;" filled="f" stroked="t" coordsize="21600,21600" o:gfxdata="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z9Ww19QAAAAJAQAADwAAAAAAAAABACAAAAAiAAAAZHJzL2Rvd25yZXYueG1s&#10;UEsBAhQAFAAAAAgAh07iQO/QrXH8AQAAuAMAAA4AAAAAAAAAAQAgAAAAIwEAAGRycy9lMm9Eb2Mu&#10;eG1sUEsFBgAAAAAGAAYAWQEAAJEFAAAAAA==&#10;">
                <v:fill on="f" focussize="0,0"/>
                <v:stroke weight="0.5pt" color="#000000" miterlimit="8" joinstyle="miter" endarrow="block"/>
                <v:imagedata o:title=""/>
                <o:lock v:ext="edit" aspectratio="f"/>
              </v:shape>
            </w:pict>
          </mc:Fallback>
        </mc:AlternateContent>
      </w:r>
      <w:r>
        <w:rPr>
          <w:rStyle w:val="63"/>
          <w:rFonts w:hint="eastAsia"/>
        </w:rPr>
        <mc:AlternateContent>
          <mc:Choice Requires="wps">
            <w:drawing>
              <wp:anchor distT="0" distB="0" distL="114300" distR="114300" simplePos="0" relativeHeight="251920384" behindDoc="0" locked="0" layoutInCell="1" allowOverlap="1">
                <wp:simplePos x="0" y="0"/>
                <wp:positionH relativeFrom="column">
                  <wp:posOffset>4686300</wp:posOffset>
                </wp:positionH>
                <wp:positionV relativeFrom="paragraph">
                  <wp:posOffset>83185</wp:posOffset>
                </wp:positionV>
                <wp:extent cx="533400" cy="0"/>
                <wp:effectExtent l="0" t="76200" r="19050" b="95250"/>
                <wp:wrapNone/>
                <wp:docPr id="159" name="直接箭头连接符 159"/>
                <wp:cNvGraphicFramePr/>
                <a:graphic xmlns:a="http://schemas.openxmlformats.org/drawingml/2006/main">
                  <a:graphicData uri="http://schemas.microsoft.com/office/word/2010/wordprocessingShape">
                    <wps:wsp>
                      <wps:cNvCnPr/>
                      <wps:spPr>
                        <a:xfrm>
                          <a:off x="0" y="0"/>
                          <a:ext cx="5334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_x0000_s1026" o:spid="_x0000_s1026" o:spt="32" type="#_x0000_t32" style="position:absolute;left:0pt;margin-left:369pt;margin-top:6.55pt;height:0pt;width:42pt;z-index:251920384;mso-width-relative:page;mso-height-relative:page;" filled="f" stroked="t" coordsize="21600,21600" o:gfxdata="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mv/LGtQAAAAJAQAADwAAAAAAAAABACAAAAAiAAAAZHJzL2Rvd25yZXYueG1s&#10;UEsBAhQAFAAAAAgAh07iQMqTZmr8AQAAuAMAAA4AAAAAAAAAAQAgAAAAIwEAAGRycy9lMm9Eb2Mu&#10;eG1sUEsFBgAAAAAGAAYAWQEAAJEFAAAAAA==&#10;">
                <v:fill on="f" focussize="0,0"/>
                <v:stroke weight="0.5pt" color="#000000" miterlimit="8" joinstyle="miter" endarrow="block"/>
                <v:imagedata o:title=""/>
                <o:lock v:ext="edit" aspectratio="f"/>
              </v:shape>
            </w:pict>
          </mc:Fallback>
        </mc:AlternateContent>
      </w:r>
      <w:r>
        <w:rPr>
          <w:rStyle w:val="63"/>
          <w:rFonts w:hint="eastAsia"/>
        </w:rPr>
        <mc:AlternateContent>
          <mc:Choice Requires="wps">
            <w:drawing>
              <wp:anchor distT="0" distB="0" distL="114300" distR="114300" simplePos="0" relativeHeight="251918336" behindDoc="0" locked="0" layoutInCell="1" allowOverlap="1">
                <wp:simplePos x="0" y="0"/>
                <wp:positionH relativeFrom="column">
                  <wp:posOffset>2769870</wp:posOffset>
                </wp:positionH>
                <wp:positionV relativeFrom="paragraph">
                  <wp:posOffset>83185</wp:posOffset>
                </wp:positionV>
                <wp:extent cx="533400" cy="0"/>
                <wp:effectExtent l="0" t="76200" r="19050" b="95250"/>
                <wp:wrapNone/>
                <wp:docPr id="157" name="直接箭头连接符 157"/>
                <wp:cNvGraphicFramePr/>
                <a:graphic xmlns:a="http://schemas.openxmlformats.org/drawingml/2006/main">
                  <a:graphicData uri="http://schemas.microsoft.com/office/word/2010/wordprocessingShape">
                    <wps:wsp>
                      <wps:cNvCnPr/>
                      <wps:spPr>
                        <a:xfrm>
                          <a:off x="0" y="0"/>
                          <a:ext cx="5334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18.1pt;margin-top:6.55pt;height:0pt;width:42pt;z-index:251918336;mso-width-relative:page;mso-height-relative:page;" filled="f" stroked="t" coordsize="21600,21600" o:gfxdata="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7YOGvdQA&#10;AAAJAQAADwAAAAAAAAABACAAAAAiAAAAZHJzL2Rvd25yZXYueG1sUEsBAhQAFAAAAAgAh07iQKVf&#10;eK7qAQAAlgMAAA4AAAAAAAAAAQAgAAAAIwEAAGRycy9lMm9Eb2MueG1sUEsFBgAAAAAGAAYAWQEA&#10;AH8FAAAAAA==&#10;">
                <v:fill on="f" focussize="0,0"/>
                <v:stroke weight="0.5pt" color="#000000 [3200]" miterlimit="8" joinstyle="miter" endarrow="block"/>
                <v:imagedata o:title=""/>
                <o:lock v:ext="edit" aspectratio="f"/>
              </v:shape>
            </w:pict>
          </mc:Fallback>
        </mc:AlternateContent>
      </w:r>
    </w:p>
    <w:p>
      <w:pPr>
        <w:ind w:firstLine="480"/>
        <w:rPr>
          <w:rStyle w:val="63"/>
        </w:rPr>
      </w:pPr>
      <w:r>
        <w:rPr>
          <w:color w:val="7030A0"/>
        </w:rPr>
        <mc:AlternateContent>
          <mc:Choice Requires="wps">
            <w:drawing>
              <wp:anchor distT="0" distB="0" distL="114300" distR="114300" simplePos="0" relativeHeight="251941888" behindDoc="0" locked="0" layoutInCell="1" allowOverlap="1">
                <wp:simplePos x="0" y="0"/>
                <wp:positionH relativeFrom="column">
                  <wp:posOffset>2813050</wp:posOffset>
                </wp:positionH>
                <wp:positionV relativeFrom="paragraph">
                  <wp:posOffset>283210</wp:posOffset>
                </wp:positionV>
                <wp:extent cx="609600" cy="298450"/>
                <wp:effectExtent l="0" t="0" r="0" b="0"/>
                <wp:wrapNone/>
                <wp:docPr id="173" name="矩形 173"/>
                <wp:cNvGraphicFramePr/>
                <a:graphic xmlns:a="http://schemas.openxmlformats.org/drawingml/2006/main">
                  <a:graphicData uri="http://schemas.microsoft.com/office/word/2010/wordprocessingShape">
                    <wps:wsp>
                      <wps:cNvSpPr/>
                      <wps:spPr>
                        <a:xfrm>
                          <a:off x="0" y="0"/>
                          <a:ext cx="609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1.5pt;margin-top:22.3pt;height:23.5pt;width:48pt;z-index:251941888;v-text-anchor:middle;mso-width-relative:page;mso-height-relative:page;" filled="f" stroked="f" coordsize="21600,21600" o:gfxdata="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saajZ2AAAAAkBAAAPAAAAAAAA&#10;AAEAIAAAACIAAABkcnMvZG93bnJldi54bWxQSwECFAAUAAAACACHTuJASbQtnksCAABwBAAADgAA&#10;AAAAAAABACAAAAAnAQAAZHJzL2Uyb0RvYy54bWxQSwUGAAAAAAYABgBZAQAA5AU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xbxContent>
                </v:textbox>
              </v:rect>
            </w:pict>
          </mc:Fallback>
        </mc:AlternateContent>
      </w:r>
      <w:r>
        <w:rPr>
          <w:color w:val="7030A0"/>
        </w:rPr>
        <mc:AlternateContent>
          <mc:Choice Requires="wps">
            <w:drawing>
              <wp:anchor distT="0" distB="0" distL="114300" distR="114300" simplePos="0" relativeHeight="251965440" behindDoc="0" locked="0" layoutInCell="1" allowOverlap="1">
                <wp:simplePos x="0" y="0"/>
                <wp:positionH relativeFrom="column">
                  <wp:posOffset>1524000</wp:posOffset>
                </wp:positionH>
                <wp:positionV relativeFrom="paragraph">
                  <wp:posOffset>281305</wp:posOffset>
                </wp:positionV>
                <wp:extent cx="482600" cy="298450"/>
                <wp:effectExtent l="0" t="0" r="0" b="0"/>
                <wp:wrapNone/>
                <wp:docPr id="485" name="矩形 485"/>
                <wp:cNvGraphicFramePr/>
                <a:graphic xmlns:a="http://schemas.openxmlformats.org/drawingml/2006/main">
                  <a:graphicData uri="http://schemas.microsoft.com/office/word/2010/wordprocessingShape">
                    <wps:wsp>
                      <wps:cNvSpPr/>
                      <wps:spPr>
                        <a:xfrm>
                          <a:off x="0" y="0"/>
                          <a:ext cx="482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0pt;margin-top:22.15pt;height:23.5pt;width:38pt;z-index:251965440;v-text-anchor:middle;mso-width-relative:page;mso-height-relative:page;" filled="f" stroked="f" coordsize="21600,21600" o:gfxdata="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3chFn9gAAAAJAQAADwAAAAAA&#10;AAABACAAAAAiAAAAZHJzL2Rvd25yZXYueG1sUEsBAhQAFAAAAAgAh07iQJLPSy9MAgAAcAQAAA4A&#10;AAAAAAAAAQAgAAAAJwEAAGRycy9lMm9Eb2MueG1sUEsFBgAAAAAGAAYAWQEAAOUFA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w:t>
                      </w:r>
                    </w:p>
                  </w:txbxContent>
                </v:textbox>
              </v:rect>
            </w:pict>
          </mc:Fallback>
        </mc:AlternateContent>
      </w:r>
      <w:r>
        <w:rPr>
          <w:color w:val="7030A0"/>
        </w:rPr>
        <mc:AlternateContent>
          <mc:Choice Requires="wps">
            <w:drawing>
              <wp:anchor distT="0" distB="0" distL="114300" distR="114300" simplePos="0" relativeHeight="251943936" behindDoc="0" locked="0" layoutInCell="1" allowOverlap="1">
                <wp:simplePos x="0" y="0"/>
                <wp:positionH relativeFrom="column">
                  <wp:posOffset>2571750</wp:posOffset>
                </wp:positionH>
                <wp:positionV relativeFrom="paragraph">
                  <wp:posOffset>54610</wp:posOffset>
                </wp:positionV>
                <wp:extent cx="609600" cy="298450"/>
                <wp:effectExtent l="0" t="0" r="0" b="0"/>
                <wp:wrapNone/>
                <wp:docPr id="185" name="矩形 185"/>
                <wp:cNvGraphicFramePr/>
                <a:graphic xmlns:a="http://schemas.openxmlformats.org/drawingml/2006/main">
                  <a:graphicData uri="http://schemas.microsoft.com/office/word/2010/wordprocessingShape">
                    <wps:wsp>
                      <wps:cNvSpPr/>
                      <wps:spPr>
                        <a:xfrm>
                          <a:off x="0" y="0"/>
                          <a:ext cx="609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2.5pt;margin-top:4.3pt;height:23.5pt;width:48pt;z-index:251943936;v-text-anchor:middle;mso-width-relative:page;mso-height-relative:page;" filled="f" stroked="f" coordsize="21600,21600" o:gfxdata="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Qo7eC1QAAAAgBAAAPAAAAAAAAAAEA&#10;IAAAACIAAABkcnMvZG93bnJldi54bWxQSwECFAAUAAAACACHTuJA47At50sCAABwBAAADgAAAAAA&#10;AAABACAAAAAkAQAAZHJzL2Uyb0RvYy54bWxQSwUGAAAAAAYABgBZAQAA4QU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w:t>
                      </w:r>
                    </w:p>
                  </w:txbxContent>
                </v:textbox>
              </v:rect>
            </w:pict>
          </mc:Fallback>
        </mc:AlternateContent>
      </w:r>
      <w:r>
        <w:rPr>
          <w:color w:val="7030A0"/>
        </w:rPr>
        <mc:AlternateContent>
          <mc:Choice Requires="wps">
            <w:drawing>
              <wp:anchor distT="0" distB="0" distL="114300" distR="114300" simplePos="0" relativeHeight="251934720" behindDoc="0" locked="0" layoutInCell="1" allowOverlap="1">
                <wp:simplePos x="0" y="0"/>
                <wp:positionH relativeFrom="column">
                  <wp:posOffset>2152650</wp:posOffset>
                </wp:positionH>
                <wp:positionV relativeFrom="paragraph">
                  <wp:posOffset>278765</wp:posOffset>
                </wp:positionV>
                <wp:extent cx="419100" cy="222250"/>
                <wp:effectExtent l="0" t="57150" r="19050" b="25400"/>
                <wp:wrapNone/>
                <wp:docPr id="169" name="连接符: 曲线 169"/>
                <wp:cNvGraphicFramePr/>
                <a:graphic xmlns:a="http://schemas.openxmlformats.org/drawingml/2006/main">
                  <a:graphicData uri="http://schemas.microsoft.com/office/word/2010/wordprocessingShape">
                    <wps:wsp>
                      <wps:cNvCnPr/>
                      <wps:spPr>
                        <a:xfrm flipV="1">
                          <a:off x="0" y="0"/>
                          <a:ext cx="419100" cy="222250"/>
                        </a:xfrm>
                        <a:prstGeom prst="curvedConnector3">
                          <a:avLst/>
                        </a:prstGeom>
                        <a:noFill/>
                        <a:ln w="6350" cap="flat" cmpd="sng" algn="ctr">
                          <a:solidFill>
                            <a:sysClr val="windowText" lastClr="000000"/>
                          </a:solidFill>
                          <a:prstDash val="dash"/>
                          <a:miter lim="800000"/>
                          <a:tailEnd type="triangle"/>
                        </a:ln>
                        <a:effectLst/>
                      </wps:spPr>
                      <wps:bodyPr/>
                    </wps:wsp>
                  </a:graphicData>
                </a:graphic>
              </wp:anchor>
            </w:drawing>
          </mc:Choice>
          <mc:Fallback>
            <w:pict>
              <v:shape id="连接符: 曲线 169" o:spid="_x0000_s1026" o:spt="38" type="#_x0000_t38" style="position:absolute;left:0pt;flip:y;margin-left:169.5pt;margin-top:21.95pt;height:17.5pt;width:33pt;z-index:251934720;mso-width-relative:page;mso-height-relative:page;" filled="f" stroked="t" coordsize="21600,21600" o:gfxdata="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a4fcu1gAAAAkBAAAPAAAAAAAAAAEAIAAAACIAAABkcnMv&#10;ZG93bnJldi54bWxQSwECFAAUAAAACACHTuJAanlwBQUCAADAAwAADgAAAAAAAAABACAAAAAlAQAA&#10;ZHJzL2Uyb0RvYy54bWxQSwUGAAAAAAYABgBZAQAAnAUAAAAA&#10;" adj="10800">
                <v:fill on="f" focussize="0,0"/>
                <v:stroke weight="0.5pt" color="#000000" miterlimit="8" joinstyle="miter" dashstyle="dash" endarrow="block"/>
                <v:imagedata o:title=""/>
                <o:lock v:ext="edit" aspectratio="f"/>
              </v:shape>
            </w:pict>
          </mc:Fallback>
        </mc:AlternateContent>
      </w:r>
    </w:p>
    <w:p>
      <w:pPr>
        <w:ind w:firstLine="480"/>
        <w:rPr>
          <w:rStyle w:val="63"/>
        </w:rPr>
      </w:pPr>
      <w:r>
        <w:rPr>
          <w:color w:val="7030A0"/>
        </w:rPr>
        <mc:AlternateContent>
          <mc:Choice Requires="wps">
            <w:drawing>
              <wp:anchor distT="0" distB="0" distL="114300" distR="114300" simplePos="0" relativeHeight="251968512" behindDoc="0" locked="0" layoutInCell="1" allowOverlap="1">
                <wp:simplePos x="0" y="0"/>
                <wp:positionH relativeFrom="column">
                  <wp:posOffset>730250</wp:posOffset>
                </wp:positionH>
                <wp:positionV relativeFrom="paragraph">
                  <wp:posOffset>56515</wp:posOffset>
                </wp:positionV>
                <wp:extent cx="482600" cy="298450"/>
                <wp:effectExtent l="0" t="0" r="0" b="0"/>
                <wp:wrapNone/>
                <wp:docPr id="492" name="矩形 492"/>
                <wp:cNvGraphicFramePr/>
                <a:graphic xmlns:a="http://schemas.openxmlformats.org/drawingml/2006/main">
                  <a:graphicData uri="http://schemas.microsoft.com/office/word/2010/wordprocessingShape">
                    <wps:wsp>
                      <wps:cNvSpPr/>
                      <wps:spPr>
                        <a:xfrm>
                          <a:off x="0" y="0"/>
                          <a:ext cx="482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w:t>
                            </w:r>
                            <w:r>
                              <w:rPr>
                                <w:color w:val="000000" w:themeColor="text1"/>
                                <w:sz w:val="21"/>
                                <w:szCs w:val="21"/>
                                <w14:textFill>
                                  <w14:solidFill>
                                    <w14:schemeClr w14:val="tx1"/>
                                  </w14:solidFill>
                                </w14:textFill>
                              </w:rPr>
                              <w:t>46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5pt;margin-top:4.45pt;height:23.5pt;width:38pt;z-index:251968512;v-text-anchor:middle;mso-width-relative:page;mso-height-relative:page;" filled="f" stroked="f" coordsize="21600,21600" o:gfxdata="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t7Ggp1AAAAAgBAAAPAAAAAAAAAAEA&#10;IAAAACIAAABkcnMvZG93bnJldi54bWxQSwECFAAUAAAACACHTuJAOKL6Z0wCAABwBAAADgAAAAAA&#10;AAABACAAAAAjAQAAZHJzL2Uyb0RvYy54bWxQSwUGAAAAAAYABgBZAQAA4QU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w:t>
                      </w:r>
                      <w:r>
                        <w:rPr>
                          <w:color w:val="000000" w:themeColor="text1"/>
                          <w:sz w:val="21"/>
                          <w:szCs w:val="21"/>
                          <w14:textFill>
                            <w14:solidFill>
                              <w14:schemeClr w14:val="tx1"/>
                            </w14:solidFill>
                          </w14:textFill>
                        </w:rPr>
                        <w:t>46</w:t>
                      </w:r>
                    </w:p>
                  </w:txbxContent>
                </v:textbox>
              </v:rect>
            </w:pict>
          </mc:Fallback>
        </mc:AlternateContent>
      </w:r>
      <w:r>
        <w:rPr>
          <w:rStyle w:val="63"/>
        </w:rPr>
        <mc:AlternateContent>
          <mc:Choice Requires="wps">
            <w:drawing>
              <wp:anchor distT="0" distB="0" distL="114300" distR="114300" simplePos="0" relativeHeight="251911168" behindDoc="0" locked="0" layoutInCell="1" allowOverlap="1">
                <wp:simplePos x="0" y="0"/>
                <wp:positionH relativeFrom="column">
                  <wp:posOffset>2020570</wp:posOffset>
                </wp:positionH>
                <wp:positionV relativeFrom="paragraph">
                  <wp:posOffset>225425</wp:posOffset>
                </wp:positionV>
                <wp:extent cx="749300" cy="342900"/>
                <wp:effectExtent l="0" t="0" r="12700" b="19050"/>
                <wp:wrapNone/>
                <wp:docPr id="150" name="矩形 150"/>
                <wp:cNvGraphicFramePr/>
                <a:graphic xmlns:a="http://schemas.openxmlformats.org/drawingml/2006/main">
                  <a:graphicData uri="http://schemas.microsoft.com/office/word/2010/wordprocessingShape">
                    <wps:wsp>
                      <wps:cNvSpPr/>
                      <wps:spPr>
                        <a:xfrm>
                          <a:off x="0" y="0"/>
                          <a:ext cx="749300" cy="342900"/>
                        </a:xfrm>
                        <a:prstGeom prst="rect">
                          <a:avLst/>
                        </a:prstGeom>
                        <a:noFill/>
                        <a:ln w="6350" cap="flat" cmpd="sng" algn="ctr">
                          <a:solidFill>
                            <a:sysClr val="windowText" lastClr="000000"/>
                          </a:solid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喷淋用水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9.1pt;margin-top:17.75pt;height:27pt;width:59pt;z-index:251911168;v-text-anchor:middle;mso-width-relative:page;mso-height-relative:page;" filled="f" stroked="t" coordsize="21600,21600" o:gfxdata="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9+4kCNcAAAAJAQAADwAAAAAAAAABACAAAAAiAAAAZHJzL2Rvd25yZXYueG1sUEsBAhQA&#10;FAAAAAgAh07iQFR28HRlAgAArAQAAA4AAAAAAAAAAQAgAAAAJgEAAGRycy9lMm9Eb2MueG1sUEsF&#10;BgAAAAAGAAYAWQEAAP0FAAAAAA==&#10;">
                <v:fill on="f" focussize="0,0"/>
                <v:stroke weight="0.5pt" color="#000000"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喷淋用水</w:t>
                      </w:r>
                    </w:p>
                  </w:txbxContent>
                </v:textbox>
              </v:rect>
            </w:pict>
          </mc:Fallback>
        </mc:AlternateContent>
      </w:r>
      <w:r>
        <w:rPr>
          <w:rStyle w:val="63"/>
        </w:rPr>
        <mc:AlternateContent>
          <mc:Choice Requires="wps">
            <w:drawing>
              <wp:anchor distT="0" distB="0" distL="114300" distR="114300" simplePos="0" relativeHeight="251913216" behindDoc="0" locked="0" layoutInCell="1" allowOverlap="1">
                <wp:simplePos x="0" y="0"/>
                <wp:positionH relativeFrom="column">
                  <wp:posOffset>3347720</wp:posOffset>
                </wp:positionH>
                <wp:positionV relativeFrom="paragraph">
                  <wp:posOffset>231775</wp:posOffset>
                </wp:positionV>
                <wp:extent cx="1289050" cy="342900"/>
                <wp:effectExtent l="0" t="0" r="25400" b="19050"/>
                <wp:wrapNone/>
                <wp:docPr id="152" name="矩形 152"/>
                <wp:cNvGraphicFramePr/>
                <a:graphic xmlns:a="http://schemas.openxmlformats.org/drawingml/2006/main">
                  <a:graphicData uri="http://schemas.microsoft.com/office/word/2010/wordprocessingShape">
                    <wps:wsp>
                      <wps:cNvSpPr/>
                      <wps:spPr>
                        <a:xfrm>
                          <a:off x="0" y="0"/>
                          <a:ext cx="1289050" cy="342900"/>
                        </a:xfrm>
                        <a:prstGeom prst="rect">
                          <a:avLst/>
                        </a:prstGeom>
                        <a:noFill/>
                        <a:ln w="6350" cap="flat" cmpd="sng" algn="ctr">
                          <a:solidFill>
                            <a:sysClr val="windowText" lastClr="000000"/>
                          </a:solid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交由有资质的单位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3.6pt;margin-top:18.25pt;height:27pt;width:101.5pt;z-index:251913216;v-text-anchor:middle;mso-width-relative:page;mso-height-relative:page;" filled="f" stroked="t" coordsize="21600,21600" o:gfxdata="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AgeWY1wAAAAkBAAAPAAAAAAAAAAEAIAAAACIAAABkcnMvZG93bnJldi54bWxQSwEC&#10;FAAUAAAACACHTuJABJDUy2cCAACtBAAADgAAAAAAAAABACAAAAAmAQAAZHJzL2Uyb0RvYy54bWxQ&#10;SwUGAAAAAAYABgBZAQAA/wUAAAAA&#10;">
                <v:fill on="f" focussize="0,0"/>
                <v:stroke weight="0.5pt" color="#000000"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交由有资质的单位</w:t>
                      </w:r>
                    </w:p>
                  </w:txbxContent>
                </v:textbox>
              </v:rect>
            </w:pict>
          </mc:Fallback>
        </mc:AlternateContent>
      </w:r>
    </w:p>
    <w:p>
      <w:pPr>
        <w:ind w:firstLine="480"/>
        <w:rPr>
          <w:rStyle w:val="63"/>
        </w:rPr>
      </w:pPr>
      <w:r>
        <w:rPr>
          <w:color w:val="7030A0"/>
        </w:rPr>
        <mc:AlternateContent>
          <mc:Choice Requires="wps">
            <w:drawing>
              <wp:anchor distT="0" distB="0" distL="114300" distR="114300" simplePos="0" relativeHeight="251970560" behindDoc="0" locked="0" layoutInCell="1" allowOverlap="1">
                <wp:simplePos x="0" y="0"/>
                <wp:positionH relativeFrom="column">
                  <wp:posOffset>636270</wp:posOffset>
                </wp:positionH>
                <wp:positionV relativeFrom="paragraph">
                  <wp:posOffset>189865</wp:posOffset>
                </wp:positionV>
                <wp:extent cx="742950" cy="349250"/>
                <wp:effectExtent l="0" t="0" r="0" b="0"/>
                <wp:wrapNone/>
                <wp:docPr id="493" name="矩形 493"/>
                <wp:cNvGraphicFramePr/>
                <a:graphic xmlns:a="http://schemas.openxmlformats.org/drawingml/2006/main">
                  <a:graphicData uri="http://schemas.microsoft.com/office/word/2010/wordprocessingShape">
                    <wps:wsp>
                      <wps:cNvSpPr/>
                      <wps:spPr>
                        <a:xfrm>
                          <a:off x="0" y="0"/>
                          <a:ext cx="742950" cy="3492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供水管网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1pt;margin-top:14.95pt;height:27.5pt;width:58.5pt;z-index:251970560;v-text-anchor:middle;mso-width-relative:page;mso-height-relative:page;" filled="f" stroked="f" coordsize="21600,21600" o:gfxdata="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jF+kVdYAAAAJAQAADwAAAAAAAAAB&#10;ACAAAAAiAAAAZHJzL2Rvd25yZXYueG1sUEsBAhQAFAAAAAgAh07iQGR8/rJLAgAAcAQAAA4AAAAA&#10;AAAAAQAgAAAAJQEAAGRycy9lMm9Eb2MueG1sUEsFBgAAAAAGAAYAWQEAAOIFA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供水管网</w:t>
                      </w:r>
                    </w:p>
                  </w:txbxContent>
                </v:textbox>
              </v:rect>
            </w:pict>
          </mc:Fallback>
        </mc:AlternateContent>
      </w:r>
      <w:r>
        <w:rPr>
          <w:rFonts w:hint="eastAsia"/>
          <w:color w:val="7030A0"/>
        </w:rPr>
        <mc:AlternateContent>
          <mc:Choice Requires="wps">
            <w:drawing>
              <wp:anchor distT="0" distB="0" distL="114300" distR="114300" simplePos="0" relativeHeight="251966464" behindDoc="0" locked="0" layoutInCell="1" allowOverlap="1">
                <wp:simplePos x="0" y="0"/>
                <wp:positionH relativeFrom="column">
                  <wp:posOffset>636270</wp:posOffset>
                </wp:positionH>
                <wp:positionV relativeFrom="paragraph">
                  <wp:posOffset>100965</wp:posOffset>
                </wp:positionV>
                <wp:extent cx="844550" cy="0"/>
                <wp:effectExtent l="0" t="76200" r="12700" b="95250"/>
                <wp:wrapNone/>
                <wp:docPr id="487" name="直接箭头连接符 487"/>
                <wp:cNvGraphicFramePr/>
                <a:graphic xmlns:a="http://schemas.openxmlformats.org/drawingml/2006/main">
                  <a:graphicData uri="http://schemas.microsoft.com/office/word/2010/wordprocessingShape">
                    <wps:wsp>
                      <wps:cNvCnPr/>
                      <wps:spPr>
                        <a:xfrm>
                          <a:off x="0" y="0"/>
                          <a:ext cx="8445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50.1pt;margin-top:7.95pt;height:0pt;width:66.5pt;z-index:251966464;mso-width-relative:page;mso-height-relative:page;" filled="f" stroked="t" coordsize="21600,21600" o:gfxdata="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Hyr3I1AAA&#10;AAkBAAAPAAAAAAAAAAEAIAAAACIAAABkcnMvZG93bnJldi54bWxQSwECFAAUAAAACACHTuJAoUlk&#10;lukBAACWAwAADgAAAAAAAAABACAAAAAjAQAAZHJzL2Uyb0RvYy54bWxQSwUGAAAAAAYABgBZAQAA&#10;fgUAAAAA&#10;">
                <v:fill on="f" focussize="0,0"/>
                <v:stroke weight="0.5pt" color="#000000 [3200]" miterlimit="8" joinstyle="miter" endarrow="block"/>
                <v:imagedata o:title=""/>
                <o:lock v:ext="edit" aspectratio="f"/>
              </v:shape>
            </w:pict>
          </mc:Fallback>
        </mc:AlternateContent>
      </w:r>
      <w:r>
        <w:rPr>
          <w:rStyle w:val="63"/>
          <w:rFonts w:hint="eastAsia"/>
        </w:rPr>
        <mc:AlternateContent>
          <mc:Choice Requires="wps">
            <w:drawing>
              <wp:anchor distT="0" distB="0" distL="114300" distR="114300" simplePos="0" relativeHeight="251928576" behindDoc="0" locked="0" layoutInCell="1" allowOverlap="1">
                <wp:simplePos x="0" y="0"/>
                <wp:positionH relativeFrom="column">
                  <wp:posOffset>1485900</wp:posOffset>
                </wp:positionH>
                <wp:positionV relativeFrom="paragraph">
                  <wp:posOffset>108585</wp:posOffset>
                </wp:positionV>
                <wp:extent cx="533400" cy="0"/>
                <wp:effectExtent l="0" t="76200" r="19050" b="95250"/>
                <wp:wrapNone/>
                <wp:docPr id="165" name="直接箭头连接符 165"/>
                <wp:cNvGraphicFramePr/>
                <a:graphic xmlns:a="http://schemas.openxmlformats.org/drawingml/2006/main">
                  <a:graphicData uri="http://schemas.microsoft.com/office/word/2010/wordprocessingShape">
                    <wps:wsp>
                      <wps:cNvCnPr/>
                      <wps:spPr>
                        <a:xfrm>
                          <a:off x="0" y="0"/>
                          <a:ext cx="5334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_x0000_s1026" o:spid="_x0000_s1026" o:spt="32" type="#_x0000_t32" style="position:absolute;left:0pt;margin-left:117pt;margin-top:8.55pt;height:0pt;width:42pt;z-index:251928576;mso-width-relative:page;mso-height-relative:page;" filled="f" stroked="t" coordsize="21600,21600" o:gfxdata="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P9qvBdQAAAAJAQAADwAAAAAAAAABACAAAAAiAAAAZHJzL2Rvd25yZXYueG1s&#10;UEsBAhQAFAAAAAgAh07iQCBYwCD8AQAAuAMAAA4AAAAAAAAAAQAgAAAAIwEAAGRycy9lMm9Eb2Mu&#10;eG1sUEsFBgAAAAAGAAYAWQEAAJEFAAAAAA==&#10;">
                <v:fill on="f" focussize="0,0"/>
                <v:stroke weight="0.5pt" color="#000000" miterlimit="8" joinstyle="miter" endarrow="block"/>
                <v:imagedata o:title=""/>
                <o:lock v:ext="edit" aspectratio="f"/>
              </v:shape>
            </w:pict>
          </mc:Fallback>
        </mc:AlternateContent>
      </w:r>
      <w:r>
        <w:rPr>
          <w:rStyle w:val="63"/>
          <w:rFonts w:hint="eastAsia"/>
        </w:rPr>
        <mc:AlternateContent>
          <mc:Choice Requires="wps">
            <w:drawing>
              <wp:anchor distT="0" distB="0" distL="114300" distR="114300" simplePos="0" relativeHeight="251922432" behindDoc="0" locked="0" layoutInCell="1" allowOverlap="1">
                <wp:simplePos x="0" y="0"/>
                <wp:positionH relativeFrom="column">
                  <wp:posOffset>2813050</wp:posOffset>
                </wp:positionH>
                <wp:positionV relativeFrom="paragraph">
                  <wp:posOffset>103505</wp:posOffset>
                </wp:positionV>
                <wp:extent cx="533400" cy="0"/>
                <wp:effectExtent l="0" t="76200" r="19050" b="95250"/>
                <wp:wrapNone/>
                <wp:docPr id="160" name="直接箭头连接符 160"/>
                <wp:cNvGraphicFramePr/>
                <a:graphic xmlns:a="http://schemas.openxmlformats.org/drawingml/2006/main">
                  <a:graphicData uri="http://schemas.microsoft.com/office/word/2010/wordprocessingShape">
                    <wps:wsp>
                      <wps:cNvCnPr/>
                      <wps:spPr>
                        <a:xfrm>
                          <a:off x="0" y="0"/>
                          <a:ext cx="5334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_x0000_s1026" o:spid="_x0000_s1026" o:spt="32" type="#_x0000_t32" style="position:absolute;left:0pt;margin-left:221.5pt;margin-top:8.15pt;height:0pt;width:42pt;z-index:251922432;mso-width-relative:page;mso-height-relative:page;" filled="f" stroked="t" coordsize="21600,21600" o:gfxdata="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NpJmpTVAAAACQEAAA8AAAAAAAAAAQAgAAAAIgAAAGRycy9kb3ducmV2Lnht&#10;bFBLAQIUABQAAAAIAIdO4kCol6O0/AEAALgDAAAOAAAAAAAAAAEAIAAAACQBAABkcnMvZTJvRG9j&#10;LnhtbFBLBQYAAAAABgAGAFkBAACSBQAAAAA=&#10;">
                <v:fill on="f" focussize="0,0"/>
                <v:stroke weight="0.5pt" color="#000000" miterlimit="8" joinstyle="miter" endarrow="block"/>
                <v:imagedata o:title=""/>
                <o:lock v:ext="edit" aspectratio="f"/>
              </v:shape>
            </w:pict>
          </mc:Fallback>
        </mc:AlternateContent>
      </w:r>
    </w:p>
    <w:p>
      <w:pPr>
        <w:pStyle w:val="18"/>
      </w:pPr>
      <w:r>
        <mc:AlternateContent>
          <mc:Choice Requires="wps">
            <w:drawing>
              <wp:anchor distT="0" distB="0" distL="114300" distR="114300" simplePos="0" relativeHeight="251961344" behindDoc="0" locked="0" layoutInCell="1" allowOverlap="1">
                <wp:simplePos x="0" y="0"/>
                <wp:positionH relativeFrom="column">
                  <wp:posOffset>3181350</wp:posOffset>
                </wp:positionH>
                <wp:positionV relativeFrom="paragraph">
                  <wp:posOffset>113665</wp:posOffset>
                </wp:positionV>
                <wp:extent cx="609600" cy="298450"/>
                <wp:effectExtent l="0" t="0" r="0" b="0"/>
                <wp:wrapNone/>
                <wp:docPr id="483" name="矩形 483"/>
                <wp:cNvGraphicFramePr/>
                <a:graphic xmlns:a="http://schemas.openxmlformats.org/drawingml/2006/main">
                  <a:graphicData uri="http://schemas.microsoft.com/office/word/2010/wordprocessingShape">
                    <wps:wsp>
                      <wps:cNvSpPr/>
                      <wps:spPr>
                        <a:xfrm>
                          <a:off x="0" y="0"/>
                          <a:ext cx="609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12336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0.5pt;margin-top:8.95pt;height:23.5pt;width:48pt;z-index:251961344;v-text-anchor:middle;mso-width-relative:page;mso-height-relative:page;" filled="f" stroked="f" coordsize="21600,21600" o:gfxdata="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gqVLs1wAAAAkBAAAPAAAAAAAA&#10;AAEAIAAAACIAAABkcnMvZG93bnJldi54bWxQSwECFAAUAAAACACHTuJAs+Os6kwCAABwBAAADgAA&#10;AAAAAAABACAAAAAmAQAAZHJzL2Uyb0RvYy54bWxQSwUGAAAAAAYABgBZAQAA5AU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12336</w:t>
                      </w:r>
                    </w:p>
                  </w:txbxContent>
                </v:textbox>
              </v:rect>
            </w:pict>
          </mc:Fallback>
        </mc:AlternateContent>
      </w:r>
      <w:r>
        <mc:AlternateContent>
          <mc:Choice Requires="wps">
            <w:drawing>
              <wp:anchor distT="0" distB="0" distL="114300" distR="114300" simplePos="0" relativeHeight="251959296" behindDoc="0" locked="0" layoutInCell="1" allowOverlap="1">
                <wp:simplePos x="0" y="0"/>
                <wp:positionH relativeFrom="column">
                  <wp:posOffset>1828800</wp:posOffset>
                </wp:positionH>
                <wp:positionV relativeFrom="paragraph">
                  <wp:posOffset>189865</wp:posOffset>
                </wp:positionV>
                <wp:extent cx="609600" cy="298450"/>
                <wp:effectExtent l="0" t="0" r="0" b="0"/>
                <wp:wrapNone/>
                <wp:docPr id="482" name="矩形 482"/>
                <wp:cNvGraphicFramePr/>
                <a:graphic xmlns:a="http://schemas.openxmlformats.org/drawingml/2006/main">
                  <a:graphicData uri="http://schemas.microsoft.com/office/word/2010/wordprocessingShape">
                    <wps:wsp>
                      <wps:cNvSpPr/>
                      <wps:spPr>
                        <a:xfrm>
                          <a:off x="0" y="0"/>
                          <a:ext cx="609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12336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4pt;margin-top:14.95pt;height:23.5pt;width:48pt;z-index:251959296;v-text-anchor:middle;mso-width-relative:page;mso-height-relative:page;" filled="f" stroked="f" coordsize="21600,21600" o:gfxdata="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ThJFG1wAAAAkBAAAPAAAAAAAA&#10;AAEAIAAAACIAAABkcnMvZG93bnJldi54bWxQSwECFAAUAAAACACHTuJAKRZ5O0wCAABwBAAADgAA&#10;AAAAAAABACAAAAAmAQAAZHJzL2Uyb0RvYy54bWxQSwUGAAAAAAYABgBZAQAA5AU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12336</w:t>
                      </w:r>
                    </w:p>
                  </w:txbxContent>
                </v:textbox>
              </v:rect>
            </w:pict>
          </mc:Fallback>
        </mc:AlternateContent>
      </w:r>
      <w:r>
        <mc:AlternateContent>
          <mc:Choice Requires="wps">
            <w:drawing>
              <wp:anchor distT="0" distB="0" distL="114300" distR="114300" simplePos="0" relativeHeight="251939840" behindDoc="0" locked="0" layoutInCell="1" allowOverlap="1">
                <wp:simplePos x="0" y="0"/>
                <wp:positionH relativeFrom="column">
                  <wp:posOffset>4154170</wp:posOffset>
                </wp:positionH>
                <wp:positionV relativeFrom="paragraph">
                  <wp:posOffset>26035</wp:posOffset>
                </wp:positionV>
                <wp:extent cx="2273300" cy="355600"/>
                <wp:effectExtent l="0" t="0" r="0" b="0"/>
                <wp:wrapNone/>
                <wp:docPr id="172" name="矩形 172"/>
                <wp:cNvGraphicFramePr/>
                <a:graphic xmlns:a="http://schemas.openxmlformats.org/drawingml/2006/main">
                  <a:graphicData uri="http://schemas.microsoft.com/office/word/2010/wordprocessingShape">
                    <wps:wsp>
                      <wps:cNvSpPr/>
                      <wps:spPr>
                        <a:xfrm>
                          <a:off x="0" y="0"/>
                          <a:ext cx="2273300" cy="35560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336 </w:t>
                            </w:r>
                            <w:r>
                              <w:rPr>
                                <w:rFonts w:hint="eastAsia"/>
                                <w:color w:val="000000" w:themeColor="text1"/>
                                <w:sz w:val="21"/>
                                <w:szCs w:val="21"/>
                                <w14:textFill>
                                  <w14:solidFill>
                                    <w14:schemeClr w14:val="tx1"/>
                                  </w14:solidFill>
                                </w14:textFill>
                              </w:rPr>
                              <w:t>（蒸发损耗2</w:t>
                            </w:r>
                            <w:r>
                              <w:rPr>
                                <w:color w:val="000000" w:themeColor="text1"/>
                                <w:sz w:val="21"/>
                                <w:szCs w:val="21"/>
                                <w14:textFill>
                                  <w14:solidFill>
                                    <w14:schemeClr w14:val="tx1"/>
                                  </w14:solidFill>
                                </w14:textFill>
                              </w:rPr>
                              <w:t>40+</w:t>
                            </w:r>
                            <w:r>
                              <w:rPr>
                                <w:rFonts w:hint="eastAsia"/>
                                <w:color w:val="000000" w:themeColor="text1"/>
                                <w:sz w:val="21"/>
                                <w:szCs w:val="21"/>
                                <w14:textFill>
                                  <w14:solidFill>
                                    <w14:schemeClr w14:val="tx1"/>
                                  </w14:solidFill>
                                </w14:textFill>
                              </w:rPr>
                              <w:t>风吹损耗9</w:t>
                            </w:r>
                            <w:r>
                              <w:rPr>
                                <w:color w:val="000000" w:themeColor="text1"/>
                                <w:sz w:val="21"/>
                                <w:szCs w:val="21"/>
                                <w14:textFill>
                                  <w14:solidFill>
                                    <w14:schemeClr w14:val="tx1"/>
                                  </w14:solidFill>
                                </w14:textFill>
                              </w:rPr>
                              <w:t>6</w:t>
                            </w:r>
                            <w:r>
                              <w:rPr>
                                <w:rFonts w:hint="eastAsia"/>
                                <w:color w:val="000000" w:themeColor="text1"/>
                                <w:sz w:val="21"/>
                                <w:szCs w:val="21"/>
                                <w14:textFill>
                                  <w14:solidFill>
                                    <w14:schemeClr w14:val="tx1"/>
                                  </w14:solidFill>
                                </w14:textFill>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7.1pt;margin-top:2.05pt;height:28pt;width:179pt;z-index:251939840;v-text-anchor:middle;mso-width-relative:page;mso-height-relative:page;" filled="f" stroked="f" coordsize="21600,21600" o:gfxdata="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IXjnSdYAAAAJAQAADwAAAAAAAAAB&#10;ACAAAAAiAAAAZHJzL2Rvd25yZXYueG1sUEsBAhQAFAAAAAgAh07iQCaq01JLAgAAcQQAAA4AAAAA&#10;AAAAAQAgAAAAJQEAAGRycy9lMm9Eb2MueG1sUEsFBgAAAAAGAAYAWQEAAOIFA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336 </w:t>
                      </w:r>
                      <w:r>
                        <w:rPr>
                          <w:rFonts w:hint="eastAsia"/>
                          <w:color w:val="000000" w:themeColor="text1"/>
                          <w:sz w:val="21"/>
                          <w:szCs w:val="21"/>
                          <w14:textFill>
                            <w14:solidFill>
                              <w14:schemeClr w14:val="tx1"/>
                            </w14:solidFill>
                          </w14:textFill>
                        </w:rPr>
                        <w:t>（蒸发损耗2</w:t>
                      </w:r>
                      <w:r>
                        <w:rPr>
                          <w:color w:val="000000" w:themeColor="text1"/>
                          <w:sz w:val="21"/>
                          <w:szCs w:val="21"/>
                          <w14:textFill>
                            <w14:solidFill>
                              <w14:schemeClr w14:val="tx1"/>
                            </w14:solidFill>
                          </w14:textFill>
                        </w:rPr>
                        <w:t>40+</w:t>
                      </w:r>
                      <w:r>
                        <w:rPr>
                          <w:rFonts w:hint="eastAsia"/>
                          <w:color w:val="000000" w:themeColor="text1"/>
                          <w:sz w:val="21"/>
                          <w:szCs w:val="21"/>
                          <w14:textFill>
                            <w14:solidFill>
                              <w14:schemeClr w14:val="tx1"/>
                            </w14:solidFill>
                          </w14:textFill>
                        </w:rPr>
                        <w:t>风吹损耗9</w:t>
                      </w:r>
                      <w:r>
                        <w:rPr>
                          <w:color w:val="000000" w:themeColor="text1"/>
                          <w:sz w:val="21"/>
                          <w:szCs w:val="21"/>
                          <w14:textFill>
                            <w14:solidFill>
                              <w14:schemeClr w14:val="tx1"/>
                            </w14:solidFill>
                          </w14:textFill>
                        </w:rPr>
                        <w:t>6</w:t>
                      </w:r>
                      <w:r>
                        <w:rPr>
                          <w:rFonts w:hint="eastAsia"/>
                          <w:color w:val="000000" w:themeColor="text1"/>
                          <w:sz w:val="21"/>
                          <w:szCs w:val="21"/>
                          <w14:textFill>
                            <w14:solidFill>
                              <w14:schemeClr w14:val="tx1"/>
                            </w14:solidFill>
                          </w14:textFill>
                        </w:rPr>
                        <w:t>）</w:t>
                      </w:r>
                    </w:p>
                  </w:txbxContent>
                </v:textbox>
              </v:rect>
            </w:pict>
          </mc:Fallback>
        </mc:AlternateContent>
      </w:r>
      <w:r>
        <mc:AlternateContent>
          <mc:Choice Requires="wps">
            <w:drawing>
              <wp:anchor distT="0" distB="0" distL="114300" distR="114300" simplePos="0" relativeHeight="251936768" behindDoc="0" locked="0" layoutInCell="1" allowOverlap="1">
                <wp:simplePos x="0" y="0"/>
                <wp:positionH relativeFrom="column">
                  <wp:posOffset>3881120</wp:posOffset>
                </wp:positionH>
                <wp:positionV relativeFrom="paragraph">
                  <wp:posOffset>191135</wp:posOffset>
                </wp:positionV>
                <wp:extent cx="349250" cy="222250"/>
                <wp:effectExtent l="0" t="57150" r="12700" b="25400"/>
                <wp:wrapNone/>
                <wp:docPr id="170" name="连接符: 曲线 170"/>
                <wp:cNvGraphicFramePr/>
                <a:graphic xmlns:a="http://schemas.openxmlformats.org/drawingml/2006/main">
                  <a:graphicData uri="http://schemas.microsoft.com/office/word/2010/wordprocessingShape">
                    <wps:wsp>
                      <wps:cNvCnPr/>
                      <wps:spPr>
                        <a:xfrm flipV="1">
                          <a:off x="0" y="0"/>
                          <a:ext cx="349250" cy="222250"/>
                        </a:xfrm>
                        <a:prstGeom prst="curvedConnector3">
                          <a:avLst/>
                        </a:prstGeom>
                        <a:noFill/>
                        <a:ln w="6350" cap="flat" cmpd="sng" algn="ctr">
                          <a:solidFill>
                            <a:sysClr val="windowText" lastClr="000000"/>
                          </a:solidFill>
                          <a:prstDash val="dash"/>
                          <a:miter lim="800000"/>
                          <a:tailEnd type="triangle"/>
                        </a:ln>
                        <a:effectLst/>
                      </wps:spPr>
                      <wps:bodyPr/>
                    </wps:wsp>
                  </a:graphicData>
                </a:graphic>
              </wp:anchor>
            </w:drawing>
          </mc:Choice>
          <mc:Fallback>
            <w:pict>
              <v:shape id="连接符: 曲线 170" o:spid="_x0000_s1026" o:spt="38" type="#_x0000_t38" style="position:absolute;left:0pt;flip:y;margin-left:305.6pt;margin-top:15.05pt;height:17.5pt;width:27.5pt;z-index:251936768;mso-width-relative:page;mso-height-relative:page;" filled="f" stroked="t" coordsize="21600,21600" o:gfxdata="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XG+uk0wAAAAkBAAAPAAAAAAAAAAEAIAAAACIAAABkcnMvZG93bnJl&#10;di54bWxQSwECFAAUAAAACACHTuJAKjDqMAICAADAAwAADgAAAAAAAAABACAAAAAiAQAAZHJzL2Uy&#10;b0RvYy54bWxQSwUGAAAAAAYABgBZAQAAlgUAAAAA&#10;" adj="10800">
                <v:fill on="f" focussize="0,0"/>
                <v:stroke weight="0.5pt" color="#000000" miterlimit="8" joinstyle="miter" dashstyle="dash" endarrow="block"/>
                <v:imagedata o:title=""/>
                <o:lock v:ext="edit" aspectratio="f"/>
              </v:shape>
            </w:pict>
          </mc:Fallback>
        </mc:AlternateContent>
      </w:r>
      <w:r>
        <mc:AlternateContent>
          <mc:Choice Requires="wps">
            <w:drawing>
              <wp:anchor distT="0" distB="0" distL="114300" distR="114300" simplePos="0" relativeHeight="251950080" behindDoc="0" locked="0" layoutInCell="1" allowOverlap="1">
                <wp:simplePos x="0" y="0"/>
                <wp:positionH relativeFrom="column">
                  <wp:posOffset>1485900</wp:posOffset>
                </wp:positionH>
                <wp:positionV relativeFrom="paragraph">
                  <wp:posOffset>113665</wp:posOffset>
                </wp:positionV>
                <wp:extent cx="609600" cy="298450"/>
                <wp:effectExtent l="0" t="0" r="0" b="0"/>
                <wp:wrapNone/>
                <wp:docPr id="191" name="矩形 191"/>
                <wp:cNvGraphicFramePr/>
                <a:graphic xmlns:a="http://schemas.openxmlformats.org/drawingml/2006/main">
                  <a:graphicData uri="http://schemas.microsoft.com/office/word/2010/wordprocessingShape">
                    <wps:wsp>
                      <wps:cNvSpPr/>
                      <wps:spPr>
                        <a:xfrm>
                          <a:off x="0" y="0"/>
                          <a:ext cx="609600" cy="2984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336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7pt;margin-top:8.95pt;height:23.5pt;width:48pt;z-index:251950080;v-text-anchor:middle;mso-width-relative:page;mso-height-relative:page;" filled="f" stroked="f" coordsize="21600,21600" o:gfxdata="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WX7TDNcAAAAJAQAADwAAAAAAAAAB&#10;ACAAAAAiAAAAZHJzL2Rvd25yZXYueG1sUEsBAhQAFAAAAAgAh07iQKbFkwZKAgAAcAQAAA4AAAAA&#10;AAAAAQAgAAAAJgEAAGRycy9lMm9Eb2MueG1sUEsFBgAAAAAGAAYAWQEAAOIFA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336</w:t>
                      </w:r>
                    </w:p>
                  </w:txbxContent>
                </v:textbox>
              </v:rect>
            </w:pict>
          </mc:Fallback>
        </mc:AlternateContent>
      </w:r>
    </w:p>
    <w:p>
      <w:pPr>
        <w:ind w:firstLine="480"/>
      </w:pPr>
      <w:r>
        <mc:AlternateContent>
          <mc:Choice Requires="wps">
            <w:drawing>
              <wp:anchor distT="0" distB="0" distL="114300" distR="114300" simplePos="0" relativeHeight="251955200" behindDoc="0" locked="0" layoutInCell="1" allowOverlap="1">
                <wp:simplePos x="0" y="0"/>
                <wp:positionH relativeFrom="column">
                  <wp:posOffset>1912620</wp:posOffset>
                </wp:positionH>
                <wp:positionV relativeFrom="paragraph">
                  <wp:posOffset>281305</wp:posOffset>
                </wp:positionV>
                <wp:extent cx="0" cy="654050"/>
                <wp:effectExtent l="76200" t="38100" r="57150" b="12700"/>
                <wp:wrapNone/>
                <wp:docPr id="479" name="直接箭头连接符 479"/>
                <wp:cNvGraphicFramePr/>
                <a:graphic xmlns:a="http://schemas.openxmlformats.org/drawingml/2006/main">
                  <a:graphicData uri="http://schemas.microsoft.com/office/word/2010/wordprocessingShape">
                    <wps:wsp>
                      <wps:cNvCnPr/>
                      <wps:spPr>
                        <a:xfrm flipV="1">
                          <a:off x="0" y="0"/>
                          <a:ext cx="0" cy="654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150.6pt;margin-top:22.15pt;height:51.5pt;width:0pt;z-index:251955200;mso-width-relative:page;mso-height-relative:page;" filled="f" stroked="t" coordsize="21600,21600" o:gfxdata="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Gwgjk2AAAAAoBAAAPAAAAAAAAAAEAIAAAACIAAABkcnMvZG93bnJldi54bWxQSwECFAAU&#10;AAAACACHTuJA0t2e6PEBAACgAwAADgAAAAAAAAABACAAAAAnAQAAZHJzL2Uyb0RvYy54bWxQSwUG&#10;AAAAAAYABgBZAQAAigUAAAAA&#10;">
                <v:fill on="f" focussize="0,0"/>
                <v:stroke weight="0.5pt" color="#000000 [3200]" miterlimit="8" joinstyle="miter" endarrow="block"/>
                <v:imagedata o:title=""/>
                <o:lock v:ext="edit" aspectratio="f"/>
              </v:shape>
            </w:pict>
          </mc:Fallback>
        </mc:AlternateContent>
      </w:r>
      <w:r>
        <mc:AlternateContent>
          <mc:Choice Requires="wps">
            <w:drawing>
              <wp:anchor distT="0" distB="0" distL="114300" distR="114300" simplePos="0" relativeHeight="251953152" behindDoc="0" locked="0" layoutInCell="1" allowOverlap="1">
                <wp:simplePos x="0" y="0"/>
                <wp:positionH relativeFrom="column">
                  <wp:posOffset>5011420</wp:posOffset>
                </wp:positionH>
                <wp:positionV relativeFrom="paragraph">
                  <wp:posOffset>287655</wp:posOffset>
                </wp:positionV>
                <wp:extent cx="0" cy="647700"/>
                <wp:effectExtent l="0" t="0" r="38100" b="19050"/>
                <wp:wrapNone/>
                <wp:docPr id="457" name="直接连接符 457"/>
                <wp:cNvGraphicFramePr/>
                <a:graphic xmlns:a="http://schemas.openxmlformats.org/drawingml/2006/main">
                  <a:graphicData uri="http://schemas.microsoft.com/office/word/2010/wordprocessingShape">
                    <wps:wsp>
                      <wps:cNvCnPr/>
                      <wps:spPr>
                        <a:xfrm>
                          <a:off x="0" y="0"/>
                          <a:ext cx="0" cy="647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394.6pt;margin-top:22.65pt;height:51pt;width:0pt;z-index:251953152;mso-width-relative:page;mso-height-relative:page;" filled="f" stroked="t" coordsize="21600,21600" o:gfxdata="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p8Byz1wAAAAoBAAAPAAAAAAAAAAEAIAAAACIAAABkcnMvZG93&#10;bnJldi54bWxQSwECFAAUAAAACACHTuJATEbnIsgBAABmAwAADgAAAAAAAAABACAAAAAmAQAAZHJz&#10;L2Uyb0RvYy54bWxQSwUGAAAAAAYABgBZAQAAYAUAAAAA&#10;">
                <v:fill on="f" focussize="0,0"/>
                <v:stroke weight="0.5pt" color="#000000 [3200]" miterlimit="8" joinstyle="miter"/>
                <v:imagedata o:title=""/>
                <o:lock v:ext="edit" aspectratio="f"/>
              </v:line>
            </w:pict>
          </mc:Fallback>
        </mc:AlternateContent>
      </w:r>
      <w:r>
        <mc:AlternateContent>
          <mc:Choice Requires="wps">
            <w:drawing>
              <wp:anchor distT="0" distB="0" distL="114300" distR="114300" simplePos="0" relativeHeight="251952128" behindDoc="0" locked="0" layoutInCell="1" allowOverlap="1">
                <wp:simplePos x="0" y="0"/>
                <wp:positionH relativeFrom="column">
                  <wp:posOffset>4630420</wp:posOffset>
                </wp:positionH>
                <wp:positionV relativeFrom="paragraph">
                  <wp:posOffset>281305</wp:posOffset>
                </wp:positionV>
                <wp:extent cx="381000" cy="0"/>
                <wp:effectExtent l="0" t="0" r="0" b="0"/>
                <wp:wrapNone/>
                <wp:docPr id="454" name="直接连接符 454"/>
                <wp:cNvGraphicFramePr/>
                <a:graphic xmlns:a="http://schemas.openxmlformats.org/drawingml/2006/main">
                  <a:graphicData uri="http://schemas.microsoft.com/office/word/2010/wordprocessingShape">
                    <wps:wsp>
                      <wps:cNvCnPr/>
                      <wps:spPr>
                        <a:xfrm>
                          <a:off x="0" y="0"/>
                          <a:ext cx="381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364.6pt;margin-top:22.15pt;height:0pt;width:30pt;z-index:251952128;mso-width-relative:page;mso-height-relative:page;" filled="f" stroked="t" coordsize="21600,21600" o:gfxdata="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RU/K9UAAAAJAQAADwAAAAAAAAABACAAAAAiAAAAZHJzL2Rvd25y&#10;ZXYueG1sUEsBAhQAFAAAAAgAh07iQM2M/hXIAQAAZgMAAA4AAAAAAAAAAQAgAAAAJAEAAGRycy9l&#10;Mm9Eb2MueG1sUEsFBgAAAAAGAAYAWQEAAF4FAAAAAA==&#10;">
                <v:fill on="f" focussize="0,0"/>
                <v:stroke weight="0.5pt" color="#000000 [3200]" miterlimit="8" joinstyle="miter"/>
                <v:imagedata o:title=""/>
                <o:lock v:ext="edit" aspectratio="f"/>
              </v:line>
            </w:pict>
          </mc:Fallback>
        </mc:AlternateContent>
      </w:r>
      <w:r>
        <mc:AlternateContent>
          <mc:Choice Requires="wps">
            <w:drawing>
              <wp:anchor distT="0" distB="0" distL="114300" distR="114300" simplePos="0" relativeHeight="251917312" behindDoc="0" locked="0" layoutInCell="1" allowOverlap="1">
                <wp:simplePos x="0" y="0"/>
                <wp:positionH relativeFrom="column">
                  <wp:posOffset>3752850</wp:posOffset>
                </wp:positionH>
                <wp:positionV relativeFrom="paragraph">
                  <wp:posOffset>113665</wp:posOffset>
                </wp:positionV>
                <wp:extent cx="876300" cy="342900"/>
                <wp:effectExtent l="0" t="0" r="19050" b="19050"/>
                <wp:wrapNone/>
                <wp:docPr id="156" name="矩形 156"/>
                <wp:cNvGraphicFramePr/>
                <a:graphic xmlns:a="http://schemas.openxmlformats.org/drawingml/2006/main">
                  <a:graphicData uri="http://schemas.microsoft.com/office/word/2010/wordprocessingShape">
                    <wps:wsp>
                      <wps:cNvSpPr/>
                      <wps:spPr>
                        <a:xfrm>
                          <a:off x="0" y="0"/>
                          <a:ext cx="876300" cy="342900"/>
                        </a:xfrm>
                        <a:prstGeom prst="rect">
                          <a:avLst/>
                        </a:prstGeom>
                        <a:noFill/>
                        <a:ln w="6350" cap="flat" cmpd="sng" algn="ctr">
                          <a:solidFill>
                            <a:sysClr val="windowText" lastClr="000000"/>
                          </a:solid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循环水池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5.5pt;margin-top:8.95pt;height:27pt;width:69pt;z-index:251917312;v-text-anchor:middle;mso-width-relative:page;mso-height-relative:page;" filled="f" stroked="t" coordsize="21600,21600" o:gfxdata="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grtOX1gAAAAkBAAAPAAAAAAAAAAEAIAAAACIAAABkcnMvZG93bnJldi54bWxQSwECFAAU&#10;AAAACACHTuJAxsllSWUCAACsBAAADgAAAAAAAAABACAAAAAlAQAAZHJzL2Uyb0RvYy54bWxQSwUG&#10;AAAAAAYABgBZAQAA/AUAAAAA&#10;">
                <v:fill on="f" focussize="0,0"/>
                <v:stroke weight="0.5pt" color="#000000"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循环水池</w:t>
                      </w:r>
                    </w:p>
                  </w:txbxContent>
                </v:textbox>
              </v:rect>
            </w:pict>
          </mc:Fallback>
        </mc:AlternateContent>
      </w:r>
      <w:r>
        <w:rPr>
          <w:rFonts w:hint="eastAsia"/>
        </w:rPr>
        <mc:AlternateContent>
          <mc:Choice Requires="wps">
            <w:drawing>
              <wp:anchor distT="0" distB="0" distL="114300" distR="114300" simplePos="0" relativeHeight="251924480" behindDoc="0" locked="0" layoutInCell="1" allowOverlap="1">
                <wp:simplePos x="0" y="0"/>
                <wp:positionH relativeFrom="column">
                  <wp:posOffset>3220720</wp:posOffset>
                </wp:positionH>
                <wp:positionV relativeFrom="paragraph">
                  <wp:posOffset>286385</wp:posOffset>
                </wp:positionV>
                <wp:extent cx="533400" cy="0"/>
                <wp:effectExtent l="0" t="76200" r="19050" b="95250"/>
                <wp:wrapNone/>
                <wp:docPr id="161" name="直接箭头连接符 161"/>
                <wp:cNvGraphicFramePr/>
                <a:graphic xmlns:a="http://schemas.openxmlformats.org/drawingml/2006/main">
                  <a:graphicData uri="http://schemas.microsoft.com/office/word/2010/wordprocessingShape">
                    <wps:wsp>
                      <wps:cNvCnPr/>
                      <wps:spPr>
                        <a:xfrm>
                          <a:off x="0" y="0"/>
                          <a:ext cx="5334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id="_x0000_s1026" o:spid="_x0000_s1026" o:spt="32" type="#_x0000_t32" style="position:absolute;left:0pt;margin-left:253.6pt;margin-top:22.55pt;height:0pt;width:42pt;z-index:251924480;mso-width-relative:page;mso-height-relative:page;" filled="f" stroked="t" coordsize="21600,21600" o:gfxdata="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s7qJbVAAAACQEAAA8AAAAAAAAAAQAgAAAAIgAAAGRycy9kb3ducmV2Lnht&#10;bFBLAQIUABQAAAAIAIdO4kCqqHZB/AEAALgDAAAOAAAAAAAAAAEAIAAAACQBAABkcnMvZTJvRG9j&#10;LnhtbFBLBQYAAAAABgAGAFkBAACSBQAAAAA=&#10;">
                <v:fill on="f" focussize="0,0"/>
                <v:stroke weight="0.5pt" color="#000000" miterlimit="8" joinstyle="miter" endarrow="block"/>
                <v:imagedata o:title=""/>
                <o:lock v:ext="edit" aspectratio="f"/>
              </v:shape>
            </w:pict>
          </mc:Fallback>
        </mc:AlternateContent>
      </w:r>
      <w:r>
        <mc:AlternateContent>
          <mc:Choice Requires="wps">
            <w:drawing>
              <wp:anchor distT="0" distB="0" distL="114300" distR="114300" simplePos="0" relativeHeight="251915264" behindDoc="0" locked="0" layoutInCell="1" allowOverlap="1">
                <wp:simplePos x="0" y="0"/>
                <wp:positionH relativeFrom="column">
                  <wp:posOffset>2458720</wp:posOffset>
                </wp:positionH>
                <wp:positionV relativeFrom="paragraph">
                  <wp:posOffset>114935</wp:posOffset>
                </wp:positionV>
                <wp:extent cx="762000" cy="342900"/>
                <wp:effectExtent l="0" t="0" r="19050" b="19050"/>
                <wp:wrapNone/>
                <wp:docPr id="155" name="矩形 155"/>
                <wp:cNvGraphicFramePr/>
                <a:graphic xmlns:a="http://schemas.openxmlformats.org/drawingml/2006/main">
                  <a:graphicData uri="http://schemas.microsoft.com/office/word/2010/wordprocessingShape">
                    <wps:wsp>
                      <wps:cNvSpPr/>
                      <wps:spPr>
                        <a:xfrm>
                          <a:off x="0" y="0"/>
                          <a:ext cx="762000" cy="342900"/>
                        </a:xfrm>
                        <a:prstGeom prst="rect">
                          <a:avLst/>
                        </a:prstGeom>
                        <a:noFill/>
                        <a:ln w="6350" cap="flat" cmpd="sng" algn="ctr">
                          <a:solidFill>
                            <a:sysClr val="windowText" lastClr="000000"/>
                          </a:solid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冷却用水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6pt;margin-top:9.05pt;height:27pt;width:60pt;z-index:251915264;v-text-anchor:middle;mso-width-relative:page;mso-height-relative:page;" filled="f" stroked="t" coordsize="21600,21600" o:gfxdata="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L4EQjrWAAAACQEAAA8AAAAAAAAAAQAgAAAAIgAAAGRycy9kb3ducmV2LnhtbFBLAQIUABQA&#10;AAAIAIdO4kCFjbM2ZAIAAKwEAAAOAAAAAAAAAAEAIAAAACUBAABkcnMvZTJvRG9jLnhtbFBLBQYA&#10;AAAABgAGAFkBAAD7BQAAAAA=&#10;">
                <v:fill on="f" focussize="0,0"/>
                <v:stroke weight="0.5pt" color="#000000"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冷却用水</w:t>
                      </w:r>
                    </w:p>
                  </w:txbxContent>
                </v:textbox>
              </v:rect>
            </w:pict>
          </mc:Fallback>
        </mc:AlternateContent>
      </w:r>
      <w:r>
        <mc:AlternateContent>
          <mc:Choice Requires="wps">
            <w:drawing>
              <wp:anchor distT="0" distB="0" distL="114300" distR="114300" simplePos="0" relativeHeight="251951104" behindDoc="0" locked="0" layoutInCell="1" allowOverlap="1">
                <wp:simplePos x="0" y="0"/>
                <wp:positionH relativeFrom="column">
                  <wp:posOffset>1474470</wp:posOffset>
                </wp:positionH>
                <wp:positionV relativeFrom="paragraph">
                  <wp:posOffset>281305</wp:posOffset>
                </wp:positionV>
                <wp:extent cx="965200" cy="0"/>
                <wp:effectExtent l="0" t="76200" r="25400" b="95250"/>
                <wp:wrapNone/>
                <wp:docPr id="451" name="直接箭头连接符 451"/>
                <wp:cNvGraphicFramePr/>
                <a:graphic xmlns:a="http://schemas.openxmlformats.org/drawingml/2006/main">
                  <a:graphicData uri="http://schemas.microsoft.com/office/word/2010/wordprocessingShape">
                    <wps:wsp>
                      <wps:cNvCnPr/>
                      <wps:spPr>
                        <a:xfrm>
                          <a:off x="0" y="0"/>
                          <a:ext cx="965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16.1pt;margin-top:22.15pt;height:0pt;width:76pt;z-index:251951104;mso-width-relative:page;mso-height-relative:page;" filled="f" stroked="t" coordsize="21600,21600" o:gfxdata="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PU9JR7V&#10;AAAACQEAAA8AAAAAAAAAAQAgAAAAIgAAAGRycy9kb3ducmV2LnhtbFBLAQIUABQAAAAIAIdO4kAf&#10;y+3H6gEAAJYDAAAOAAAAAAAAAAEAIAAAACQBAABkcnMvZTJvRG9jLnhtbFBLBQYAAAAABgAGAFkB&#10;AACABQAAAAA=&#10;">
                <v:fill on="f" focussize="0,0"/>
                <v:stroke weight="0.5pt" color="#000000 [3200]" miterlimit="8" joinstyle="miter" endarrow="block"/>
                <v:imagedata o:title=""/>
                <o:lock v:ext="edit" aspectratio="f"/>
              </v:shape>
            </w:pict>
          </mc:Fallback>
        </mc:AlternateContent>
      </w:r>
    </w:p>
    <w:p>
      <w:pPr>
        <w:pStyle w:val="2"/>
      </w:pPr>
    </w:p>
    <w:p>
      <w:pPr>
        <w:pStyle w:val="2"/>
      </w:pPr>
      <w:r>
        <w:rPr>
          <w:color w:val="7030A0"/>
        </w:rPr>
        <mc:AlternateContent>
          <mc:Choice Requires="wps">
            <w:drawing>
              <wp:anchor distT="0" distB="0" distL="114300" distR="114300" simplePos="0" relativeHeight="251957248" behindDoc="0" locked="0" layoutInCell="1" allowOverlap="1">
                <wp:simplePos x="0" y="0"/>
                <wp:positionH relativeFrom="column">
                  <wp:posOffset>3023870</wp:posOffset>
                </wp:positionH>
                <wp:positionV relativeFrom="paragraph">
                  <wp:posOffset>46355</wp:posOffset>
                </wp:positionV>
                <wp:extent cx="1492250" cy="349250"/>
                <wp:effectExtent l="0" t="0" r="0" b="0"/>
                <wp:wrapNone/>
                <wp:docPr id="480" name="矩形 480"/>
                <wp:cNvGraphicFramePr/>
                <a:graphic xmlns:a="http://schemas.openxmlformats.org/drawingml/2006/main">
                  <a:graphicData uri="http://schemas.microsoft.com/office/word/2010/wordprocessingShape">
                    <wps:wsp>
                      <wps:cNvSpPr/>
                      <wps:spPr>
                        <a:xfrm>
                          <a:off x="0" y="0"/>
                          <a:ext cx="1492250" cy="349250"/>
                        </a:xfrm>
                        <a:prstGeom prst="rect">
                          <a:avLst/>
                        </a:prstGeom>
                        <a:noFill/>
                        <a:ln w="12700" cap="flat" cmpd="sng" algn="ctr">
                          <a:noFill/>
                          <a:prstDash val="solid"/>
                          <a:miter lim="800000"/>
                        </a:ln>
                        <a:effectLst/>
                      </wps:spPr>
                      <wps:txb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循环使用量1</w:t>
                            </w:r>
                            <w:r>
                              <w:rPr>
                                <w:color w:val="000000" w:themeColor="text1"/>
                                <w:sz w:val="21"/>
                                <w:szCs w:val="21"/>
                                <w14:textFill>
                                  <w14:solidFill>
                                    <w14:schemeClr w14:val="tx1"/>
                                  </w14:solidFill>
                                </w14:textFill>
                              </w:rPr>
                              <w:t>20000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8.1pt;margin-top:3.65pt;height:27.5pt;width:117.5pt;z-index:251957248;v-text-anchor:middle;mso-width-relative:page;mso-height-relative:page;" filled="f" stroked="f" coordsize="21600,21600" o:gfxdata="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DkbUonWAAAACAEAAA8AAAAAAAAAAQAg&#10;AAAAIgAAAGRycy9kb3ducmV2LnhtbFBLAQIUABQAAAAIAIdO4kClrU+bSQIAAHEEAAAOAAAAAAAA&#10;AAEAIAAAACUBAABkcnMvZTJvRG9jLnhtbFBLBQYAAAAABgAGAFkBAADgBQAAAAA=&#10;">
                <v:fill on="f" focussize="0,0"/>
                <v:stroke on="f" weight="1pt" miterlimit="8" joinstyle="miter"/>
                <v:imagedata o:title=""/>
                <o:lock v:ext="edit" aspectratio="f"/>
                <v:textbox>
                  <w:txbxContent>
                    <w:p>
                      <w:pPr>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循环使用量1</w:t>
                      </w:r>
                      <w:r>
                        <w:rPr>
                          <w:color w:val="000000" w:themeColor="text1"/>
                          <w:sz w:val="21"/>
                          <w:szCs w:val="21"/>
                          <w14:textFill>
                            <w14:solidFill>
                              <w14:schemeClr w14:val="tx1"/>
                            </w14:solidFill>
                          </w14:textFill>
                        </w:rPr>
                        <w:t>20000</w:t>
                      </w:r>
                    </w:p>
                  </w:txbxContent>
                </v:textbox>
              </v:rect>
            </w:pict>
          </mc:Fallback>
        </mc:AlternateContent>
      </w:r>
    </w:p>
    <w:p>
      <w:pPr>
        <w:pStyle w:val="18"/>
      </w:pPr>
      <w:r>
        <w:rPr>
          <w:rFonts w:hint="eastAsia"/>
        </w:rPr>
        <mc:AlternateContent>
          <mc:Choice Requires="wps">
            <w:drawing>
              <wp:anchor distT="0" distB="0" distL="114300" distR="114300" simplePos="0" relativeHeight="251954176" behindDoc="0" locked="0" layoutInCell="1" allowOverlap="1">
                <wp:simplePos x="0" y="0"/>
                <wp:positionH relativeFrom="column">
                  <wp:posOffset>1912620</wp:posOffset>
                </wp:positionH>
                <wp:positionV relativeFrom="paragraph">
                  <wp:posOffset>241935</wp:posOffset>
                </wp:positionV>
                <wp:extent cx="3098800" cy="0"/>
                <wp:effectExtent l="0" t="0" r="0" b="0"/>
                <wp:wrapNone/>
                <wp:docPr id="458" name="直接连接符 458"/>
                <wp:cNvGraphicFramePr/>
                <a:graphic xmlns:a="http://schemas.openxmlformats.org/drawingml/2006/main">
                  <a:graphicData uri="http://schemas.microsoft.com/office/word/2010/wordprocessingShape">
                    <wps:wsp>
                      <wps:cNvCnPr/>
                      <wps:spPr>
                        <a:xfrm flipH="1">
                          <a:off x="0" y="0"/>
                          <a:ext cx="3098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x;margin-left:150.6pt;margin-top:19.05pt;height:0pt;width:244pt;z-index:251954176;mso-width-relative:page;mso-height-relative:page;" filled="f" stroked="t" coordsize="21600,21600" o:gfxdata="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PJXyb1QAAAAkBAAAPAAAAAAAAAAEAIAAAACIA&#10;AABkcnMvZG93bnJldi54bWxQSwECFAAUAAAACACHTuJA6RxFrNMBAABxAwAADgAAAAAAAAABACAA&#10;AAAkAQAAZHJzL2Uyb0RvYy54bWxQSwUGAAAAAAYABgBZAQAAaQUAAAAA&#10;">
                <v:fill on="f" focussize="0,0"/>
                <v:stroke weight="0.5pt" color="#000000 [3200]" miterlimit="8" joinstyle="miter"/>
                <v:imagedata o:title=""/>
                <o:lock v:ext="edit" aspectratio="f"/>
              </v:line>
            </w:pict>
          </mc:Fallback>
        </mc:AlternateContent>
      </w:r>
    </w:p>
    <w:p>
      <w:pPr>
        <w:pStyle w:val="18"/>
      </w:pPr>
      <w:r>
        <w:rPr>
          <w:rFonts w:hint="eastAsia"/>
        </w:rPr>
        <w:t xml:space="preserve"> </w:t>
      </w:r>
      <w:r>
        <w:t xml:space="preserve">      </w:t>
      </w:r>
    </w:p>
    <w:bookmarkEnd w:id="201"/>
    <w:p>
      <w:pPr>
        <w:pStyle w:val="18"/>
      </w:pPr>
      <w:r>
        <w:t xml:space="preserve"> </w:t>
      </w: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2.6</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bookmarkEnd w:id="202"/>
      <w:r>
        <w:rPr>
          <w:rFonts w:hint="eastAsia"/>
        </w:rPr>
        <w:t>项目水平衡图（单位：m</w:t>
      </w:r>
      <w:r>
        <w:rPr>
          <w:vertAlign w:val="superscript"/>
        </w:rPr>
        <w:t>3</w:t>
      </w:r>
      <w:r>
        <w:t>/</w:t>
      </w:r>
      <w:r>
        <w:rPr>
          <w:rFonts w:hint="eastAsia"/>
        </w:rPr>
        <w:t>a）</w:t>
      </w:r>
    </w:p>
    <w:p>
      <w:pPr>
        <w:snapToGrid w:val="0"/>
        <w:ind w:firstLine="480"/>
        <w:rPr>
          <w:rFonts w:eastAsiaTheme="minorEastAsia"/>
        </w:rPr>
      </w:pPr>
    </w:p>
    <w:p>
      <w:pPr>
        <w:snapToGrid w:val="0"/>
        <w:ind w:firstLine="480"/>
        <w:rPr>
          <w:rFonts w:eastAsiaTheme="minorEastAsia"/>
        </w:rPr>
      </w:pPr>
      <w:r>
        <w:rPr>
          <w:rFonts w:hint="eastAsia" w:eastAsiaTheme="minorEastAsia"/>
        </w:rPr>
        <w:t>综上，项目工业新鲜用水量</w:t>
      </w:r>
      <w:r>
        <w:rPr>
          <w:rFonts w:eastAsiaTheme="minorEastAsia"/>
        </w:rPr>
        <w:t>746</w:t>
      </w:r>
      <w:r>
        <w:rPr>
          <w:rFonts w:hint="eastAsia" w:eastAsiaTheme="minorEastAsia"/>
        </w:rPr>
        <w:t>m</w:t>
      </w:r>
      <w:r>
        <w:rPr>
          <w:rFonts w:eastAsiaTheme="minorEastAsia"/>
          <w:vertAlign w:val="superscript"/>
        </w:rPr>
        <w:t>3</w:t>
      </w:r>
      <w:r>
        <w:rPr>
          <w:rFonts w:eastAsiaTheme="minorEastAsia"/>
        </w:rPr>
        <w:t>/</w:t>
      </w:r>
      <w:r>
        <w:rPr>
          <w:rFonts w:hint="eastAsia" w:eastAsiaTheme="minorEastAsia"/>
        </w:rPr>
        <w:t>a，循环用水量为1</w:t>
      </w:r>
      <w:r>
        <w:rPr>
          <w:rFonts w:eastAsiaTheme="minorEastAsia"/>
        </w:rPr>
        <w:t>20</w:t>
      </w:r>
      <w:r>
        <w:rPr>
          <w:rFonts w:hint="eastAsia" w:eastAsiaTheme="minorEastAsia"/>
        </w:rPr>
        <w:t>00m</w:t>
      </w:r>
      <w:r>
        <w:rPr>
          <w:rFonts w:eastAsiaTheme="minorEastAsia"/>
          <w:vertAlign w:val="superscript"/>
        </w:rPr>
        <w:t>3</w:t>
      </w:r>
      <w:r>
        <w:rPr>
          <w:rFonts w:eastAsiaTheme="minorEastAsia"/>
        </w:rPr>
        <w:t>/</w:t>
      </w:r>
      <w:r>
        <w:rPr>
          <w:rFonts w:hint="eastAsia" w:eastAsiaTheme="minorEastAsia"/>
        </w:rPr>
        <w:t>a，工业用水循环利用率为</w:t>
      </w:r>
      <w:r>
        <w:rPr>
          <w:rFonts w:eastAsiaTheme="minorEastAsia"/>
        </w:rPr>
        <w:t>94.00%</w:t>
      </w:r>
      <w:r>
        <w:rPr>
          <w:rFonts w:hint="eastAsia" w:eastAsiaTheme="minorEastAsia"/>
        </w:rPr>
        <w:t>。</w:t>
      </w:r>
    </w:p>
    <w:p>
      <w:pPr>
        <w:pStyle w:val="4"/>
        <w:rPr>
          <w:rStyle w:val="63"/>
          <w:color w:val="000000" w:themeColor="text1"/>
          <w14:textFill>
            <w14:solidFill>
              <w14:schemeClr w14:val="tx1"/>
            </w14:solidFill>
          </w14:textFill>
        </w:rPr>
      </w:pPr>
      <w:bookmarkStart w:id="203" w:name="_Toc530404466"/>
      <w:bookmarkEnd w:id="203"/>
      <w:bookmarkStart w:id="204" w:name="_Toc530404467"/>
      <w:bookmarkEnd w:id="204"/>
      <w:bookmarkStart w:id="205" w:name="_Toc3538784"/>
      <w:r>
        <w:rPr>
          <w:rStyle w:val="63"/>
          <w:rFonts w:hint="eastAsia"/>
          <w:color w:val="000000" w:themeColor="text1"/>
          <w14:textFill>
            <w14:solidFill>
              <w14:schemeClr w14:val="tx1"/>
            </w14:solidFill>
          </w14:textFill>
        </w:rPr>
        <w:t>项目存在的环境问题及“以新带老”措施</w:t>
      </w:r>
      <w:bookmarkEnd w:id="205"/>
    </w:p>
    <w:p>
      <w:pPr>
        <w:pStyle w:val="126"/>
        <w:numPr>
          <w:ilvl w:val="0"/>
          <w:numId w:val="25"/>
        </w:numPr>
        <w:ind w:firstLine="480"/>
        <w:rPr>
          <w:rStyle w:val="63"/>
          <w:b w:val="0"/>
          <w:color w:val="000000" w:themeColor="text1"/>
          <w14:textFill>
            <w14:solidFill>
              <w14:schemeClr w14:val="tx1"/>
            </w14:solidFill>
          </w14:textFill>
        </w:rPr>
      </w:pPr>
      <w:r>
        <w:rPr>
          <w:rStyle w:val="63"/>
          <w:rFonts w:hint="eastAsia"/>
          <w:b w:val="0"/>
          <w:color w:val="000000" w:themeColor="text1"/>
          <w14:textFill>
            <w14:solidFill>
              <w14:schemeClr w14:val="tx1"/>
            </w14:solidFill>
          </w14:textFill>
        </w:rPr>
        <w:t>存在的问题</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企业项目至今未发生过环境投诉和风险事故。经现场勘查，项目存在的环境问题有：</w:t>
      </w:r>
    </w:p>
    <w:p>
      <w:pPr>
        <w:pStyle w:val="131"/>
        <w:ind w:firstLine="480" w:firstLineChars="20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部分车间无大门，部分窗户玻璃破损，生产过程中车间处于敞开状态，密闭性较差，对废气收集效率造成一定影响；</w:t>
      </w:r>
    </w:p>
    <w:p>
      <w:pPr>
        <w:pStyle w:val="131"/>
        <w:ind w:firstLine="480" w:firstLineChars="20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配料、投料过程中产生的粉尘为无组织排放，对周围环境造成一定的影响；</w:t>
      </w:r>
    </w:p>
    <w:p>
      <w:pPr>
        <w:pStyle w:val="131"/>
        <w:ind w:firstLine="480" w:firstLineChars="20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原有机废气处理系统只有简单的吸附作用，应增加相应环保设备进行深度处理；</w:t>
      </w:r>
    </w:p>
    <w:p>
      <w:pPr>
        <w:pStyle w:val="131"/>
        <w:ind w:firstLine="480" w:firstLineChars="20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密炼过程中产生的废气经密炼机的出气口直接管道收集。进出料需打开密炼室，废气在短时间内逸散出来。密炼过程中产生的废气仅经过袋式除尘器处理就通过1</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m高排气筒排放，其中的有机废气并没有得到削减；</w:t>
      </w:r>
    </w:p>
    <w:p>
      <w:pPr>
        <w:pStyle w:val="131"/>
        <w:ind w:firstLine="480" w:firstLineChars="20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项目因危险废物暂时储存场所没有设置危险废物识别标志受到行政处罚；</w:t>
      </w:r>
    </w:p>
    <w:p>
      <w:pPr>
        <w:pStyle w:val="131"/>
        <w:ind w:firstLine="480" w:firstLineChars="20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厂区内未设置事故应急池，一旦发生突发事件排放事故，事故废水存在超标排放的可能性。</w:t>
      </w:r>
    </w:p>
    <w:p>
      <w:pPr>
        <w:pStyle w:val="126"/>
        <w:numPr>
          <w:ilvl w:val="0"/>
          <w:numId w:val="25"/>
        </w:numPr>
        <w:ind w:firstLine="480"/>
        <w:rPr>
          <w:rStyle w:val="63"/>
          <w:b w:val="0"/>
          <w:color w:val="000000" w:themeColor="text1"/>
          <w14:textFill>
            <w14:solidFill>
              <w14:schemeClr w14:val="tx1"/>
            </w14:solidFill>
          </w14:textFill>
        </w:rPr>
      </w:pPr>
      <w:r>
        <w:rPr>
          <w:rStyle w:val="63"/>
          <w:rFonts w:hint="eastAsia"/>
          <w:b w:val="0"/>
        </w:rPr>
        <w:t xml:space="preserve"> </w:t>
      </w:r>
      <w:r>
        <w:rPr>
          <w:rStyle w:val="63"/>
          <w:rFonts w:hint="eastAsia"/>
          <w:b w:val="0"/>
          <w:color w:val="000000" w:themeColor="text1"/>
          <w14:textFill>
            <w14:solidFill>
              <w14:schemeClr w14:val="tx1"/>
            </w14:solidFill>
          </w14:textFill>
        </w:rPr>
        <w:t>“以新带老”</w:t>
      </w:r>
      <w:r>
        <w:rPr>
          <w:rStyle w:val="63"/>
          <w:b w:val="0"/>
          <w:color w:val="000000" w:themeColor="text1"/>
          <w14:textFill>
            <w14:solidFill>
              <w14:schemeClr w14:val="tx1"/>
            </w14:solidFill>
          </w14:textFill>
        </w:rPr>
        <w:t>措施</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根据项目存在的问题，本评价提出以下整改措施：</w:t>
      </w:r>
    </w:p>
    <w:p>
      <w:pPr>
        <w:pStyle w:val="131"/>
        <w:numPr>
          <w:ilvl w:val="0"/>
          <w:numId w:val="26"/>
        </w:numPr>
        <w:ind w:firstLine="480" w:firstLineChars="20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加强混炼车间、裁切车间、硫化车间等生产车间密闭状态，生产时应关闭大门、窗户，在开炼机、硫化机原有集气罩四周配备P</w:t>
      </w:r>
      <w:r>
        <w:rPr>
          <w:rStyle w:val="63"/>
          <w:color w:val="000000" w:themeColor="text1"/>
          <w14:textFill>
            <w14:solidFill>
              <w14:schemeClr w14:val="tx1"/>
            </w14:solidFill>
          </w14:textFill>
        </w:rPr>
        <w:t>VC</w:t>
      </w:r>
      <w:r>
        <w:rPr>
          <w:rStyle w:val="63"/>
          <w:rFonts w:hint="eastAsia"/>
          <w:color w:val="000000" w:themeColor="text1"/>
          <w14:textFill>
            <w14:solidFill>
              <w14:schemeClr w14:val="tx1"/>
            </w14:solidFill>
          </w14:textFill>
        </w:rPr>
        <w:t>软帘，形成半围合的收集系统；</w:t>
      </w:r>
    </w:p>
    <w:p>
      <w:pPr>
        <w:pStyle w:val="131"/>
        <w:numPr>
          <w:ilvl w:val="0"/>
          <w:numId w:val="26"/>
        </w:numPr>
        <w:ind w:firstLine="480" w:firstLineChars="20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项目有机废气经水喷淋预处理后，再通过“</w:t>
      </w:r>
      <w:r>
        <w:rPr>
          <w:rStyle w:val="63"/>
          <w:color w:val="000000" w:themeColor="text1"/>
          <w14:textFill>
            <w14:solidFill>
              <w14:schemeClr w14:val="tx1"/>
            </w14:solidFill>
          </w14:textFill>
        </w:rPr>
        <w:t>UV</w:t>
      </w:r>
      <w:r>
        <w:rPr>
          <w:rStyle w:val="63"/>
          <w:rFonts w:hint="eastAsia"/>
          <w:color w:val="000000" w:themeColor="text1"/>
          <w14:textFill>
            <w14:solidFill>
              <w14:schemeClr w14:val="tx1"/>
            </w14:solidFill>
          </w14:textFill>
        </w:rPr>
        <w:t>光解+活性炭吸附”工艺进行处理；</w:t>
      </w:r>
    </w:p>
    <w:p>
      <w:pPr>
        <w:pStyle w:val="131"/>
        <w:numPr>
          <w:ilvl w:val="0"/>
          <w:numId w:val="26"/>
        </w:numPr>
        <w:ind w:firstLine="480" w:firstLineChars="20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将配料工序移至密炼机旁进行，对配料、密炼工序进行局部围蔽处理，解包、配料操作区上方设移动式集气罩，密炼机进、出料口设集气罩局部抽风，并对围蔽的空间进行整体负压抽风收集，形成半围蔽收集后的废气通过袋式除尘器处理，再与开炼废气、硫化废气一同引至同一套“喷淋塔+</w:t>
      </w:r>
      <w:r>
        <w:rPr>
          <w:rStyle w:val="63"/>
          <w:color w:val="000000" w:themeColor="text1"/>
          <w14:textFill>
            <w14:solidFill>
              <w14:schemeClr w14:val="tx1"/>
            </w14:solidFill>
          </w14:textFill>
        </w:rPr>
        <w:t>UV</w:t>
      </w:r>
      <w:r>
        <w:rPr>
          <w:rStyle w:val="63"/>
          <w:rFonts w:hint="eastAsia"/>
          <w:color w:val="000000" w:themeColor="text1"/>
          <w14:textFill>
            <w14:solidFill>
              <w14:schemeClr w14:val="tx1"/>
            </w14:solidFill>
          </w14:textFill>
        </w:rPr>
        <w:t>光解+活性炭吸附”净化装置处理，最后由1</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m高的排气筒（P）排放；</w:t>
      </w:r>
    </w:p>
    <w:p>
      <w:pPr>
        <w:pStyle w:val="131"/>
        <w:numPr>
          <w:ilvl w:val="0"/>
          <w:numId w:val="26"/>
        </w:numPr>
        <w:ind w:firstLine="480" w:firstLineChars="20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加强固体废物的管理。一般固体废物集中收集暂存于裁切车间固废临时堆存区；危险废物严格管理，并根据《危险废物贮存污染控制标准》（GB</w:t>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18597-2001）及其修改单、《危险废物收集、贮存、运输技术规范》（HJ</w:t>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2025-2012）等相应的规范要求设置危险废物临时储存场所；</w:t>
      </w:r>
    </w:p>
    <w:p>
      <w:pPr>
        <w:pStyle w:val="131"/>
        <w:numPr>
          <w:ilvl w:val="0"/>
          <w:numId w:val="26"/>
        </w:numPr>
        <w:ind w:firstLine="480" w:firstLineChars="20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按相关要求设置污水处理设施，确保厂区产生的污水</w:t>
      </w:r>
      <w:r>
        <w:rPr>
          <w:rStyle w:val="63"/>
          <w:color w:val="000000" w:themeColor="text1"/>
          <w14:textFill>
            <w14:solidFill>
              <w14:schemeClr w14:val="tx1"/>
            </w14:solidFill>
          </w14:textFill>
        </w:rPr>
        <w:t>1.08m</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/d</w:t>
      </w:r>
      <w:r>
        <w:rPr>
          <w:rStyle w:val="63"/>
          <w:rFonts w:hint="eastAsia"/>
          <w:color w:val="000000" w:themeColor="text1"/>
          <w14:textFill>
            <w14:solidFill>
              <w14:schemeClr w14:val="tx1"/>
            </w14:solidFill>
          </w14:textFill>
        </w:rPr>
        <w:t>可以达标排放；</w:t>
      </w:r>
    </w:p>
    <w:p>
      <w:pPr>
        <w:pStyle w:val="131"/>
        <w:ind w:firstLine="480" w:firstLineChars="20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按相关要求于地势较低处设置有效容积不低于</w:t>
      </w:r>
      <w:r>
        <w:rPr>
          <w:rStyle w:val="63"/>
          <w:color w:val="000000" w:themeColor="text1"/>
          <w14:textFill>
            <w14:solidFill>
              <w14:schemeClr w14:val="tx1"/>
            </w14:solidFill>
          </w14:textFill>
        </w:rPr>
        <w:t>82</w:t>
      </w:r>
      <w:r>
        <w:rPr>
          <w:rStyle w:val="63"/>
          <w:rFonts w:hint="eastAsia"/>
          <w:color w:val="000000" w:themeColor="text1"/>
          <w14:textFill>
            <w14:solidFill>
              <w14:schemeClr w14:val="tx1"/>
            </w14:solidFill>
          </w14:textFill>
        </w:rPr>
        <w:t>m</w:t>
      </w:r>
      <w:r>
        <w:rPr>
          <w:rStyle w:val="63"/>
          <w:rFonts w:hint="eastAsia"/>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的事故应急池，拟设置应急池</w:t>
      </w:r>
      <w:r>
        <w:rPr>
          <w:rFonts w:hint="eastAsia"/>
        </w:rPr>
        <w:t>深度不小于1.5m，面积不小于55m²，则容积可达到8</w:t>
      </w:r>
      <w:r>
        <w:t>2.5</w:t>
      </w:r>
      <w:r>
        <w:rPr>
          <w:rFonts w:hint="eastAsia"/>
        </w:rPr>
        <w:t xml:space="preserve"> m</w:t>
      </w:r>
      <w:r>
        <w:rPr>
          <w:rFonts w:hint="eastAsia"/>
          <w:vertAlign w:val="superscript"/>
        </w:rPr>
        <w:t>3</w:t>
      </w:r>
      <w:r>
        <w:rPr>
          <w:rStyle w:val="63"/>
          <w:rFonts w:hint="eastAsia"/>
          <w:color w:val="000000" w:themeColor="text1"/>
          <w14:textFill>
            <w14:solidFill>
              <w14:schemeClr w14:val="tx1"/>
            </w14:solidFill>
          </w14:textFill>
        </w:rPr>
        <w:t>，</w:t>
      </w:r>
      <w:r>
        <w:rPr>
          <w:rFonts w:hint="eastAsia"/>
        </w:rPr>
        <w:t>满足最不利事故情况下的应急需求。</w:t>
      </w:r>
    </w:p>
    <w:p>
      <w:pPr>
        <w:ind w:firstLine="480"/>
        <w:rPr>
          <w:color w:val="FF0000"/>
        </w:rPr>
      </w:pPr>
      <w:r>
        <w:rPr>
          <w:rFonts w:hint="eastAsia"/>
          <w:color w:val="000000" w:themeColor="text1"/>
          <w14:textFill>
            <w14:solidFill>
              <w14:schemeClr w14:val="tx1"/>
            </w14:solidFill>
          </w14:textFill>
        </w:rPr>
        <w:t>项目存在的环保问题及整改措施实施计划见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_Ref4140992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 xml:space="preserve">表 </w:t>
      </w:r>
      <w:r>
        <w:rPr>
          <w:color w:val="000000" w:themeColor="text1"/>
          <w14:textFill>
            <w14:solidFill>
              <w14:schemeClr w14:val="tx1"/>
            </w14:solidFill>
          </w14:textFill>
        </w:rPr>
        <w:t>2.7</w:t>
      </w:r>
      <w:r>
        <w:rPr>
          <w:color w:val="000000" w:themeColor="text1"/>
          <w14:textFill>
            <w14:solidFill>
              <w14:schemeClr w14:val="tx1"/>
            </w14:solidFill>
          </w14:textFill>
        </w:rPr>
        <w:noBreakHyphen/>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rFonts w:hint="eastAsia"/>
          <w:color w:val="FF0000"/>
        </w:rPr>
        <w:t>。</w:t>
      </w:r>
    </w:p>
    <w:p>
      <w:pPr>
        <w:pStyle w:val="107"/>
        <w:rPr>
          <w:rStyle w:val="63"/>
        </w:rPr>
        <w:sectPr>
          <w:pgSz w:w="11906" w:h="16838"/>
          <w:pgMar w:top="1361" w:right="1361" w:bottom="1361" w:left="1418" w:header="851" w:footer="992" w:gutter="0"/>
          <w:cols w:space="720" w:num="1"/>
          <w:docGrid w:type="lines" w:linePitch="312" w:charSpace="0"/>
        </w:sectPr>
      </w:pPr>
    </w:p>
    <w:p>
      <w:pPr>
        <w:pStyle w:val="18"/>
      </w:pPr>
      <w:bookmarkStart w:id="206" w:name="_Ref4140992"/>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2.7</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bookmarkEnd w:id="206"/>
      <w:r>
        <w:rPr>
          <w:rFonts w:hint="eastAsia"/>
        </w:rPr>
        <w:t>项目存在的环保问题及“以新带老”措施一览表</w:t>
      </w:r>
    </w:p>
    <w:tbl>
      <w:tblPr>
        <w:tblStyle w:val="56"/>
        <w:tblW w:w="1410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28"/>
        <w:gridCol w:w="1814"/>
        <w:gridCol w:w="6260"/>
        <w:gridCol w:w="1701"/>
        <w:gridCol w:w="11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blHeader/>
          <w:jc w:val="center"/>
        </w:trPr>
        <w:tc>
          <w:tcPr>
            <w:tcW w:w="3228" w:type="dxa"/>
            <w:shd w:val="clear" w:color="auto" w:fill="auto"/>
            <w:vAlign w:val="center"/>
          </w:tcPr>
          <w:p>
            <w:pPr>
              <w:pStyle w:val="107"/>
              <w:rPr>
                <w:b/>
              </w:rPr>
            </w:pPr>
            <w:r>
              <w:rPr>
                <w:rFonts w:hint="eastAsia"/>
                <w:b/>
              </w:rPr>
              <w:t>环保问题</w:t>
            </w:r>
          </w:p>
        </w:tc>
        <w:tc>
          <w:tcPr>
            <w:tcW w:w="1814" w:type="dxa"/>
            <w:shd w:val="clear" w:color="auto" w:fill="auto"/>
            <w:vAlign w:val="center"/>
          </w:tcPr>
          <w:p>
            <w:pPr>
              <w:pStyle w:val="107"/>
              <w:rPr>
                <w:b/>
                <w:sz w:val="22"/>
                <w:szCs w:val="22"/>
              </w:rPr>
            </w:pPr>
            <w:r>
              <w:rPr>
                <w:rFonts w:hint="eastAsia"/>
                <w:b/>
                <w:sz w:val="22"/>
                <w:szCs w:val="22"/>
              </w:rPr>
              <w:t>整改措施</w:t>
            </w:r>
          </w:p>
        </w:tc>
        <w:tc>
          <w:tcPr>
            <w:tcW w:w="6260" w:type="dxa"/>
            <w:shd w:val="clear" w:color="auto" w:fill="auto"/>
            <w:vAlign w:val="center"/>
          </w:tcPr>
          <w:p>
            <w:pPr>
              <w:pStyle w:val="107"/>
              <w:rPr>
                <w:b/>
              </w:rPr>
            </w:pPr>
            <w:r>
              <w:rPr>
                <w:rFonts w:hint="eastAsia"/>
                <w:b/>
              </w:rPr>
              <w:t>拟实施方案</w:t>
            </w:r>
          </w:p>
        </w:tc>
        <w:tc>
          <w:tcPr>
            <w:tcW w:w="1701" w:type="dxa"/>
            <w:shd w:val="clear" w:color="auto" w:fill="auto"/>
            <w:vAlign w:val="center"/>
          </w:tcPr>
          <w:p>
            <w:pPr>
              <w:pStyle w:val="107"/>
              <w:rPr>
                <w:b/>
              </w:rPr>
            </w:pPr>
            <w:r>
              <w:rPr>
                <w:rFonts w:hint="eastAsia"/>
                <w:b/>
              </w:rPr>
              <w:t>计划完成时间</w:t>
            </w:r>
          </w:p>
        </w:tc>
        <w:tc>
          <w:tcPr>
            <w:tcW w:w="1103" w:type="dxa"/>
            <w:shd w:val="clear" w:color="auto" w:fill="auto"/>
            <w:vAlign w:val="center"/>
          </w:tcPr>
          <w:p>
            <w:pPr>
              <w:pStyle w:val="107"/>
              <w:rPr>
                <w:b/>
              </w:rPr>
            </w:pPr>
            <w:r>
              <w:rPr>
                <w:rFonts w:hint="eastAsia"/>
                <w:b/>
              </w:rPr>
              <w:t>经费预算（万元）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3228" w:type="dxa"/>
            <w:vMerge w:val="restart"/>
            <w:shd w:val="clear" w:color="auto" w:fill="auto"/>
            <w:vAlign w:val="center"/>
          </w:tcPr>
          <w:p>
            <w:pPr>
              <w:pStyle w:val="107"/>
              <w:rPr>
                <w:sz w:val="22"/>
                <w:szCs w:val="22"/>
              </w:rPr>
            </w:pPr>
            <w:r>
              <w:rPr>
                <w:rFonts w:hint="eastAsia"/>
                <w:sz w:val="22"/>
                <w:szCs w:val="22"/>
              </w:rPr>
              <w:t>部分车间无大门，部分窗户玻璃破损，生产过程中车间处于敞开状态，密闭性较差，对废气收集效率造成一定影响</w:t>
            </w:r>
          </w:p>
        </w:tc>
        <w:tc>
          <w:tcPr>
            <w:tcW w:w="1814" w:type="dxa"/>
            <w:shd w:val="clear" w:color="auto" w:fill="auto"/>
            <w:vAlign w:val="center"/>
          </w:tcPr>
          <w:p>
            <w:pPr>
              <w:pStyle w:val="107"/>
              <w:rPr>
                <w:sz w:val="22"/>
                <w:szCs w:val="22"/>
              </w:rPr>
            </w:pPr>
            <w:r>
              <w:rPr>
                <w:rFonts w:hint="eastAsia"/>
                <w:sz w:val="22"/>
                <w:szCs w:val="22"/>
              </w:rPr>
              <w:t>增强生产车间密闭性</w:t>
            </w:r>
          </w:p>
        </w:tc>
        <w:tc>
          <w:tcPr>
            <w:tcW w:w="6260" w:type="dxa"/>
            <w:shd w:val="clear" w:color="auto" w:fill="auto"/>
            <w:vAlign w:val="center"/>
          </w:tcPr>
          <w:p>
            <w:pPr>
              <w:pStyle w:val="107"/>
              <w:jc w:val="left"/>
              <w:rPr>
                <w:sz w:val="22"/>
                <w:szCs w:val="22"/>
              </w:rPr>
            </w:pPr>
            <w:r>
              <w:rPr>
                <w:rFonts w:hint="eastAsia"/>
                <w:sz w:val="22"/>
                <w:szCs w:val="22"/>
              </w:rPr>
              <w:t>车间安装大门、修补窗户；生产时闭合门窗，形成一个相对独立的空间</w:t>
            </w:r>
          </w:p>
        </w:tc>
        <w:tc>
          <w:tcPr>
            <w:tcW w:w="1701" w:type="dxa"/>
            <w:shd w:val="clear" w:color="auto" w:fill="auto"/>
            <w:noWrap/>
            <w:vAlign w:val="center"/>
          </w:tcPr>
          <w:p>
            <w:pPr>
              <w:pStyle w:val="107"/>
              <w:jc w:val="left"/>
              <w:rPr>
                <w:sz w:val="22"/>
                <w:szCs w:val="22"/>
              </w:rPr>
            </w:pPr>
            <w:r>
              <w:rPr>
                <w:rFonts w:hint="eastAsia"/>
                <w:sz w:val="22"/>
                <w:szCs w:val="22"/>
              </w:rPr>
              <w:t>2019年</w:t>
            </w:r>
            <w:r>
              <w:rPr>
                <w:sz w:val="22"/>
                <w:szCs w:val="22"/>
              </w:rPr>
              <w:t>10</w:t>
            </w:r>
            <w:r>
              <w:rPr>
                <w:rFonts w:hint="eastAsia"/>
                <w:sz w:val="22"/>
                <w:szCs w:val="22"/>
              </w:rPr>
              <w:t>月底</w:t>
            </w:r>
          </w:p>
        </w:tc>
        <w:tc>
          <w:tcPr>
            <w:tcW w:w="1103" w:type="dxa"/>
            <w:vMerge w:val="restart"/>
            <w:shd w:val="clear" w:color="auto" w:fill="auto"/>
            <w:noWrap/>
            <w:vAlign w:val="center"/>
          </w:tcPr>
          <w:p>
            <w:pPr>
              <w:pStyle w:val="107"/>
              <w:rPr>
                <w:rFonts w:ascii="等线" w:hAnsi="等线" w:eastAsia="等线"/>
                <w:sz w:val="22"/>
                <w:szCs w:val="22"/>
              </w:rPr>
            </w:pPr>
            <w:r>
              <w:rPr>
                <w:rFonts w:hint="eastAsia" w:ascii="等线" w:hAnsi="等线" w:eastAsia="等线"/>
                <w:sz w:val="22"/>
                <w:szCs w:val="22"/>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jc w:val="center"/>
        </w:trPr>
        <w:tc>
          <w:tcPr>
            <w:tcW w:w="3228" w:type="dxa"/>
            <w:vMerge w:val="continue"/>
            <w:vAlign w:val="center"/>
          </w:tcPr>
          <w:p>
            <w:pPr>
              <w:pStyle w:val="107"/>
              <w:rPr>
                <w:sz w:val="22"/>
                <w:szCs w:val="22"/>
              </w:rPr>
            </w:pPr>
          </w:p>
        </w:tc>
        <w:tc>
          <w:tcPr>
            <w:tcW w:w="1814" w:type="dxa"/>
            <w:shd w:val="clear" w:color="auto" w:fill="auto"/>
            <w:vAlign w:val="center"/>
          </w:tcPr>
          <w:p>
            <w:pPr>
              <w:pStyle w:val="107"/>
              <w:rPr>
                <w:sz w:val="22"/>
                <w:szCs w:val="22"/>
              </w:rPr>
            </w:pPr>
            <w:r>
              <w:rPr>
                <w:rFonts w:hint="eastAsia"/>
                <w:sz w:val="22"/>
                <w:szCs w:val="22"/>
              </w:rPr>
              <w:t>增加开炼、硫化废气捕集率</w:t>
            </w:r>
          </w:p>
        </w:tc>
        <w:tc>
          <w:tcPr>
            <w:tcW w:w="6260" w:type="dxa"/>
            <w:shd w:val="clear" w:color="auto" w:fill="auto"/>
            <w:vAlign w:val="center"/>
          </w:tcPr>
          <w:p>
            <w:pPr>
              <w:pStyle w:val="107"/>
              <w:jc w:val="left"/>
              <w:rPr>
                <w:sz w:val="22"/>
                <w:szCs w:val="22"/>
              </w:rPr>
            </w:pPr>
            <w:r>
              <w:rPr>
                <w:rFonts w:hint="eastAsia"/>
                <w:sz w:val="22"/>
                <w:szCs w:val="22"/>
              </w:rPr>
              <w:t>在开炼机、硫化机原有集气罩四周加装软帘材料进行局部围合</w:t>
            </w:r>
          </w:p>
        </w:tc>
        <w:tc>
          <w:tcPr>
            <w:tcW w:w="1701" w:type="dxa"/>
            <w:shd w:val="clear" w:color="auto" w:fill="auto"/>
            <w:noWrap/>
            <w:vAlign w:val="center"/>
          </w:tcPr>
          <w:p>
            <w:pPr>
              <w:pStyle w:val="107"/>
              <w:jc w:val="left"/>
              <w:rPr>
                <w:sz w:val="22"/>
                <w:szCs w:val="22"/>
              </w:rPr>
            </w:pPr>
            <w:r>
              <w:rPr>
                <w:rFonts w:hint="eastAsia"/>
                <w:sz w:val="22"/>
                <w:szCs w:val="22"/>
              </w:rPr>
              <w:t>2019年</w:t>
            </w:r>
            <w:r>
              <w:rPr>
                <w:sz w:val="22"/>
                <w:szCs w:val="22"/>
              </w:rPr>
              <w:t>10</w:t>
            </w:r>
            <w:r>
              <w:rPr>
                <w:rFonts w:hint="eastAsia"/>
                <w:sz w:val="22"/>
                <w:szCs w:val="22"/>
              </w:rPr>
              <w:t>月底</w:t>
            </w:r>
          </w:p>
        </w:tc>
        <w:tc>
          <w:tcPr>
            <w:tcW w:w="1103" w:type="dxa"/>
            <w:vMerge w:val="continue"/>
            <w:vAlign w:val="center"/>
          </w:tcPr>
          <w:p>
            <w:pPr>
              <w:pStyle w:val="107"/>
              <w:rPr>
                <w:rFonts w:ascii="等线" w:hAnsi="等线" w:eastAsia="等线"/>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0" w:hRule="atLeast"/>
          <w:jc w:val="center"/>
        </w:trPr>
        <w:tc>
          <w:tcPr>
            <w:tcW w:w="3228" w:type="dxa"/>
            <w:vMerge w:val="restart"/>
            <w:shd w:val="clear" w:color="auto" w:fill="auto"/>
            <w:vAlign w:val="center"/>
          </w:tcPr>
          <w:p>
            <w:pPr>
              <w:pStyle w:val="107"/>
              <w:rPr>
                <w:sz w:val="22"/>
                <w:szCs w:val="22"/>
              </w:rPr>
            </w:pPr>
            <w:r>
              <w:rPr>
                <w:rFonts w:hint="eastAsia"/>
                <w:sz w:val="22"/>
                <w:szCs w:val="22"/>
              </w:rPr>
              <w:t>配料、投料过程中产生的粉尘为无收集，无组织排放</w:t>
            </w:r>
          </w:p>
        </w:tc>
        <w:tc>
          <w:tcPr>
            <w:tcW w:w="1814" w:type="dxa"/>
            <w:shd w:val="clear" w:color="auto" w:fill="auto"/>
            <w:vAlign w:val="center"/>
          </w:tcPr>
          <w:p>
            <w:pPr>
              <w:pStyle w:val="107"/>
              <w:rPr>
                <w:sz w:val="22"/>
                <w:szCs w:val="22"/>
              </w:rPr>
            </w:pPr>
            <w:r>
              <w:rPr>
                <w:rFonts w:hint="eastAsia"/>
                <w:sz w:val="22"/>
                <w:szCs w:val="22"/>
              </w:rPr>
              <w:t>局部围蔽</w:t>
            </w:r>
          </w:p>
        </w:tc>
        <w:tc>
          <w:tcPr>
            <w:tcW w:w="6260" w:type="dxa"/>
            <w:shd w:val="clear" w:color="auto" w:fill="auto"/>
            <w:vAlign w:val="center"/>
          </w:tcPr>
          <w:p>
            <w:pPr>
              <w:pStyle w:val="107"/>
              <w:jc w:val="left"/>
              <w:rPr>
                <w:sz w:val="22"/>
                <w:szCs w:val="22"/>
              </w:rPr>
            </w:pPr>
            <w:r>
              <w:rPr>
                <w:rFonts w:hint="eastAsia"/>
                <w:sz w:val="22"/>
                <w:szCs w:val="22"/>
              </w:rPr>
              <w:t>对配料、密炼工序进行局部围蔽处理，围蔽空间长约1</w:t>
            </w:r>
            <w:r>
              <w:rPr>
                <w:sz w:val="22"/>
                <w:szCs w:val="22"/>
              </w:rPr>
              <w:t>0</w:t>
            </w:r>
            <w:r>
              <w:rPr>
                <w:rFonts w:hint="eastAsia"/>
                <w:sz w:val="22"/>
                <w:szCs w:val="22"/>
              </w:rPr>
              <w:t>m，宽约1</w:t>
            </w:r>
            <w:r>
              <w:rPr>
                <w:sz w:val="22"/>
                <w:szCs w:val="22"/>
              </w:rPr>
              <w:t>0</w:t>
            </w:r>
            <w:r>
              <w:rPr>
                <w:rFonts w:hint="eastAsia"/>
                <w:sz w:val="22"/>
                <w:szCs w:val="22"/>
              </w:rPr>
              <w:t>m，高约</w:t>
            </w:r>
            <w:r>
              <w:rPr>
                <w:sz w:val="22"/>
                <w:szCs w:val="22"/>
              </w:rPr>
              <w:t>3</w:t>
            </w:r>
            <w:r>
              <w:rPr>
                <w:rFonts w:hint="eastAsia"/>
                <w:sz w:val="22"/>
                <w:szCs w:val="22"/>
              </w:rPr>
              <w:t>m</w:t>
            </w:r>
          </w:p>
        </w:tc>
        <w:tc>
          <w:tcPr>
            <w:tcW w:w="1701" w:type="dxa"/>
            <w:shd w:val="clear" w:color="auto" w:fill="auto"/>
            <w:noWrap/>
            <w:vAlign w:val="center"/>
          </w:tcPr>
          <w:p>
            <w:pPr>
              <w:pStyle w:val="107"/>
              <w:jc w:val="left"/>
              <w:rPr>
                <w:sz w:val="22"/>
                <w:szCs w:val="22"/>
              </w:rPr>
            </w:pPr>
            <w:r>
              <w:rPr>
                <w:rFonts w:hint="eastAsia"/>
                <w:sz w:val="22"/>
                <w:szCs w:val="22"/>
              </w:rPr>
              <w:t>2019年</w:t>
            </w:r>
            <w:r>
              <w:rPr>
                <w:sz w:val="22"/>
                <w:szCs w:val="22"/>
              </w:rPr>
              <w:t>10</w:t>
            </w:r>
            <w:r>
              <w:rPr>
                <w:rFonts w:hint="eastAsia"/>
                <w:sz w:val="22"/>
                <w:szCs w:val="22"/>
              </w:rPr>
              <w:t>月底</w:t>
            </w:r>
          </w:p>
        </w:tc>
        <w:tc>
          <w:tcPr>
            <w:tcW w:w="1103" w:type="dxa"/>
            <w:vMerge w:val="restart"/>
            <w:shd w:val="clear" w:color="auto" w:fill="auto"/>
            <w:noWrap/>
            <w:vAlign w:val="center"/>
          </w:tcPr>
          <w:p>
            <w:pPr>
              <w:pStyle w:val="107"/>
              <w:rPr>
                <w:sz w:val="22"/>
                <w:szCs w:val="22"/>
              </w:rPr>
            </w:pPr>
            <w:r>
              <w:rPr>
                <w:rFonts w:hint="eastAsia"/>
                <w:sz w:val="22"/>
                <w:szCs w:val="22"/>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50" w:hRule="atLeast"/>
          <w:jc w:val="center"/>
        </w:trPr>
        <w:tc>
          <w:tcPr>
            <w:tcW w:w="3228" w:type="dxa"/>
            <w:vMerge w:val="continue"/>
            <w:vAlign w:val="center"/>
          </w:tcPr>
          <w:p>
            <w:pPr>
              <w:pStyle w:val="107"/>
              <w:rPr>
                <w:sz w:val="22"/>
                <w:szCs w:val="22"/>
              </w:rPr>
            </w:pPr>
          </w:p>
        </w:tc>
        <w:tc>
          <w:tcPr>
            <w:tcW w:w="1814" w:type="dxa"/>
            <w:shd w:val="clear" w:color="auto" w:fill="auto"/>
            <w:vAlign w:val="center"/>
          </w:tcPr>
          <w:p>
            <w:pPr>
              <w:pStyle w:val="107"/>
              <w:rPr>
                <w:sz w:val="22"/>
                <w:szCs w:val="22"/>
              </w:rPr>
            </w:pPr>
            <w:r>
              <w:rPr>
                <w:rFonts w:hint="eastAsia"/>
                <w:sz w:val="22"/>
                <w:szCs w:val="22"/>
              </w:rPr>
              <w:t>局部收集+整体负压抽风</w:t>
            </w:r>
          </w:p>
        </w:tc>
        <w:tc>
          <w:tcPr>
            <w:tcW w:w="6260" w:type="dxa"/>
            <w:shd w:val="clear" w:color="auto" w:fill="auto"/>
            <w:vAlign w:val="center"/>
          </w:tcPr>
          <w:p>
            <w:pPr>
              <w:pStyle w:val="107"/>
              <w:jc w:val="left"/>
              <w:rPr>
                <w:sz w:val="22"/>
                <w:szCs w:val="22"/>
              </w:rPr>
            </w:pPr>
            <w:r>
              <w:rPr>
                <w:rFonts w:hint="eastAsia"/>
                <w:sz w:val="22"/>
                <w:szCs w:val="22"/>
              </w:rPr>
              <w:t>1.生产时闭合门窗，形成一个相对独立的空间，车间内保持微负压，采用密闭式负压抽风的集气方式；</w:t>
            </w:r>
            <w:r>
              <w:rPr>
                <w:rFonts w:hint="eastAsia"/>
                <w:sz w:val="22"/>
                <w:szCs w:val="22"/>
              </w:rPr>
              <w:br w:type="textWrapping"/>
            </w:r>
            <w:r>
              <w:rPr>
                <w:rFonts w:hint="eastAsia"/>
                <w:sz w:val="22"/>
                <w:szCs w:val="22"/>
              </w:rPr>
              <w:t>2.解包、配料操作区上方设移动式集气罩，密炼机进出料口设集气罩局部抽风。</w:t>
            </w:r>
            <w:r>
              <w:rPr>
                <w:rFonts w:hint="eastAsia"/>
                <w:sz w:val="22"/>
                <w:szCs w:val="22"/>
              </w:rPr>
              <w:br w:type="textWrapping"/>
            </w:r>
            <w:r>
              <w:rPr>
                <w:rFonts w:hint="eastAsia"/>
                <w:sz w:val="22"/>
                <w:szCs w:val="22"/>
              </w:rPr>
              <w:t>围蔽空间总收集风量约为7000m³/h。</w:t>
            </w:r>
          </w:p>
        </w:tc>
        <w:tc>
          <w:tcPr>
            <w:tcW w:w="1701" w:type="dxa"/>
            <w:shd w:val="clear" w:color="auto" w:fill="auto"/>
            <w:noWrap/>
            <w:vAlign w:val="center"/>
          </w:tcPr>
          <w:p>
            <w:pPr>
              <w:pStyle w:val="107"/>
              <w:jc w:val="left"/>
              <w:rPr>
                <w:sz w:val="22"/>
                <w:szCs w:val="22"/>
              </w:rPr>
            </w:pPr>
            <w:r>
              <w:rPr>
                <w:rFonts w:hint="eastAsia"/>
                <w:sz w:val="22"/>
                <w:szCs w:val="22"/>
              </w:rPr>
              <w:t>2019年</w:t>
            </w:r>
            <w:r>
              <w:rPr>
                <w:sz w:val="22"/>
                <w:szCs w:val="22"/>
              </w:rPr>
              <w:t>10</w:t>
            </w:r>
            <w:r>
              <w:rPr>
                <w:rFonts w:hint="eastAsia"/>
                <w:sz w:val="22"/>
                <w:szCs w:val="22"/>
              </w:rPr>
              <w:t>月底</w:t>
            </w:r>
          </w:p>
        </w:tc>
        <w:tc>
          <w:tcPr>
            <w:tcW w:w="1103" w:type="dxa"/>
            <w:vMerge w:val="continue"/>
            <w:vAlign w:val="center"/>
          </w:tcPr>
          <w:p>
            <w:pPr>
              <w:pStyle w:val="107"/>
              <w:rPr>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50" w:hRule="atLeast"/>
          <w:jc w:val="center"/>
        </w:trPr>
        <w:tc>
          <w:tcPr>
            <w:tcW w:w="3228" w:type="dxa"/>
            <w:shd w:val="clear" w:color="auto" w:fill="auto"/>
            <w:vAlign w:val="center"/>
          </w:tcPr>
          <w:p>
            <w:pPr>
              <w:pStyle w:val="107"/>
              <w:rPr>
                <w:sz w:val="22"/>
                <w:szCs w:val="22"/>
              </w:rPr>
            </w:pPr>
            <w:r>
              <w:rPr>
                <w:rFonts w:hint="eastAsia"/>
                <w:sz w:val="22"/>
                <w:szCs w:val="22"/>
              </w:rPr>
              <w:t>原有机废气处理系统只有简单的吸附作用</w:t>
            </w:r>
          </w:p>
        </w:tc>
        <w:tc>
          <w:tcPr>
            <w:tcW w:w="1814" w:type="dxa"/>
            <w:shd w:val="clear" w:color="auto" w:fill="auto"/>
            <w:vAlign w:val="center"/>
          </w:tcPr>
          <w:p>
            <w:pPr>
              <w:pStyle w:val="107"/>
              <w:rPr>
                <w:sz w:val="22"/>
                <w:szCs w:val="22"/>
              </w:rPr>
            </w:pPr>
            <w:r>
              <w:rPr>
                <w:rFonts w:hint="eastAsia"/>
                <w:sz w:val="22"/>
                <w:szCs w:val="22"/>
              </w:rPr>
              <w:t>增设环保设备，深度处理有机废气</w:t>
            </w:r>
          </w:p>
        </w:tc>
        <w:tc>
          <w:tcPr>
            <w:tcW w:w="6260" w:type="dxa"/>
            <w:shd w:val="clear" w:color="auto" w:fill="auto"/>
            <w:vAlign w:val="center"/>
          </w:tcPr>
          <w:p>
            <w:pPr>
              <w:pStyle w:val="107"/>
              <w:jc w:val="left"/>
              <w:rPr>
                <w:sz w:val="22"/>
                <w:szCs w:val="22"/>
              </w:rPr>
            </w:pPr>
            <w:r>
              <w:rPr>
                <w:rFonts w:hint="eastAsia"/>
                <w:sz w:val="22"/>
                <w:szCs w:val="22"/>
              </w:rPr>
              <w:t>拟增设水喷淋塔、UV光解治理设施各1套，将原有活性炭吸附单级处理工艺改造为“喷淋塔+UV光解+活性炭吸附”处理工艺。总收集风量约为</w:t>
            </w:r>
            <w:r>
              <w:rPr>
                <w:sz w:val="22"/>
                <w:szCs w:val="22"/>
              </w:rPr>
              <w:t>7</w:t>
            </w:r>
            <w:r>
              <w:rPr>
                <w:rFonts w:hint="eastAsia"/>
                <w:sz w:val="22"/>
                <w:szCs w:val="22"/>
              </w:rPr>
              <w:t>000+</w:t>
            </w:r>
            <w:r>
              <w:rPr>
                <w:sz w:val="22"/>
                <w:szCs w:val="22"/>
              </w:rPr>
              <w:t>15</w:t>
            </w:r>
            <w:r>
              <w:rPr>
                <w:rFonts w:hint="eastAsia"/>
                <w:sz w:val="22"/>
                <w:szCs w:val="22"/>
              </w:rPr>
              <w:t>000=</w:t>
            </w:r>
            <w:r>
              <w:rPr>
                <w:sz w:val="22"/>
                <w:szCs w:val="22"/>
              </w:rPr>
              <w:t>22</w:t>
            </w:r>
            <w:r>
              <w:rPr>
                <w:rFonts w:hint="eastAsia"/>
                <w:sz w:val="22"/>
                <w:szCs w:val="22"/>
              </w:rPr>
              <w:t>000m³/h。</w:t>
            </w:r>
          </w:p>
        </w:tc>
        <w:tc>
          <w:tcPr>
            <w:tcW w:w="1701" w:type="dxa"/>
            <w:shd w:val="clear" w:color="auto" w:fill="auto"/>
            <w:noWrap/>
            <w:vAlign w:val="center"/>
          </w:tcPr>
          <w:p>
            <w:pPr>
              <w:pStyle w:val="107"/>
              <w:jc w:val="left"/>
              <w:rPr>
                <w:sz w:val="22"/>
                <w:szCs w:val="22"/>
              </w:rPr>
            </w:pPr>
            <w:r>
              <w:rPr>
                <w:rFonts w:hint="eastAsia"/>
                <w:sz w:val="22"/>
                <w:szCs w:val="22"/>
              </w:rPr>
              <w:t>2019年</w:t>
            </w:r>
            <w:r>
              <w:rPr>
                <w:sz w:val="22"/>
                <w:szCs w:val="22"/>
              </w:rPr>
              <w:t>10</w:t>
            </w:r>
            <w:r>
              <w:rPr>
                <w:rFonts w:hint="eastAsia"/>
                <w:sz w:val="22"/>
                <w:szCs w:val="22"/>
              </w:rPr>
              <w:t>月底</w:t>
            </w:r>
          </w:p>
        </w:tc>
        <w:tc>
          <w:tcPr>
            <w:tcW w:w="1103" w:type="dxa"/>
            <w:vMerge w:val="restart"/>
            <w:shd w:val="clear" w:color="auto" w:fill="auto"/>
            <w:noWrap/>
            <w:vAlign w:val="center"/>
          </w:tcPr>
          <w:p>
            <w:pPr>
              <w:pStyle w:val="107"/>
              <w:rPr>
                <w:sz w:val="22"/>
                <w:szCs w:val="22"/>
              </w:rPr>
            </w:pPr>
            <w:r>
              <w:rPr>
                <w:rFonts w:hint="eastAsia"/>
                <w:sz w:val="22"/>
                <w:szCs w:val="22"/>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0" w:hRule="atLeast"/>
          <w:jc w:val="center"/>
        </w:trPr>
        <w:tc>
          <w:tcPr>
            <w:tcW w:w="3228" w:type="dxa"/>
            <w:shd w:val="clear" w:color="auto" w:fill="auto"/>
            <w:vAlign w:val="center"/>
          </w:tcPr>
          <w:p>
            <w:pPr>
              <w:pStyle w:val="107"/>
              <w:rPr>
                <w:sz w:val="22"/>
                <w:szCs w:val="22"/>
              </w:rPr>
            </w:pPr>
            <w:r>
              <w:rPr>
                <w:rFonts w:hint="eastAsia"/>
                <w:sz w:val="22"/>
                <w:szCs w:val="22"/>
              </w:rPr>
              <w:t>密炼废气仅经过除尘处理就排放，其中的有机废气未得到削减</w:t>
            </w:r>
          </w:p>
        </w:tc>
        <w:tc>
          <w:tcPr>
            <w:tcW w:w="1814" w:type="dxa"/>
            <w:shd w:val="clear" w:color="auto" w:fill="auto"/>
            <w:vAlign w:val="center"/>
          </w:tcPr>
          <w:p>
            <w:pPr>
              <w:pStyle w:val="107"/>
              <w:rPr>
                <w:sz w:val="22"/>
                <w:szCs w:val="22"/>
              </w:rPr>
            </w:pPr>
            <w:r>
              <w:rPr>
                <w:rFonts w:hint="eastAsia"/>
                <w:sz w:val="22"/>
                <w:szCs w:val="22"/>
              </w:rPr>
              <w:t>改造车间废气收集管道，整合废气处理系统</w:t>
            </w:r>
          </w:p>
        </w:tc>
        <w:tc>
          <w:tcPr>
            <w:tcW w:w="6260" w:type="dxa"/>
            <w:shd w:val="clear" w:color="auto" w:fill="auto"/>
            <w:vAlign w:val="center"/>
          </w:tcPr>
          <w:p>
            <w:pPr>
              <w:pStyle w:val="107"/>
              <w:jc w:val="left"/>
              <w:rPr>
                <w:sz w:val="22"/>
                <w:szCs w:val="22"/>
              </w:rPr>
            </w:pPr>
            <w:r>
              <w:rPr>
                <w:rFonts w:hint="eastAsia"/>
                <w:sz w:val="22"/>
                <w:szCs w:val="22"/>
              </w:rPr>
              <w:t>配投料、密炼工序空间围蔽收集的废气通过布袋除尘器处理后，再并入车间有机废气收集总管，与开炼废气、硫化废气一同引至“喷淋塔+UV光解+活性炭吸附”净化装置处理，最后由15m高的排气筒（P）排放。</w:t>
            </w:r>
          </w:p>
        </w:tc>
        <w:tc>
          <w:tcPr>
            <w:tcW w:w="1701" w:type="dxa"/>
            <w:shd w:val="clear" w:color="auto" w:fill="auto"/>
            <w:noWrap/>
            <w:vAlign w:val="center"/>
          </w:tcPr>
          <w:p>
            <w:pPr>
              <w:pStyle w:val="107"/>
              <w:jc w:val="left"/>
              <w:rPr>
                <w:sz w:val="22"/>
                <w:szCs w:val="22"/>
              </w:rPr>
            </w:pPr>
            <w:r>
              <w:rPr>
                <w:rFonts w:hint="eastAsia"/>
                <w:sz w:val="22"/>
                <w:szCs w:val="22"/>
              </w:rPr>
              <w:t>2019年</w:t>
            </w:r>
            <w:r>
              <w:rPr>
                <w:sz w:val="22"/>
                <w:szCs w:val="22"/>
              </w:rPr>
              <w:t>10</w:t>
            </w:r>
            <w:r>
              <w:rPr>
                <w:rFonts w:hint="eastAsia"/>
                <w:sz w:val="22"/>
                <w:szCs w:val="22"/>
              </w:rPr>
              <w:t>月底</w:t>
            </w:r>
          </w:p>
        </w:tc>
        <w:tc>
          <w:tcPr>
            <w:tcW w:w="1103" w:type="dxa"/>
            <w:vMerge w:val="continue"/>
            <w:vAlign w:val="center"/>
          </w:tcPr>
          <w:p>
            <w:pPr>
              <w:pStyle w:val="107"/>
              <w:jc w:val="left"/>
              <w:rPr>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15" w:hRule="atLeast"/>
          <w:jc w:val="center"/>
        </w:trPr>
        <w:tc>
          <w:tcPr>
            <w:tcW w:w="3228" w:type="dxa"/>
            <w:shd w:val="clear" w:color="auto" w:fill="auto"/>
            <w:vAlign w:val="center"/>
          </w:tcPr>
          <w:p>
            <w:pPr>
              <w:pStyle w:val="107"/>
              <w:rPr>
                <w:rFonts w:ascii="等线" w:hAnsi="等线" w:eastAsia="等线"/>
                <w:sz w:val="22"/>
                <w:szCs w:val="22"/>
              </w:rPr>
            </w:pPr>
            <w:r>
              <w:rPr>
                <w:rFonts w:hint="eastAsia" w:ascii="等线" w:hAnsi="等线" w:eastAsia="等线"/>
                <w:sz w:val="22"/>
                <w:szCs w:val="22"/>
              </w:rPr>
              <w:t>危险废物暂时储存场所未规范建设</w:t>
            </w:r>
          </w:p>
        </w:tc>
        <w:tc>
          <w:tcPr>
            <w:tcW w:w="1814" w:type="dxa"/>
            <w:shd w:val="clear" w:color="auto" w:fill="auto"/>
            <w:vAlign w:val="center"/>
          </w:tcPr>
          <w:p>
            <w:pPr>
              <w:pStyle w:val="107"/>
              <w:rPr>
                <w:sz w:val="22"/>
                <w:szCs w:val="22"/>
              </w:rPr>
            </w:pPr>
            <w:r>
              <w:rPr>
                <w:rFonts w:hint="eastAsia"/>
                <w:sz w:val="22"/>
                <w:szCs w:val="22"/>
              </w:rPr>
              <w:t>根据GB 18597-2001及其修改单、HJ 2025-2012等相应的规范要求整改</w:t>
            </w:r>
          </w:p>
        </w:tc>
        <w:tc>
          <w:tcPr>
            <w:tcW w:w="6260" w:type="dxa"/>
            <w:shd w:val="clear" w:color="auto" w:fill="auto"/>
            <w:vAlign w:val="center"/>
          </w:tcPr>
          <w:p>
            <w:pPr>
              <w:pStyle w:val="107"/>
              <w:jc w:val="left"/>
              <w:rPr>
                <w:rFonts w:asciiTheme="minorEastAsia" w:hAnsiTheme="minorEastAsia"/>
                <w:sz w:val="22"/>
                <w:szCs w:val="22"/>
              </w:rPr>
            </w:pPr>
            <w:r>
              <w:rPr>
                <w:rFonts w:hint="eastAsia" w:asciiTheme="minorEastAsia" w:hAnsiTheme="minorEastAsia"/>
                <w:sz w:val="22"/>
                <w:szCs w:val="22"/>
              </w:rPr>
              <w:t>1.危险废物贮存间必须要密闭建设，门口内侧设立围堰，地面应做好硬化及“三防”措施（防扬散、防流失、防渗漏）。</w:t>
            </w:r>
            <w:r>
              <w:rPr>
                <w:rFonts w:hint="eastAsia" w:asciiTheme="minorEastAsia" w:hAnsiTheme="minorEastAsia"/>
                <w:sz w:val="22"/>
                <w:szCs w:val="22"/>
              </w:rPr>
              <w:br w:type="textWrapping"/>
            </w:r>
            <w:r>
              <w:rPr>
                <w:rFonts w:hint="eastAsia" w:asciiTheme="minorEastAsia" w:hAnsiTheme="minorEastAsia"/>
                <w:sz w:val="22"/>
                <w:szCs w:val="22"/>
              </w:rPr>
              <w:t>2.危险废物贮存间门口需张贴标准规范的危险废物标识和危废信息板，屋内张贴企业《危险废物管理制度》。</w:t>
            </w:r>
            <w:r>
              <w:rPr>
                <w:rFonts w:hint="eastAsia" w:asciiTheme="minorEastAsia" w:hAnsiTheme="minorEastAsia"/>
                <w:sz w:val="22"/>
                <w:szCs w:val="22"/>
              </w:rPr>
              <w:br w:type="textWrapping"/>
            </w:r>
            <w:r>
              <w:rPr>
                <w:rFonts w:hint="eastAsia" w:asciiTheme="minorEastAsia" w:hAnsiTheme="minorEastAsia"/>
                <w:sz w:val="22"/>
                <w:szCs w:val="22"/>
              </w:rPr>
              <w:t>3.危险废物贮存间需按照“双人双锁”制度管理。（两把钥匙分别由两个危废负责人管理，不得一人管理）</w:t>
            </w:r>
            <w:r>
              <w:rPr>
                <w:rFonts w:hint="eastAsia" w:asciiTheme="minorEastAsia" w:hAnsiTheme="minorEastAsia"/>
                <w:sz w:val="22"/>
                <w:szCs w:val="22"/>
              </w:rPr>
              <w:br w:type="textWrapping"/>
            </w:r>
            <w:r>
              <w:rPr>
                <w:rFonts w:hint="eastAsia" w:asciiTheme="minorEastAsia" w:hAnsiTheme="minorEastAsia"/>
                <w:sz w:val="22"/>
                <w:szCs w:val="22"/>
              </w:rPr>
              <w:t>4.不同种类危险废物应有明显的过道划分，墙上张贴危废名称，液态危废需将盛装容器放至防泄漏托盘内并在容器粘贴危险废物标签，固态危废包装需完好无破损并系挂危险废物标签，并安要求填写。</w:t>
            </w:r>
            <w:r>
              <w:rPr>
                <w:rFonts w:hint="eastAsia" w:asciiTheme="minorEastAsia" w:hAnsiTheme="minorEastAsia"/>
                <w:sz w:val="22"/>
                <w:szCs w:val="22"/>
              </w:rPr>
              <w:br w:type="textWrapping"/>
            </w:r>
            <w:r>
              <w:rPr>
                <w:rFonts w:hint="eastAsia" w:asciiTheme="minorEastAsia" w:hAnsiTheme="minorEastAsia"/>
                <w:sz w:val="22"/>
                <w:szCs w:val="22"/>
              </w:rPr>
              <w:t>5.建立台账并悬挂于危废间内，转入及转出需要填写危废种类、数量、时间及负责人员姓名。</w:t>
            </w:r>
            <w:r>
              <w:rPr>
                <w:rFonts w:hint="eastAsia" w:asciiTheme="minorEastAsia" w:hAnsiTheme="minorEastAsia"/>
                <w:sz w:val="22"/>
                <w:szCs w:val="22"/>
              </w:rPr>
              <w:br w:type="textWrapping"/>
            </w:r>
            <w:r>
              <w:rPr>
                <w:rFonts w:hint="eastAsia" w:asciiTheme="minorEastAsia" w:hAnsiTheme="minorEastAsia"/>
                <w:sz w:val="22"/>
                <w:szCs w:val="22"/>
              </w:rPr>
              <w:t>6.危险废物贮存间内禁止存放除危险废物及应急工具以他的其他物品。</w:t>
            </w:r>
            <w:r>
              <w:rPr>
                <w:rFonts w:hint="eastAsia" w:asciiTheme="minorEastAsia" w:hAnsiTheme="minorEastAsia"/>
                <w:sz w:val="22"/>
                <w:szCs w:val="22"/>
              </w:rPr>
              <w:br w:type="textWrapping"/>
            </w:r>
            <w:r>
              <w:rPr>
                <w:rFonts w:hint="eastAsia" w:asciiTheme="minorEastAsia" w:hAnsiTheme="minorEastAsia"/>
                <w:sz w:val="22"/>
                <w:szCs w:val="22"/>
              </w:rPr>
              <w:t>7.贮存场所不得连接市政雨水管或污水管，存放液体性危险废物的贮存场所须设计收集沟及收集井，以收集渗滤液，防止外溢流失现象。</w:t>
            </w:r>
          </w:p>
        </w:tc>
        <w:tc>
          <w:tcPr>
            <w:tcW w:w="1701" w:type="dxa"/>
            <w:shd w:val="clear" w:color="auto" w:fill="auto"/>
            <w:noWrap/>
            <w:vAlign w:val="center"/>
          </w:tcPr>
          <w:p>
            <w:pPr>
              <w:pStyle w:val="107"/>
              <w:jc w:val="left"/>
              <w:rPr>
                <w:sz w:val="22"/>
                <w:szCs w:val="22"/>
              </w:rPr>
            </w:pPr>
            <w:r>
              <w:rPr>
                <w:rFonts w:hint="eastAsia"/>
                <w:sz w:val="22"/>
                <w:szCs w:val="22"/>
              </w:rPr>
              <w:t>2019年</w:t>
            </w:r>
            <w:r>
              <w:rPr>
                <w:sz w:val="22"/>
                <w:szCs w:val="22"/>
              </w:rPr>
              <w:t>10</w:t>
            </w:r>
            <w:r>
              <w:rPr>
                <w:rFonts w:hint="eastAsia"/>
                <w:sz w:val="22"/>
                <w:szCs w:val="22"/>
              </w:rPr>
              <w:t>月底</w:t>
            </w:r>
          </w:p>
        </w:tc>
        <w:tc>
          <w:tcPr>
            <w:tcW w:w="1103" w:type="dxa"/>
            <w:shd w:val="clear" w:color="auto" w:fill="auto"/>
            <w:noWrap/>
            <w:vAlign w:val="center"/>
          </w:tcPr>
          <w:p>
            <w:pPr>
              <w:pStyle w:val="107"/>
              <w:rPr>
                <w:sz w:val="22"/>
                <w:szCs w:val="22"/>
              </w:rPr>
            </w:pPr>
            <w:r>
              <w:rPr>
                <w:rFonts w:hint="eastAsia"/>
                <w:sz w:val="22"/>
                <w:szCs w:val="22"/>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80" w:hRule="atLeast"/>
          <w:jc w:val="center"/>
        </w:trPr>
        <w:tc>
          <w:tcPr>
            <w:tcW w:w="3228" w:type="dxa"/>
            <w:shd w:val="clear" w:color="auto" w:fill="auto"/>
            <w:vAlign w:val="center"/>
          </w:tcPr>
          <w:p>
            <w:pPr>
              <w:pStyle w:val="107"/>
              <w:rPr>
                <w:sz w:val="22"/>
                <w:szCs w:val="22"/>
              </w:rPr>
            </w:pPr>
            <w:r>
              <w:rPr>
                <w:rFonts w:hint="eastAsia"/>
                <w:sz w:val="22"/>
                <w:szCs w:val="22"/>
              </w:rPr>
              <w:t>厂区内未设置事故应急池</w:t>
            </w:r>
          </w:p>
        </w:tc>
        <w:tc>
          <w:tcPr>
            <w:tcW w:w="1814" w:type="dxa"/>
            <w:shd w:val="clear" w:color="auto" w:fill="auto"/>
            <w:vAlign w:val="center"/>
          </w:tcPr>
          <w:p>
            <w:pPr>
              <w:pStyle w:val="107"/>
              <w:rPr>
                <w:sz w:val="22"/>
                <w:szCs w:val="22"/>
              </w:rPr>
            </w:pPr>
            <w:r>
              <w:rPr>
                <w:rFonts w:hint="eastAsia"/>
                <w:sz w:val="22"/>
                <w:szCs w:val="22"/>
              </w:rPr>
              <w:t>在厂区地势较低处建设有效容积不低于82m³的事故应急池并配套收集措施</w:t>
            </w:r>
          </w:p>
        </w:tc>
        <w:tc>
          <w:tcPr>
            <w:tcW w:w="6260" w:type="dxa"/>
            <w:shd w:val="clear" w:color="auto" w:fill="auto"/>
            <w:vAlign w:val="center"/>
          </w:tcPr>
          <w:p>
            <w:pPr>
              <w:pStyle w:val="107"/>
              <w:jc w:val="left"/>
              <w:rPr>
                <w:sz w:val="22"/>
                <w:szCs w:val="22"/>
              </w:rPr>
            </w:pPr>
            <w:r>
              <w:rPr>
                <w:rFonts w:hint="eastAsia"/>
                <w:sz w:val="22"/>
                <w:szCs w:val="22"/>
              </w:rPr>
              <w:t>拟设置于厂区东南面，深度不小于1.5m，面积不小于55m²，并配备提升装置，如移动抽水泵；厂房、仓库各出入口处设置集液沟，并设置连通事故应急池的管道；雨水管网与事故应急池连通，并在雨水管网与事故应急池之间设置阀门或闸门。</w:t>
            </w:r>
          </w:p>
        </w:tc>
        <w:tc>
          <w:tcPr>
            <w:tcW w:w="1701" w:type="dxa"/>
            <w:shd w:val="clear" w:color="auto" w:fill="auto"/>
            <w:noWrap/>
            <w:vAlign w:val="center"/>
          </w:tcPr>
          <w:p>
            <w:pPr>
              <w:pStyle w:val="107"/>
              <w:jc w:val="left"/>
              <w:rPr>
                <w:sz w:val="22"/>
                <w:szCs w:val="22"/>
              </w:rPr>
            </w:pPr>
            <w:r>
              <w:rPr>
                <w:rFonts w:hint="eastAsia"/>
                <w:sz w:val="22"/>
                <w:szCs w:val="22"/>
              </w:rPr>
              <w:t>2019年</w:t>
            </w:r>
            <w:r>
              <w:rPr>
                <w:sz w:val="22"/>
                <w:szCs w:val="22"/>
              </w:rPr>
              <w:t>10</w:t>
            </w:r>
            <w:r>
              <w:rPr>
                <w:rFonts w:hint="eastAsia"/>
                <w:sz w:val="22"/>
                <w:szCs w:val="22"/>
              </w:rPr>
              <w:t>月底</w:t>
            </w:r>
          </w:p>
        </w:tc>
        <w:tc>
          <w:tcPr>
            <w:tcW w:w="1103" w:type="dxa"/>
            <w:shd w:val="clear" w:color="auto" w:fill="auto"/>
            <w:noWrap/>
            <w:vAlign w:val="center"/>
          </w:tcPr>
          <w:p>
            <w:pPr>
              <w:pStyle w:val="107"/>
              <w:rPr>
                <w:sz w:val="22"/>
                <w:szCs w:val="22"/>
              </w:rPr>
            </w:pPr>
            <w:r>
              <w:rPr>
                <w:rFonts w:hint="eastAsia"/>
                <w:sz w:val="22"/>
                <w:szCs w:val="22"/>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3003" w:type="dxa"/>
            <w:gridSpan w:val="4"/>
            <w:shd w:val="clear" w:color="auto" w:fill="auto"/>
            <w:vAlign w:val="center"/>
          </w:tcPr>
          <w:p>
            <w:pPr>
              <w:pStyle w:val="107"/>
              <w:rPr>
                <w:rFonts w:ascii="等线" w:hAnsi="等线" w:eastAsia="等线"/>
                <w:sz w:val="22"/>
                <w:szCs w:val="22"/>
              </w:rPr>
            </w:pPr>
            <w:r>
              <w:rPr>
                <w:rFonts w:hint="eastAsia" w:ascii="等线" w:hAnsi="等线" w:eastAsia="等线"/>
                <w:sz w:val="22"/>
                <w:szCs w:val="22"/>
              </w:rPr>
              <w:t>总计</w:t>
            </w:r>
          </w:p>
        </w:tc>
        <w:tc>
          <w:tcPr>
            <w:tcW w:w="1103" w:type="dxa"/>
            <w:shd w:val="clear" w:color="auto" w:fill="auto"/>
            <w:noWrap/>
            <w:vAlign w:val="center"/>
          </w:tcPr>
          <w:p>
            <w:pPr>
              <w:pStyle w:val="107"/>
              <w:rPr>
                <w:sz w:val="22"/>
                <w:szCs w:val="22"/>
              </w:rPr>
            </w:pPr>
            <w:r>
              <w:rPr>
                <w:rFonts w:hint="eastAsia"/>
                <w:sz w:val="22"/>
                <w:szCs w:val="22"/>
              </w:rPr>
              <w:t>22</w:t>
            </w:r>
          </w:p>
        </w:tc>
      </w:tr>
    </w:tbl>
    <w:p>
      <w:pPr>
        <w:pStyle w:val="107"/>
        <w:rPr>
          <w:rStyle w:val="63"/>
        </w:rPr>
        <w:sectPr>
          <w:pgSz w:w="16838" w:h="11906" w:orient="landscape"/>
          <w:pgMar w:top="1418" w:right="1361" w:bottom="1361" w:left="1361" w:header="851" w:footer="992" w:gutter="0"/>
          <w:cols w:space="720" w:num="1"/>
          <w:docGrid w:type="lines" w:linePitch="326" w:charSpace="0"/>
        </w:sectPr>
      </w:pPr>
    </w:p>
    <w:p>
      <w:pPr>
        <w:pStyle w:val="4"/>
        <w:rPr>
          <w:rStyle w:val="63"/>
          <w:color w:val="auto"/>
        </w:rPr>
      </w:pPr>
      <w:bookmarkStart w:id="207" w:name="_Toc3538785"/>
      <w:r>
        <w:rPr>
          <w:rStyle w:val="63"/>
          <w:rFonts w:hint="eastAsia"/>
          <w:color w:val="auto"/>
        </w:rPr>
        <w:t>污染源分析及防治措施</w:t>
      </w:r>
      <w:bookmarkEnd w:id="207"/>
    </w:p>
    <w:p>
      <w:pPr>
        <w:ind w:firstLine="480"/>
        <w:rPr>
          <w:rStyle w:val="63"/>
          <w:color w:val="auto"/>
        </w:rPr>
      </w:pPr>
      <w:r>
        <w:rPr>
          <w:rStyle w:val="63"/>
          <w:rFonts w:hint="eastAsia"/>
          <w:color w:val="auto"/>
        </w:rPr>
        <w:t>由于本项目是补办环评，不再新建厂房，因此不存在施工期污染，其存在的污染为运营期产生的废气、废水、噪声以及固体废物。</w:t>
      </w:r>
    </w:p>
    <w:p>
      <w:pPr>
        <w:pStyle w:val="5"/>
      </w:pPr>
      <w:bookmarkStart w:id="208" w:name="_Hlk3506281"/>
      <w:r>
        <w:rPr>
          <w:rFonts w:hint="eastAsia"/>
        </w:rPr>
        <w:t>营运期</w:t>
      </w:r>
      <w:r>
        <w:t>大气污染源</w:t>
      </w:r>
      <w:r>
        <w:rPr>
          <w:rFonts w:hint="eastAsia"/>
        </w:rPr>
        <w:t>分析</w:t>
      </w:r>
    </w:p>
    <w:bookmarkEnd w:id="208"/>
    <w:p>
      <w:pPr>
        <w:ind w:firstLine="480"/>
        <w:rPr>
          <w:rFonts w:cs="Times New Roman" w:eastAsiaTheme="minorEastAsia"/>
        </w:rPr>
      </w:pPr>
      <w:r>
        <w:rPr>
          <w:rFonts w:hint="eastAsia" w:cs="Times New Roman" w:eastAsiaTheme="minorEastAsia"/>
        </w:rPr>
        <w:t>本项目不涉及苯系物原料，不属于轮胎制造企业、不涉及胶浆制备、浸浆、胶浆喷涂或涂胶装置，故本项目不产生苯系物废气。项目废气主要</w:t>
      </w:r>
      <w:r>
        <w:rPr>
          <w:rFonts w:hint="eastAsia" w:cs="Times New Roman" w:eastAsiaTheme="minorEastAsia"/>
          <w:color w:val="000000" w:themeColor="text1"/>
          <w14:textFill>
            <w14:solidFill>
              <w14:schemeClr w14:val="tx1"/>
            </w14:solidFill>
          </w14:textFill>
        </w:rPr>
        <w:t>来自</w:t>
      </w:r>
      <w:r>
        <w:rPr>
          <w:rStyle w:val="63"/>
          <w:rFonts w:hint="eastAsia"/>
          <w:color w:val="000000" w:themeColor="text1"/>
          <w14:textFill>
            <w14:solidFill>
              <w14:schemeClr w14:val="tx1"/>
            </w14:solidFill>
          </w14:textFill>
        </w:rPr>
        <w:t>配料、</w:t>
      </w:r>
      <w:r>
        <w:rPr>
          <w:rFonts w:hint="eastAsia" w:cs="Times New Roman" w:eastAsiaTheme="minorEastAsia"/>
        </w:rPr>
        <w:t>投料粉尘及密炼废气、开炼废气、硫化废气等。</w:t>
      </w:r>
    </w:p>
    <w:p>
      <w:pPr>
        <w:pStyle w:val="6"/>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配料工序</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项目在解包、配料过程中由于钙粉、氧化锌、硬脂酸、钛白粉、白黑炭、和硫磺粉等原材料均为粉状固体，因此会有粉尘产生。</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项目钙粉、氧化锌、硬脂酸、钛白粉、白黑炭、和硫磺粉等在配料间手工拆包、称量配料。这类原材料配料时经人工解包后进行手工称量计量，这类粉状原料的粒径在1</w:t>
      </w:r>
      <w:r>
        <w:rPr>
          <w:rStyle w:val="63"/>
          <w:color w:val="000000" w:themeColor="text1"/>
          <w14:textFill>
            <w14:solidFill>
              <w14:schemeClr w14:val="tx1"/>
            </w14:solidFill>
          </w14:textFill>
        </w:rPr>
        <w:t>9μ</w:t>
      </w:r>
      <w:r>
        <w:rPr>
          <w:rStyle w:val="63"/>
          <w:rFonts w:hint="eastAsia"/>
          <w:color w:val="000000" w:themeColor="text1"/>
          <w14:textFill>
            <w14:solidFill>
              <w14:schemeClr w14:val="tx1"/>
            </w14:solidFill>
          </w14:textFill>
        </w:rPr>
        <w:t>m</w:t>
      </w:r>
      <w:r>
        <w:rPr>
          <w:rStyle w:val="63"/>
          <w:color w:val="000000" w:themeColor="text1"/>
          <w14:textFill>
            <w14:solidFill>
              <w14:schemeClr w14:val="tx1"/>
            </w14:solidFill>
          </w14:textFill>
        </w:rPr>
        <w:t>~250μ</w:t>
      </w:r>
      <w:r>
        <w:rPr>
          <w:rStyle w:val="63"/>
          <w:rFonts w:hint="eastAsia"/>
          <w:color w:val="000000" w:themeColor="text1"/>
          <w14:textFill>
            <w14:solidFill>
              <w14:schemeClr w14:val="tx1"/>
            </w14:solidFill>
          </w14:textFill>
        </w:rPr>
        <w:t>m之间，考虑到粉状原料的粒径分布情况与水泥物料粒径相似，本项目配料过程的粉尘产生系数参照《逸散性工业粉尘控制技术》（中国环境科学出版社）表13-2中水泥装载的逸散性粉尘产生量0.118kg/t（物料）；项目钙粉（</w:t>
      </w:r>
      <w:r>
        <w:rPr>
          <w:rStyle w:val="63"/>
          <w:color w:val="000000" w:themeColor="text1"/>
          <w14:textFill>
            <w14:solidFill>
              <w14:schemeClr w14:val="tx1"/>
            </w14:solidFill>
          </w14:textFill>
        </w:rPr>
        <w:t>40</w:t>
      </w:r>
      <w:r>
        <w:rPr>
          <w:rStyle w:val="63"/>
          <w:rFonts w:hint="eastAsia"/>
          <w:color w:val="000000" w:themeColor="text1"/>
          <w14:textFill>
            <w14:solidFill>
              <w14:schemeClr w14:val="tx1"/>
            </w14:solidFill>
          </w14:textFill>
        </w:rPr>
        <w:t>0t/a）、氧化锌（</w:t>
      </w:r>
      <w:r>
        <w:rPr>
          <w:rStyle w:val="63"/>
          <w:color w:val="000000" w:themeColor="text1"/>
          <w14:textFill>
            <w14:solidFill>
              <w14:schemeClr w14:val="tx1"/>
            </w14:solidFill>
          </w14:textFill>
        </w:rPr>
        <w:t>12</w:t>
      </w:r>
      <w:r>
        <w:rPr>
          <w:rStyle w:val="63"/>
          <w:rFonts w:hint="eastAsia"/>
          <w:color w:val="000000" w:themeColor="text1"/>
          <w14:textFill>
            <w14:solidFill>
              <w14:schemeClr w14:val="tx1"/>
            </w14:solidFill>
          </w14:textFill>
        </w:rPr>
        <w:t>t/a）、硬脂酸（</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t/a）、钛白粉（</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t/a）、白黑炭（5</w:t>
      </w:r>
      <w:r>
        <w:rPr>
          <w:rStyle w:val="63"/>
          <w:color w:val="000000" w:themeColor="text1"/>
          <w14:textFill>
            <w14:solidFill>
              <w14:schemeClr w14:val="tx1"/>
            </w14:solidFill>
          </w14:textFill>
        </w:rPr>
        <w:t>0t</w:t>
      </w:r>
      <w:r>
        <w:rPr>
          <w:rStyle w:val="63"/>
          <w:rFonts w:hint="eastAsia"/>
          <w:color w:val="000000" w:themeColor="text1"/>
          <w14:textFill>
            <w14:solidFill>
              <w14:schemeClr w14:val="tx1"/>
            </w14:solidFill>
          </w14:textFill>
        </w:rPr>
        <w:t>）和硫化剂（</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t/a）等粉状原材料的用量为</w:t>
      </w:r>
      <w:r>
        <w:rPr>
          <w:rStyle w:val="63"/>
          <w:color w:val="000000" w:themeColor="text1"/>
          <w14:textFill>
            <w14:solidFill>
              <w14:schemeClr w14:val="tx1"/>
            </w14:solidFill>
          </w14:textFill>
        </w:rPr>
        <w:t>472</w:t>
      </w:r>
      <w:r>
        <w:rPr>
          <w:rStyle w:val="63"/>
          <w:rFonts w:hint="eastAsia"/>
          <w:color w:val="000000" w:themeColor="text1"/>
          <w14:textFill>
            <w14:solidFill>
              <w14:schemeClr w14:val="tx1"/>
            </w14:solidFill>
          </w14:textFill>
        </w:rPr>
        <w:t>t/a，则拆包配料过程中粉料的逸漏量为</w:t>
      </w:r>
      <w:r>
        <w:rPr>
          <w:rStyle w:val="63"/>
          <w:color w:val="000000" w:themeColor="text1"/>
          <w14:textFill>
            <w14:solidFill>
              <w14:schemeClr w14:val="tx1"/>
            </w14:solidFill>
          </w14:textFill>
        </w:rPr>
        <w:t>55.696kg/a</w:t>
      </w:r>
      <w:r>
        <w:rPr>
          <w:rStyle w:val="63"/>
          <w:rFonts w:hint="eastAsia"/>
          <w:color w:val="000000" w:themeColor="text1"/>
          <w14:textFill>
            <w14:solidFill>
              <w14:schemeClr w14:val="tx1"/>
            </w14:solidFill>
          </w14:textFill>
        </w:rPr>
        <w:t>，则项目配料工序粉尘排放量约为</w:t>
      </w:r>
      <w:r>
        <w:rPr>
          <w:rStyle w:val="63"/>
          <w:color w:val="000000" w:themeColor="text1"/>
          <w14:textFill>
            <w14:solidFill>
              <w14:schemeClr w14:val="tx1"/>
            </w14:solidFill>
          </w14:textFill>
        </w:rPr>
        <w:t>55.696kg/a</w:t>
      </w:r>
      <w:r>
        <w:rPr>
          <w:rStyle w:val="63"/>
          <w:rFonts w:hint="eastAsia"/>
          <w:color w:val="000000" w:themeColor="text1"/>
          <w14:textFill>
            <w14:solidFill>
              <w14:schemeClr w14:val="tx1"/>
            </w14:solidFill>
          </w14:textFill>
        </w:rPr>
        <w:t>。</w:t>
      </w:r>
    </w:p>
    <w:p>
      <w:pPr>
        <w:pStyle w:val="162"/>
        <w:numPr>
          <w:ilvl w:val="0"/>
          <w:numId w:val="0"/>
        </w:numPr>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w:t>
      </w:r>
      <w:r>
        <w:rPr>
          <w:rStyle w:val="63"/>
          <w:color w:val="000000" w:themeColor="text1"/>
          <w14:textFill>
            <w14:solidFill>
              <w14:schemeClr w14:val="tx1"/>
            </w14:solidFill>
          </w14:textFill>
        </w:rPr>
        <w:t>现状</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项目每周集中配料约</w:t>
      </w:r>
      <w:r>
        <w:rPr>
          <w:rStyle w:val="63"/>
          <w:color w:val="000000" w:themeColor="text1"/>
          <w14:textFill>
            <w14:solidFill>
              <w14:schemeClr w14:val="tx1"/>
            </w14:solidFill>
          </w14:textFill>
        </w:rPr>
        <w:t>4小时</w:t>
      </w:r>
      <w:r>
        <w:rPr>
          <w:rStyle w:val="63"/>
          <w:rFonts w:hint="eastAsia"/>
          <w:color w:val="000000" w:themeColor="text1"/>
          <w14:textFill>
            <w14:solidFill>
              <w14:schemeClr w14:val="tx1"/>
            </w14:solidFill>
          </w14:textFill>
        </w:rPr>
        <w:t>，年配料时间约为1</w:t>
      </w:r>
      <w:r>
        <w:rPr>
          <w:rStyle w:val="63"/>
          <w:color w:val="000000" w:themeColor="text1"/>
          <w14:textFill>
            <w14:solidFill>
              <w14:schemeClr w14:val="tx1"/>
            </w14:solidFill>
          </w14:textFill>
        </w:rPr>
        <w:t>68</w:t>
      </w:r>
      <w:r>
        <w:rPr>
          <w:rStyle w:val="63"/>
          <w:rFonts w:hint="eastAsia"/>
          <w:color w:val="000000" w:themeColor="text1"/>
          <w14:textFill>
            <w14:solidFill>
              <w14:schemeClr w14:val="tx1"/>
            </w14:solidFill>
          </w14:textFill>
        </w:rPr>
        <w:t>小时，则配料工序粉尘产生速率为</w:t>
      </w:r>
      <w:r>
        <w:rPr>
          <w:rStyle w:val="63"/>
          <w:color w:val="000000" w:themeColor="text1"/>
          <w14:textFill>
            <w14:solidFill>
              <w14:schemeClr w14:val="tx1"/>
            </w14:solidFill>
          </w14:textFill>
        </w:rPr>
        <w:t>0.3315kg/</w:t>
      </w:r>
      <w:r>
        <w:rPr>
          <w:rStyle w:val="63"/>
          <w:rFonts w:hint="eastAsia"/>
          <w:color w:val="000000" w:themeColor="text1"/>
          <w14:textFill>
            <w14:solidFill>
              <w14:schemeClr w14:val="tx1"/>
            </w14:solidFill>
          </w14:textFill>
        </w:rPr>
        <w:t>h，排放量为</w:t>
      </w:r>
      <w:r>
        <w:rPr>
          <w:rStyle w:val="63"/>
          <w:color w:val="000000" w:themeColor="text1"/>
          <w14:textFill>
            <w14:solidFill>
              <w14:schemeClr w14:val="tx1"/>
            </w14:solidFill>
          </w14:textFill>
        </w:rPr>
        <w:t>55.696kg/a</w:t>
      </w:r>
      <w:r>
        <w:rPr>
          <w:rStyle w:val="63"/>
          <w:rFonts w:hint="eastAsia"/>
          <w:color w:val="000000" w:themeColor="text1"/>
          <w14:textFill>
            <w14:solidFill>
              <w14:schemeClr w14:val="tx1"/>
            </w14:solidFill>
          </w14:textFill>
        </w:rPr>
        <w:t>。现状为无收集措施，无组织排放。</w:t>
      </w:r>
    </w:p>
    <w:p>
      <w:pPr>
        <w:pStyle w:val="162"/>
        <w:numPr>
          <w:ilvl w:val="0"/>
          <w:numId w:val="0"/>
        </w:numPr>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拟采取的措施</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建议建设单位将配料工序移至密炼机旁进行，对配料、密炼工序进行局部围蔽处理，解包、配料操作区上方设移动式集气罩，并对围蔽的空间进行整体负压抽风收集。围蔽空间长约</w:t>
      </w:r>
      <w:r>
        <w:rPr>
          <w:rStyle w:val="63"/>
          <w:color w:val="000000" w:themeColor="text1"/>
          <w14:textFill>
            <w14:solidFill>
              <w14:schemeClr w14:val="tx1"/>
            </w14:solidFill>
          </w14:textFill>
        </w:rPr>
        <w:t>10</w:t>
      </w:r>
      <w:r>
        <w:rPr>
          <w:rStyle w:val="63"/>
          <w:rFonts w:hint="eastAsia"/>
          <w:color w:val="000000" w:themeColor="text1"/>
          <w14:textFill>
            <w14:solidFill>
              <w14:schemeClr w14:val="tx1"/>
            </w14:solidFill>
          </w14:textFill>
        </w:rPr>
        <w:t>m，宽约</w:t>
      </w:r>
      <w:r>
        <w:rPr>
          <w:rStyle w:val="63"/>
          <w:color w:val="000000" w:themeColor="text1"/>
          <w14:textFill>
            <w14:solidFill>
              <w14:schemeClr w14:val="tx1"/>
            </w14:solidFill>
          </w14:textFill>
        </w:rPr>
        <w:t>10</w:t>
      </w:r>
      <w:r>
        <w:rPr>
          <w:rStyle w:val="63"/>
          <w:rFonts w:hint="eastAsia"/>
          <w:color w:val="000000" w:themeColor="text1"/>
          <w14:textFill>
            <w14:solidFill>
              <w14:schemeClr w14:val="tx1"/>
            </w14:solidFill>
          </w14:textFill>
        </w:rPr>
        <w:t>m，高约</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m，生产时闭合门窗，形成一个相对独立的空间。收集后的废气通过袋式除尘器除尘处理后，再与开炼废气、硫化废气一同引至同一套“喷淋塔+</w:t>
      </w:r>
      <w:r>
        <w:rPr>
          <w:rStyle w:val="63"/>
          <w:color w:val="000000" w:themeColor="text1"/>
          <w14:textFill>
            <w14:solidFill>
              <w14:schemeClr w14:val="tx1"/>
            </w14:solidFill>
          </w14:textFill>
        </w:rPr>
        <w:t>UV</w:t>
      </w:r>
      <w:r>
        <w:rPr>
          <w:rStyle w:val="63"/>
          <w:rFonts w:hint="eastAsia"/>
          <w:color w:val="000000" w:themeColor="text1"/>
          <w14:textFill>
            <w14:solidFill>
              <w14:schemeClr w14:val="tx1"/>
            </w14:solidFill>
          </w14:textFill>
        </w:rPr>
        <w:t>光解+活性炭吸附”净化装置处理，最终由1</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m高的排气筒（P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）排放。总处理风量为</w:t>
      </w: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r>
        <w:rPr>
          <w:rStyle w:val="63"/>
          <w:color w:val="000000" w:themeColor="text1"/>
          <w14:textFill>
            <w14:solidFill>
              <w14:schemeClr w14:val="tx1"/>
            </w14:solidFill>
          </w14:textFill>
        </w:rPr>
        <w:t xml:space="preserve"> m³/h</w:t>
      </w:r>
      <w:r>
        <w:rPr>
          <w:rStyle w:val="63"/>
          <w:rFonts w:hint="eastAsia"/>
          <w:color w:val="000000" w:themeColor="text1"/>
          <w14:textFill>
            <w14:solidFill>
              <w14:schemeClr w14:val="tx1"/>
            </w14:solidFill>
          </w14:textFill>
        </w:rPr>
        <w:t xml:space="preserve"> 。</w:t>
      </w:r>
    </w:p>
    <w:p>
      <w:pPr>
        <w:pStyle w:val="162"/>
        <w:numPr>
          <w:ilvl w:val="0"/>
          <w:numId w:val="0"/>
        </w:numPr>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整改后排放情况</w:t>
      </w:r>
    </w:p>
    <w:p>
      <w:pPr>
        <w:pStyle w:val="126"/>
        <w:ind w:left="0" w:firstLine="482"/>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有组织排放</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项目拆包配料单元与密炼单元拟进行围蔽处理，粉料配料操作台上方设置收集装置，并对围蔽的空间进行整体负压抽风收集，粉尘收集效率约9</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本次评价中除尘效率按9</w:t>
      </w:r>
      <w:r>
        <w:rPr>
          <w:rStyle w:val="63"/>
          <w:color w:val="000000" w:themeColor="text1"/>
          <w14:textFill>
            <w14:solidFill>
              <w14:schemeClr w14:val="tx1"/>
            </w14:solidFill>
          </w14:textFill>
        </w:rPr>
        <w:t>9</w:t>
      </w:r>
      <w:r>
        <w:rPr>
          <w:rStyle w:val="63"/>
          <w:rFonts w:hint="eastAsia"/>
          <w:color w:val="000000" w:themeColor="text1"/>
          <w14:textFill>
            <w14:solidFill>
              <w14:schemeClr w14:val="tx1"/>
            </w14:solidFill>
          </w14:textFill>
        </w:rPr>
        <w:t>%考虑，则项目配料过程中的污染源强及排放情况见</w:t>
      </w:r>
      <w:r>
        <w:rPr>
          <w:rStyle w:val="63"/>
          <w:color w:val="000000" w:themeColor="text1"/>
          <w:highlight w:val="yellow"/>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REF _Ref2947258 \h</w:instrText>
      </w:r>
      <w:r>
        <w:rPr>
          <w:rStyle w:val="63"/>
          <w:color w:val="000000" w:themeColor="text1"/>
          <w14:textFill>
            <w14:solidFill>
              <w14:schemeClr w14:val="tx1"/>
            </w14:solidFill>
          </w14:textFill>
        </w:rPr>
        <w:instrText xml:space="preserve"> </w:instrText>
      </w:r>
      <w:r>
        <w:rPr>
          <w:rStyle w:val="63"/>
          <w:color w:val="000000" w:themeColor="text1"/>
          <w:highlight w:val="yellow"/>
          <w14:textFill>
            <w14:solidFill>
              <w14:schemeClr w14:val="tx1"/>
            </w14:solidFill>
          </w14:textFill>
        </w:rPr>
        <w:instrText xml:space="preserve"> \* MERGEFORMAT </w:instrText>
      </w:r>
      <w:r>
        <w:rPr>
          <w:rStyle w:val="63"/>
          <w:color w:val="000000" w:themeColor="text1"/>
          <w:highlight w:val="yellow"/>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1</w:t>
      </w:r>
      <w:r>
        <w:rPr>
          <w:rStyle w:val="63"/>
          <w:color w:val="000000" w:themeColor="text1"/>
          <w:highlight w:val="yellow"/>
          <w14:textFill>
            <w14:solidFill>
              <w14:schemeClr w14:val="tx1"/>
            </w14:solidFill>
          </w14:textFill>
        </w:rPr>
        <w:fldChar w:fldCharType="end"/>
      </w:r>
      <w:r>
        <w:rPr>
          <w:rStyle w:val="63"/>
          <w:rFonts w:hint="eastAsia"/>
          <w:color w:val="000000" w:themeColor="text1"/>
          <w14:textFill>
            <w14:solidFill>
              <w14:schemeClr w14:val="tx1"/>
            </w14:solidFill>
          </w14:textFill>
        </w:rPr>
        <w:t>。</w:t>
      </w:r>
    </w:p>
    <w:p>
      <w:pPr>
        <w:pStyle w:val="18"/>
        <w:rPr>
          <w:rStyle w:val="63"/>
          <w:color w:val="000000" w:themeColor="text1"/>
          <w14:textFill>
            <w14:solidFill>
              <w14:schemeClr w14:val="tx1"/>
            </w14:solidFill>
          </w14:textFill>
        </w:rPr>
      </w:pPr>
      <w:bookmarkStart w:id="209" w:name="_Ref2947258"/>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1</w:t>
      </w:r>
      <w:r>
        <w:rPr>
          <w:rStyle w:val="63"/>
          <w:color w:val="000000" w:themeColor="text1"/>
          <w14:textFill>
            <w14:solidFill>
              <w14:schemeClr w14:val="tx1"/>
            </w14:solidFill>
          </w14:textFill>
        </w:rPr>
        <w:fldChar w:fldCharType="end"/>
      </w:r>
      <w:bookmarkEnd w:id="209"/>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整改后配料过程中有组织排放废气的污染源强及排放情况</w:t>
      </w:r>
    </w:p>
    <w:tbl>
      <w:tblPr>
        <w:tblStyle w:val="56"/>
        <w:tblW w:w="93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7"/>
        <w:gridCol w:w="1109"/>
        <w:gridCol w:w="993"/>
        <w:gridCol w:w="992"/>
        <w:gridCol w:w="850"/>
        <w:gridCol w:w="1134"/>
        <w:gridCol w:w="851"/>
        <w:gridCol w:w="992"/>
        <w:gridCol w:w="11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rPr>
        <w:tc>
          <w:tcPr>
            <w:tcW w:w="1267"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污染物</w:t>
            </w:r>
          </w:p>
        </w:tc>
        <w:tc>
          <w:tcPr>
            <w:tcW w:w="1109" w:type="dxa"/>
            <w:vMerge w:val="restart"/>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总产生量kg/a</w:t>
            </w:r>
          </w:p>
        </w:tc>
        <w:tc>
          <w:tcPr>
            <w:tcW w:w="3969" w:type="dxa"/>
            <w:gridSpan w:val="4"/>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有组织产生情况</w:t>
            </w:r>
          </w:p>
        </w:tc>
        <w:tc>
          <w:tcPr>
            <w:tcW w:w="2998" w:type="dxa"/>
            <w:gridSpan w:val="3"/>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0" w:hRule="atLeast"/>
        </w:trPr>
        <w:tc>
          <w:tcPr>
            <w:tcW w:w="1267" w:type="dxa"/>
            <w:vMerge w:val="continue"/>
            <w:shd w:val="clear" w:color="auto" w:fill="auto"/>
            <w:vAlign w:val="center"/>
          </w:tcPr>
          <w:p>
            <w:pPr>
              <w:pStyle w:val="107"/>
              <w:rPr>
                <w:rStyle w:val="63"/>
                <w:color w:val="000000" w:themeColor="text1"/>
                <w14:textFill>
                  <w14:solidFill>
                    <w14:schemeClr w14:val="tx1"/>
                  </w14:solidFill>
                </w14:textFill>
              </w:rPr>
            </w:pPr>
          </w:p>
        </w:tc>
        <w:tc>
          <w:tcPr>
            <w:tcW w:w="1109" w:type="dxa"/>
            <w:vMerge w:val="continue"/>
            <w:shd w:val="clear" w:color="auto" w:fill="auto"/>
            <w:vAlign w:val="center"/>
          </w:tcPr>
          <w:p>
            <w:pPr>
              <w:pStyle w:val="107"/>
              <w:rPr>
                <w:rStyle w:val="63"/>
                <w:color w:val="000000" w:themeColor="text1"/>
                <w14:textFill>
                  <w14:solidFill>
                    <w14:schemeClr w14:val="tx1"/>
                  </w14:solidFill>
                </w14:textFill>
              </w:rPr>
            </w:pPr>
          </w:p>
        </w:tc>
        <w:tc>
          <w:tcPr>
            <w:tcW w:w="99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收集量kg/a</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产生速率</w:t>
            </w:r>
            <w:r>
              <w:rPr>
                <w:rStyle w:val="63"/>
                <w:color w:val="000000" w:themeColor="text1"/>
                <w14:textFill>
                  <w14:solidFill>
                    <w14:schemeClr w14:val="tx1"/>
                  </w14:solidFill>
                </w14:textFill>
              </w:rPr>
              <w:t>kg/h</w:t>
            </w:r>
          </w:p>
        </w:tc>
        <w:tc>
          <w:tcPr>
            <w:tcW w:w="850"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风量</w:t>
            </w:r>
            <w:r>
              <w:rPr>
                <w:rStyle w:val="63"/>
                <w:color w:val="000000" w:themeColor="text1"/>
                <w14:textFill>
                  <w14:solidFill>
                    <w14:schemeClr w14:val="tx1"/>
                  </w14:solidFill>
                </w14:textFill>
              </w:rPr>
              <w:t>m³/h</w:t>
            </w:r>
          </w:p>
        </w:tc>
        <w:tc>
          <w:tcPr>
            <w:tcW w:w="113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产生浓度</w:t>
            </w:r>
            <w:r>
              <w:rPr>
                <w:rStyle w:val="63"/>
                <w:color w:val="000000" w:themeColor="text1"/>
                <w14:textFill>
                  <w14:solidFill>
                    <w14:schemeClr w14:val="tx1"/>
                  </w14:solidFill>
                </w14:textFill>
              </w:rPr>
              <w:t>mg/m³</w:t>
            </w:r>
          </w:p>
        </w:tc>
        <w:tc>
          <w:tcPr>
            <w:tcW w:w="851"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排放量kg/a</w:t>
            </w:r>
          </w:p>
        </w:tc>
        <w:tc>
          <w:tcPr>
            <w:tcW w:w="99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p>
        </w:tc>
        <w:tc>
          <w:tcPr>
            <w:tcW w:w="1155"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排放浓度</w:t>
            </w:r>
            <w:r>
              <w:rPr>
                <w:rStyle w:val="63"/>
                <w:color w:val="000000" w:themeColor="text1"/>
                <w14:textFill>
                  <w14:solidFill>
                    <w14:schemeClr w14:val="tx1"/>
                  </w14:solidFill>
                </w14:textFill>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26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1109"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55.696</w:t>
            </w:r>
            <w:r>
              <w:rPr>
                <w:rStyle w:val="63"/>
                <w:rFonts w:hint="eastAsia"/>
                <w:color w:val="000000" w:themeColor="text1"/>
                <w14:textFill>
                  <w14:solidFill>
                    <w14:schemeClr w14:val="tx1"/>
                  </w14:solidFill>
                </w14:textFill>
              </w:rPr>
              <w:t xml:space="preserve"> </w:t>
            </w:r>
          </w:p>
        </w:tc>
        <w:tc>
          <w:tcPr>
            <w:tcW w:w="993" w:type="dxa"/>
            <w:tcBorders>
              <w:top w:val="single" w:color="auto" w:sz="4" w:space="0"/>
              <w:left w:val="single" w:color="auto" w:sz="8"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52.911</w:t>
            </w:r>
          </w:p>
        </w:tc>
        <w:tc>
          <w:tcPr>
            <w:tcW w:w="992"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3149</w:t>
            </w:r>
            <w:r>
              <w:rPr>
                <w:rStyle w:val="63"/>
                <w:rFonts w:hint="eastAsia"/>
                <w:color w:val="000000" w:themeColor="text1"/>
                <w14:textFill>
                  <w14:solidFill>
                    <w14:schemeClr w14:val="tx1"/>
                  </w14:solidFill>
                </w14:textFill>
              </w:rPr>
              <w:t xml:space="preserve"> </w:t>
            </w:r>
          </w:p>
        </w:tc>
        <w:tc>
          <w:tcPr>
            <w:tcW w:w="850"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18</w:t>
            </w:r>
            <w:r>
              <w:rPr>
                <w:rStyle w:val="63"/>
                <w:rFonts w:hint="eastAsia"/>
                <w:color w:val="000000" w:themeColor="text1"/>
                <w14:textFill>
                  <w14:solidFill>
                    <w14:schemeClr w14:val="tx1"/>
                  </w14:solidFill>
                </w14:textFill>
              </w:rPr>
              <w:t>000</w:t>
            </w:r>
          </w:p>
        </w:tc>
        <w:tc>
          <w:tcPr>
            <w:tcW w:w="1134"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17.5</w:t>
            </w:r>
          </w:p>
        </w:tc>
        <w:tc>
          <w:tcPr>
            <w:tcW w:w="85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529</w:t>
            </w:r>
            <w:r>
              <w:rPr>
                <w:rStyle w:val="63"/>
                <w:rFonts w:hint="eastAsia"/>
                <w:color w:val="000000" w:themeColor="text1"/>
                <w14:textFill>
                  <w14:solidFill>
                    <w14:schemeClr w14:val="tx1"/>
                  </w14:solidFill>
                </w14:textFill>
              </w:rPr>
              <w:t xml:space="preserve"> </w:t>
            </w:r>
          </w:p>
        </w:tc>
        <w:tc>
          <w:tcPr>
            <w:tcW w:w="992"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w:t>
            </w:r>
            <w:r>
              <w:rPr>
                <w:rStyle w:val="63"/>
                <w:color w:val="000000" w:themeColor="text1"/>
                <w14:textFill>
                  <w14:solidFill>
                    <w14:schemeClr w14:val="tx1"/>
                  </w14:solidFill>
                </w14:textFill>
              </w:rPr>
              <w:t>315</w:t>
            </w:r>
            <w:r>
              <w:rPr>
                <w:rStyle w:val="63"/>
                <w:rFonts w:hint="eastAsia"/>
                <w:color w:val="000000" w:themeColor="text1"/>
                <w14:textFill>
                  <w14:solidFill>
                    <w14:schemeClr w14:val="tx1"/>
                  </w14:solidFill>
                </w14:textFill>
              </w:rPr>
              <w:t xml:space="preserve"> </w:t>
            </w:r>
          </w:p>
        </w:tc>
        <w:tc>
          <w:tcPr>
            <w:tcW w:w="1155"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175</w:t>
            </w:r>
            <w:r>
              <w:rPr>
                <w:rStyle w:val="63"/>
                <w:rFonts w:hint="eastAsia"/>
                <w:color w:val="000000" w:themeColor="text1"/>
                <w14:textFill>
                  <w14:solidFill>
                    <w14:schemeClr w14:val="tx1"/>
                  </w14:solidFill>
                </w14:textFill>
              </w:rPr>
              <w:t xml:space="preserve"> </w:t>
            </w:r>
          </w:p>
        </w:tc>
      </w:tr>
    </w:tbl>
    <w:p>
      <w:pPr>
        <w:pStyle w:val="107"/>
        <w:jc w:val="left"/>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注：项目配料工序每周集中工作4h，年有效工作时间约</w:t>
      </w:r>
      <w:r>
        <w:rPr>
          <w:rStyle w:val="63"/>
          <w:color w:val="000000" w:themeColor="text1"/>
          <w14:textFill>
            <w14:solidFill>
              <w14:schemeClr w14:val="tx1"/>
            </w14:solidFill>
          </w14:textFill>
        </w:rPr>
        <w:t>168</w:t>
      </w:r>
      <w:r>
        <w:rPr>
          <w:rStyle w:val="63"/>
          <w:rFonts w:hint="eastAsia"/>
          <w:color w:val="000000" w:themeColor="text1"/>
          <w14:textFill>
            <w14:solidFill>
              <w14:schemeClr w14:val="tx1"/>
            </w14:solidFill>
          </w14:textFill>
        </w:rPr>
        <w:t>h。</w:t>
      </w:r>
    </w:p>
    <w:p>
      <w:pPr>
        <w:pStyle w:val="126"/>
        <w:ind w:left="0" w:firstLine="482"/>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无组织排放</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项目在配料过程中大约有</w:t>
      </w:r>
      <w:r>
        <w:rPr>
          <w:rStyle w:val="63"/>
          <w:color w:val="000000" w:themeColor="text1"/>
          <w14:textFill>
            <w14:solidFill>
              <w14:schemeClr w14:val="tx1"/>
            </w14:solidFill>
          </w14:textFill>
        </w:rPr>
        <w:t>5%的废气</w:t>
      </w:r>
      <w:r>
        <w:rPr>
          <w:rStyle w:val="63"/>
          <w:rFonts w:hint="eastAsia"/>
          <w:color w:val="000000" w:themeColor="text1"/>
          <w14:textFill>
            <w14:solidFill>
              <w14:schemeClr w14:val="tx1"/>
            </w14:solidFill>
          </w14:textFill>
        </w:rPr>
        <w:t>未被收集到，则配料过程无组织排放情况见</w:t>
      </w:r>
      <w:r>
        <w:rPr>
          <w:rStyle w:val="63"/>
          <w:color w:val="000000" w:themeColor="text1"/>
          <w:highlight w:val="yellow"/>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REF _Ref2947271 \h</w:instrText>
      </w:r>
      <w:r>
        <w:rPr>
          <w:rStyle w:val="63"/>
          <w:color w:val="000000" w:themeColor="text1"/>
          <w14:textFill>
            <w14:solidFill>
              <w14:schemeClr w14:val="tx1"/>
            </w14:solidFill>
          </w14:textFill>
        </w:rPr>
        <w:instrText xml:space="preserve"> </w:instrText>
      </w:r>
      <w:r>
        <w:rPr>
          <w:rStyle w:val="63"/>
          <w:color w:val="000000" w:themeColor="text1"/>
          <w:highlight w:val="yellow"/>
          <w14:textFill>
            <w14:solidFill>
              <w14:schemeClr w14:val="tx1"/>
            </w14:solidFill>
          </w14:textFill>
        </w:rPr>
        <w:instrText xml:space="preserve"> \* MERGEFORMAT </w:instrText>
      </w:r>
      <w:r>
        <w:rPr>
          <w:rStyle w:val="63"/>
          <w:color w:val="000000" w:themeColor="text1"/>
          <w:highlight w:val="yellow"/>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2</w:t>
      </w:r>
      <w:r>
        <w:rPr>
          <w:rStyle w:val="63"/>
          <w:color w:val="000000" w:themeColor="text1"/>
          <w:highlight w:val="yellow"/>
          <w14:textFill>
            <w14:solidFill>
              <w14:schemeClr w14:val="tx1"/>
            </w14:solidFill>
          </w14:textFill>
        </w:rPr>
        <w:fldChar w:fldCharType="end"/>
      </w:r>
      <w:r>
        <w:rPr>
          <w:rStyle w:val="63"/>
          <w:color w:val="000000" w:themeColor="text1"/>
          <w14:textFill>
            <w14:solidFill>
              <w14:schemeClr w14:val="tx1"/>
            </w14:solidFill>
          </w14:textFill>
        </w:rPr>
        <w:t>。</w:t>
      </w:r>
    </w:p>
    <w:p>
      <w:pPr>
        <w:pStyle w:val="18"/>
        <w:rPr>
          <w:rStyle w:val="63"/>
          <w:color w:val="000000" w:themeColor="text1"/>
          <w14:textFill>
            <w14:solidFill>
              <w14:schemeClr w14:val="tx1"/>
            </w14:solidFill>
          </w14:textFill>
        </w:rPr>
      </w:pPr>
      <w:bookmarkStart w:id="210" w:name="_Ref2947271"/>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w:t>
      </w:r>
      <w:r>
        <w:rPr>
          <w:rStyle w:val="63"/>
          <w:color w:val="000000" w:themeColor="text1"/>
          <w14:textFill>
            <w14:solidFill>
              <w14:schemeClr w14:val="tx1"/>
            </w14:solidFill>
          </w14:textFill>
        </w:rPr>
        <w:fldChar w:fldCharType="end"/>
      </w:r>
      <w:bookmarkEnd w:id="210"/>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整改后配料过程中无组织排放源强及排放参数</w:t>
      </w:r>
    </w:p>
    <w:tbl>
      <w:tblPr>
        <w:tblStyle w:val="56"/>
        <w:tblW w:w="9117" w:type="dxa"/>
        <w:tblInd w:w="0" w:type="dxa"/>
        <w:tblLayout w:type="fixed"/>
        <w:tblCellMar>
          <w:top w:w="0" w:type="dxa"/>
          <w:left w:w="108" w:type="dxa"/>
          <w:bottom w:w="0" w:type="dxa"/>
          <w:right w:w="108" w:type="dxa"/>
        </w:tblCellMar>
      </w:tblPr>
      <w:tblGrid>
        <w:gridCol w:w="1284"/>
        <w:gridCol w:w="1284"/>
        <w:gridCol w:w="1078"/>
        <w:gridCol w:w="1096"/>
        <w:gridCol w:w="1924"/>
        <w:gridCol w:w="1280"/>
        <w:gridCol w:w="1171"/>
      </w:tblGrid>
      <w:tr>
        <w:tblPrEx>
          <w:tblLayout w:type="fixed"/>
          <w:tblCellMar>
            <w:top w:w="0" w:type="dxa"/>
            <w:left w:w="108" w:type="dxa"/>
            <w:bottom w:w="0" w:type="dxa"/>
            <w:right w:w="108" w:type="dxa"/>
          </w:tblCellMar>
        </w:tblPrEx>
        <w:trPr>
          <w:trHeight w:val="360" w:hRule="atLeast"/>
        </w:trPr>
        <w:tc>
          <w:tcPr>
            <w:tcW w:w="1284"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污染源</w:t>
            </w:r>
          </w:p>
        </w:tc>
        <w:tc>
          <w:tcPr>
            <w:tcW w:w="1284"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污染物</w:t>
            </w:r>
          </w:p>
        </w:tc>
        <w:tc>
          <w:tcPr>
            <w:tcW w:w="1078" w:type="dxa"/>
            <w:vMerge w:val="restart"/>
            <w:tcBorders>
              <w:top w:val="single" w:color="auto" w:sz="8" w:space="0"/>
              <w:left w:val="nil"/>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排放量(kg/a)</w:t>
            </w:r>
          </w:p>
        </w:tc>
        <w:tc>
          <w:tcPr>
            <w:tcW w:w="1096" w:type="dxa"/>
            <w:vMerge w:val="restart"/>
            <w:tcBorders>
              <w:top w:val="single" w:color="auto" w:sz="8" w:space="0"/>
              <w:left w:val="nil"/>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1924"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排放高度</w:t>
            </w:r>
          </w:p>
        </w:tc>
        <w:tc>
          <w:tcPr>
            <w:tcW w:w="128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面源长度</w:t>
            </w:r>
          </w:p>
        </w:tc>
        <w:tc>
          <w:tcPr>
            <w:tcW w:w="1171"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面源宽度</w:t>
            </w:r>
          </w:p>
        </w:tc>
      </w:tr>
      <w:tr>
        <w:tblPrEx>
          <w:tblLayout w:type="fixed"/>
          <w:tblCellMar>
            <w:top w:w="0" w:type="dxa"/>
            <w:left w:w="108" w:type="dxa"/>
            <w:bottom w:w="0" w:type="dxa"/>
            <w:right w:w="108" w:type="dxa"/>
          </w:tblCellMar>
        </w:tblPrEx>
        <w:trPr>
          <w:trHeight w:val="480" w:hRule="atLeast"/>
        </w:trPr>
        <w:tc>
          <w:tcPr>
            <w:tcW w:w="128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p>
        </w:tc>
        <w:tc>
          <w:tcPr>
            <w:tcW w:w="128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p>
        </w:tc>
        <w:tc>
          <w:tcPr>
            <w:tcW w:w="1078" w:type="dxa"/>
            <w:vMerge w:val="continue"/>
            <w:tcBorders>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p>
        </w:tc>
        <w:tc>
          <w:tcPr>
            <w:tcW w:w="1096" w:type="dxa"/>
            <w:vMerge w:val="continue"/>
            <w:tcBorders>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p>
        </w:tc>
        <w:tc>
          <w:tcPr>
            <w:tcW w:w="1924"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m</w:t>
            </w:r>
          </w:p>
        </w:tc>
        <w:tc>
          <w:tcPr>
            <w:tcW w:w="1280"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m</w:t>
            </w:r>
          </w:p>
        </w:tc>
        <w:tc>
          <w:tcPr>
            <w:tcW w:w="117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m</w:t>
            </w:r>
          </w:p>
        </w:tc>
      </w:tr>
      <w:tr>
        <w:tblPrEx>
          <w:tblLayout w:type="fixed"/>
          <w:tblCellMar>
            <w:top w:w="0" w:type="dxa"/>
            <w:left w:w="108" w:type="dxa"/>
            <w:bottom w:w="0" w:type="dxa"/>
            <w:right w:w="108" w:type="dxa"/>
          </w:tblCellMar>
        </w:tblPrEx>
        <w:trPr>
          <w:trHeight w:val="285" w:hRule="atLeast"/>
        </w:trPr>
        <w:tc>
          <w:tcPr>
            <w:tcW w:w="1284"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配料</w:t>
            </w:r>
          </w:p>
        </w:tc>
        <w:tc>
          <w:tcPr>
            <w:tcW w:w="1284"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1078"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2.785</w:t>
            </w:r>
          </w:p>
        </w:tc>
        <w:tc>
          <w:tcPr>
            <w:tcW w:w="1096" w:type="dxa"/>
            <w:tcBorders>
              <w:top w:val="single" w:color="auto" w:sz="4" w:space="0"/>
              <w:left w:val="nil"/>
              <w:bottom w:val="single" w:color="auto" w:sz="4" w:space="0"/>
              <w:right w:val="nil"/>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166</w:t>
            </w:r>
            <w:r>
              <w:rPr>
                <w:rStyle w:val="63"/>
                <w:rFonts w:hint="eastAsia"/>
                <w:color w:val="000000" w:themeColor="text1"/>
                <w14:textFill>
                  <w14:solidFill>
                    <w14:schemeClr w14:val="tx1"/>
                  </w14:solidFill>
                </w14:textFill>
              </w:rPr>
              <w:t xml:space="preserve"> </w:t>
            </w:r>
          </w:p>
        </w:tc>
        <w:tc>
          <w:tcPr>
            <w:tcW w:w="1924"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w:t>
            </w:r>
          </w:p>
        </w:tc>
        <w:tc>
          <w:tcPr>
            <w:tcW w:w="1280"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w:t>
            </w:r>
          </w:p>
        </w:tc>
        <w:tc>
          <w:tcPr>
            <w:tcW w:w="117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85" w:hRule="atLeast"/>
        </w:trPr>
        <w:tc>
          <w:tcPr>
            <w:tcW w:w="9117" w:type="dxa"/>
            <w:gridSpan w:val="7"/>
            <w:tcBorders>
              <w:top w:val="single" w:color="auto" w:sz="4" w:space="0"/>
              <w:left w:val="single" w:color="auto" w:sz="4" w:space="0"/>
              <w:bottom w:val="single" w:color="auto" w:sz="4" w:space="0"/>
              <w:right w:val="single" w:color="auto" w:sz="4" w:space="0"/>
            </w:tcBorders>
            <w:shd w:val="clear" w:color="auto" w:fill="auto"/>
            <w:vAlign w:val="center"/>
          </w:tcPr>
          <w:p>
            <w:pPr>
              <w:pStyle w:val="107"/>
              <w:jc w:val="left"/>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注：面源高度按围蔽空间的高度计</w:t>
            </w:r>
          </w:p>
        </w:tc>
      </w:tr>
    </w:tbl>
    <w:p>
      <w:pPr>
        <w:ind w:firstLine="480"/>
        <w:rPr>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由于本项目主要粉尘物质钙粉的相对密度2.7～2.8，起尘点一般仅在配料工位，不易扩散，配料间的粉尘大部分会降落在车间地面上，企业应加强车间地面的清扫，在此基础上，粉尘基本不会弥散到车间外。</w:t>
      </w:r>
    </w:p>
    <w:p>
      <w:pPr>
        <w:pStyle w:val="6"/>
      </w:pPr>
      <w:bookmarkStart w:id="211" w:name="_Hlk3507213"/>
      <w:r>
        <w:rPr>
          <w:rFonts w:hint="eastAsia"/>
        </w:rPr>
        <w:t>投料、混炼</w:t>
      </w:r>
      <w:r>
        <w:rPr>
          <w:rFonts w:hint="eastAsia" w:eastAsiaTheme="minorEastAsia"/>
        </w:rPr>
        <w:t>（密炼、开炼）</w:t>
      </w:r>
      <w:r>
        <w:rPr>
          <w:rFonts w:hint="eastAsia"/>
        </w:rPr>
        <w:t>工序</w:t>
      </w:r>
    </w:p>
    <w:bookmarkEnd w:id="211"/>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项目在投料、密炼过程中由于钙粉、白黑炭、钛白粉等均为粉状固体，因此会有粉尘产生，密炼和开炼过程中由于摩擦生热，原料中会有有机废气和恶臭产生。</w:t>
      </w:r>
    </w:p>
    <w:p>
      <w:pPr>
        <w:ind w:firstLine="480"/>
      </w:pPr>
      <w:r>
        <w:rPr>
          <w:rFonts w:hint="eastAsia"/>
        </w:rPr>
        <w:t>根据有关资料，炼胶烟气的特点是排放量大、污染物浓度低、成分复杂，烟气中约有几十种有机成分，基本上属烃类和芳香烃类（C6～C10），并带有臭味。化工部橡胶工业研究所对炼胶烟气用GC-MS法测定，初步鉴定出42种化合物，成分主要为烷烃、烯烃和芳香烃等聚异戊二烯的裂解产物。</w:t>
      </w:r>
    </w:p>
    <w:p>
      <w:pPr>
        <w:ind w:firstLine="480"/>
        <w:rPr>
          <w:rFonts w:eastAsiaTheme="minorEastAsia"/>
        </w:rPr>
      </w:pPr>
      <w:r>
        <w:rPr>
          <w:rFonts w:hint="eastAsia" w:eastAsiaTheme="minorEastAsia"/>
        </w:rPr>
        <w:t>参考《橡胶制品工业污染物排放标准（征求意见稿）编制说明》等有关资料，炼胶烟气中主要污染物以颗粒物、非甲烷总烃、H</w:t>
      </w:r>
      <w:r>
        <w:rPr>
          <w:rFonts w:hint="eastAsia" w:eastAsiaTheme="minorEastAsia"/>
          <w:vertAlign w:val="subscript"/>
        </w:rPr>
        <w:t>2</w:t>
      </w:r>
      <w:r>
        <w:rPr>
          <w:rFonts w:hint="eastAsia" w:eastAsiaTheme="minorEastAsia"/>
        </w:rPr>
        <w:t>S计并以臭气浓度表征恶臭物质。</w:t>
      </w:r>
    </w:p>
    <w:p>
      <w:pPr>
        <w:ind w:firstLine="480"/>
        <w:rPr>
          <w:rFonts w:eastAsiaTheme="minorEastAsia"/>
        </w:rPr>
      </w:pPr>
      <w:r>
        <w:rPr>
          <w:rFonts w:hint="eastAsia" w:eastAsiaTheme="minorEastAsia"/>
        </w:rPr>
        <w:t>项目橡胶混炼过程为密闭操作，采取两段式混炼，一阶段为密炼，二阶段为开炼，所有物料均投入密炼机密闭混炼，开炼工序橡胶料已基本成规则形状，主要是加强胶料的均匀度，无粉尘产生。所以粉尘主要产生在密炼工序的投料环节，粉状原料由于质量较轻，在密炼过程中会有少量发生逸散。另外，密炼和开炼均在室温下进行，混炼过程中物料自身摩擦生热，为了避免提前发生硫化作用温度由冷却水间接冷却降温，控制在70℃以下。</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本项目密炼机设有投料仓门，由人工将配好的颗粒料包、粉料包和胶料按照一定的比例通过投料仓口投加到密炼机中的密炼室，关闭投料仓门进行密炼，密炼温度约为</w:t>
      </w:r>
      <w:r>
        <w:rPr>
          <w:rStyle w:val="63"/>
          <w:color w:val="000000" w:themeColor="text1"/>
          <w14:textFill>
            <w14:solidFill>
              <w14:schemeClr w14:val="tx1"/>
            </w14:solidFill>
          </w14:textFill>
        </w:rPr>
        <w:t>60</w:t>
      </w:r>
      <w:r>
        <w:rPr>
          <w:rStyle w:val="63"/>
          <w:rFonts w:hint="eastAsia"/>
          <w:color w:val="000000" w:themeColor="text1"/>
          <w14:textFill>
            <w14:solidFill>
              <w14:schemeClr w14:val="tx1"/>
            </w14:solidFill>
          </w14:textFill>
        </w:rPr>
        <w:t>~</w:t>
      </w:r>
      <w:r>
        <w:rPr>
          <w:rStyle w:val="63"/>
          <w:color w:val="000000" w:themeColor="text1"/>
          <w14:textFill>
            <w14:solidFill>
              <w14:schemeClr w14:val="tx1"/>
            </w14:solidFill>
          </w14:textFill>
        </w:rPr>
        <w:t>80</w:t>
      </w:r>
      <w:r>
        <w:rPr>
          <w:rStyle w:val="63"/>
          <w:rFonts w:hint="eastAsia"/>
          <w:color w:val="000000" w:themeColor="text1"/>
          <w14:textFill>
            <w14:solidFill>
              <w14:schemeClr w14:val="tx1"/>
            </w14:solidFill>
          </w14:textFill>
        </w:rPr>
        <w:t>℃，密炼工段年工作</w:t>
      </w:r>
      <w:r>
        <w:rPr>
          <w:rStyle w:val="63"/>
          <w:color w:val="000000" w:themeColor="text1"/>
          <w14:textFill>
            <w14:solidFill>
              <w14:schemeClr w14:val="tx1"/>
            </w14:solidFill>
          </w14:textFill>
        </w:rPr>
        <w:t>2400h</w:t>
      </w:r>
      <w:r>
        <w:rPr>
          <w:rStyle w:val="63"/>
          <w:rFonts w:hint="eastAsia"/>
          <w:color w:val="000000" w:themeColor="text1"/>
          <w14:textFill>
            <w14:solidFill>
              <w14:schemeClr w14:val="tx1"/>
            </w14:solidFill>
          </w14:textFill>
        </w:rPr>
        <w:t>。密炼过程中会产生密炼废气，密炼废气成分复杂，通常以颗粒物、非甲烷总烃、硫化氢为表征，其中颗粒物主要产生在粉料包投料、密炼工段，非甲烷总烃和硫化氢主要产生于密炼室密炼工段。</w:t>
      </w:r>
    </w:p>
    <w:p>
      <w:pPr>
        <w:ind w:firstLine="480"/>
        <w:rPr>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开炼工段年工作</w:t>
      </w:r>
      <w:r>
        <w:rPr>
          <w:rStyle w:val="63"/>
          <w:color w:val="000000" w:themeColor="text1"/>
          <w14:textFill>
            <w14:solidFill>
              <w14:schemeClr w14:val="tx1"/>
            </w14:solidFill>
          </w14:textFill>
        </w:rPr>
        <w:t>2400h</w:t>
      </w:r>
      <w:r>
        <w:rPr>
          <w:rStyle w:val="63"/>
          <w:rFonts w:hint="eastAsia"/>
          <w:color w:val="000000" w:themeColor="text1"/>
          <w14:textFill>
            <w14:solidFill>
              <w14:schemeClr w14:val="tx1"/>
            </w14:solidFill>
          </w14:textFill>
        </w:rPr>
        <w:t>，开炼废气以非甲烷总烃、硫化氢为表征。</w:t>
      </w:r>
    </w:p>
    <w:p>
      <w:pPr>
        <w:pStyle w:val="126"/>
        <w:numPr>
          <w:ilvl w:val="0"/>
          <w:numId w:val="27"/>
        </w:numPr>
        <w:ind w:firstLine="482" w:firstLineChars="200"/>
        <w:rPr>
          <w:rFonts w:eastAsiaTheme="minorEastAsia"/>
        </w:rPr>
      </w:pPr>
      <w:r>
        <w:rPr>
          <w:rFonts w:hint="eastAsia" w:eastAsiaTheme="minorEastAsia"/>
        </w:rPr>
        <w:t>粉尘产生量</w:t>
      </w:r>
    </w:p>
    <w:p>
      <w:pPr>
        <w:ind w:firstLine="480"/>
        <w:rPr>
          <w:rFonts w:eastAsiaTheme="minorEastAsia"/>
        </w:rPr>
      </w:pPr>
      <w:r>
        <w:rPr>
          <w:rFonts w:hint="eastAsia" w:eastAsiaTheme="minorEastAsia"/>
        </w:rPr>
        <w:t>根据《第一次全国污染源普查工业污染源产排污系数手册（2</w:t>
      </w:r>
      <w:r>
        <w:rPr>
          <w:rFonts w:eastAsiaTheme="minorEastAsia"/>
        </w:rPr>
        <w:t>010</w:t>
      </w:r>
      <w:r>
        <w:rPr>
          <w:rFonts w:hint="eastAsia" w:eastAsiaTheme="minorEastAsia"/>
        </w:rPr>
        <w:t>年修订）》给出的91个小类行业类比采用相关行业的产排污系数的要求：橡胶零件制造（行业代码：2930）类比“轮胎制造业2911车辆、飞机及工程机械轮胎制造、2912力车胎制造”，结合项目的工程特性，采用炼胶工艺（规模等级≤1万吨-三胶/年）的工业粉尘产污系数：0.931kg/t三胶（三胶指原料中的天然橡胶、合成橡胶、再生胶）。</w:t>
      </w:r>
      <w:r>
        <w:rPr>
          <w:rFonts w:hint="eastAsia"/>
        </w:rPr>
        <w:t>本项目</w:t>
      </w:r>
      <w:r>
        <w:rPr>
          <w:rFonts w:hint="eastAsia" w:eastAsiaTheme="minorEastAsia"/>
        </w:rPr>
        <w:t>天然橡胶、合成橡胶</w:t>
      </w:r>
      <w:r>
        <w:rPr>
          <w:rFonts w:hint="eastAsia"/>
        </w:rPr>
        <w:t>用量</w:t>
      </w:r>
      <w:r>
        <w:rPr>
          <w:rFonts w:hint="eastAsia" w:eastAsiaTheme="minorEastAsia"/>
        </w:rPr>
        <w:t>约为</w:t>
      </w:r>
      <w:r>
        <w:rPr>
          <w:rFonts w:eastAsiaTheme="minorEastAsia"/>
        </w:rPr>
        <w:t xml:space="preserve">400 </w:t>
      </w:r>
      <w:r>
        <w:rPr>
          <w:rFonts w:hint="eastAsia" w:eastAsiaTheme="minorEastAsia"/>
        </w:rPr>
        <w:t>t/a，则投料、密炼过程中的粉尘产生量为</w:t>
      </w:r>
      <w:r>
        <w:rPr>
          <w:rFonts w:eastAsiaTheme="minorEastAsia"/>
        </w:rPr>
        <w:t xml:space="preserve">372.4 </w:t>
      </w:r>
      <w:r>
        <w:rPr>
          <w:rFonts w:hint="eastAsia" w:eastAsiaTheme="minorEastAsia"/>
        </w:rPr>
        <w:t>kg/a。</w:t>
      </w:r>
    </w:p>
    <w:p>
      <w:pPr>
        <w:pStyle w:val="126"/>
        <w:numPr>
          <w:ilvl w:val="0"/>
          <w:numId w:val="27"/>
        </w:numPr>
        <w:ind w:firstLine="482"/>
        <w:rPr>
          <w:rFonts w:eastAsiaTheme="minorEastAsia"/>
        </w:rPr>
      </w:pPr>
      <w:r>
        <w:rPr>
          <w:rFonts w:hint="eastAsia" w:eastAsiaTheme="minorEastAsia"/>
        </w:rPr>
        <w:t>非甲烷总烃产生量</w:t>
      </w:r>
    </w:p>
    <w:p>
      <w:pPr>
        <w:ind w:firstLine="480"/>
        <w:rPr>
          <w:rFonts w:cs="Times New Roman" w:eastAsiaTheme="minorEastAsia"/>
          <w:kern w:val="2"/>
        </w:rPr>
      </w:pPr>
      <w:r>
        <w:rPr>
          <w:rFonts w:hint="eastAsia" w:cs="Times New Roman" w:eastAsiaTheme="minorEastAsia"/>
          <w:kern w:val="2"/>
        </w:rPr>
        <w:t>项目在密炼和开炼过程中均有有机废气产生，主要污染因子为非甲烷总烃。根据相关文献（张芝兰.橡胶制品生产过程中有机废气的排放系数[J]橡胶工业，2006，53（11）：682-683），介绍美国国家环保局公布的美国橡胶制造者协会（RMA）对橡胶制品在生产过程中有机废气排放系数的测试过程和测试结果（</w:t>
      </w:r>
      <w:r>
        <w:fldChar w:fldCharType="begin"/>
      </w:r>
      <w:r>
        <w:instrText xml:space="preserve"> HYPERLINK "http://www.epa.gov/ttn/chief/ap42/ch04/" </w:instrText>
      </w:r>
      <w:r>
        <w:fldChar w:fldCharType="separate"/>
      </w:r>
      <w:r>
        <w:rPr>
          <w:rStyle w:val="64"/>
          <w:rFonts w:hint="eastAsia" w:cs="Times New Roman" w:eastAsiaTheme="minorEastAsia"/>
          <w:color w:val="000000" w:themeColor="text1"/>
          <w:kern w:val="2"/>
          <w14:textFill>
            <w14:solidFill>
              <w14:schemeClr w14:val="tx1"/>
            </w14:solidFill>
          </w14:textFill>
        </w:rPr>
        <w:t>http://www.epa.gov/ttn/chief/ap42/ch04/</w:t>
      </w:r>
      <w:r>
        <w:rPr>
          <w:rStyle w:val="64"/>
          <w:rFonts w:hint="eastAsia" w:cs="Times New Roman" w:eastAsiaTheme="minorEastAsia"/>
          <w:color w:val="000000" w:themeColor="text1"/>
          <w:kern w:val="2"/>
          <w14:textFill>
            <w14:solidFill>
              <w14:schemeClr w14:val="tx1"/>
            </w14:solidFill>
          </w14:textFill>
        </w:rPr>
        <w:fldChar w:fldCharType="end"/>
      </w:r>
      <w:r>
        <w:rPr>
          <w:rFonts w:hint="eastAsia" w:cs="Times New Roman" w:eastAsiaTheme="minorEastAsia"/>
          <w:kern w:val="2"/>
        </w:rPr>
        <w:t>），试验用的橡胶制品包括23类，涵盖了各类橡胶制品，该数据中橡胶制品以橡胶品种、轮胎以主要部件进行分类，主要生产工艺包括密炼、开炼、硫化等。本项目橡胶制品属于该数据中的试验范围，同时本项目生产工艺也和该试验中的工艺基本一致，只是本项目原料使用天然胶和合成胶代替，因此该数据与本项目有较好的可类比性。密炼、开炼工序分别对应文中的混炼、热炼项目，非甲烷总烃产污系数可参照其中对应的测试结果进行确定，排放系数以加工消耗的橡胶原料所排放的污染物质量表示。密炼（混炼）时非甲烷总烃（总目标有机物）最大产生系数为0.299kg/t胶料，开炼（热炼）时非甲烷总烃（总目标有机物）最大产生系数为0.</w:t>
      </w:r>
      <w:r>
        <w:rPr>
          <w:rFonts w:cs="Times New Roman" w:eastAsiaTheme="minorEastAsia"/>
          <w:kern w:val="2"/>
        </w:rPr>
        <w:t>155</w:t>
      </w:r>
      <w:r>
        <w:rPr>
          <w:rFonts w:hint="eastAsia" w:cs="Times New Roman" w:eastAsiaTheme="minorEastAsia"/>
          <w:kern w:val="2"/>
        </w:rPr>
        <w:t>kg/t胶料。</w:t>
      </w:r>
    </w:p>
    <w:p>
      <w:pPr>
        <w:ind w:firstLine="480"/>
        <w:rPr>
          <w:rFonts w:cs="Times New Roman" w:eastAsiaTheme="minorEastAsia"/>
          <w:kern w:val="2"/>
        </w:rPr>
      </w:pPr>
      <w:r>
        <w:rPr>
          <w:rFonts w:hint="eastAsia" w:cs="Times New Roman" w:eastAsiaTheme="minorEastAsia"/>
          <w:kern w:val="2"/>
        </w:rPr>
        <w:t>密炼、开炼过程中有机废气（非甲烷总烃）的产生情况详见</w:t>
      </w:r>
      <w:r>
        <w:rPr>
          <w:rFonts w:cs="Times New Roman" w:eastAsiaTheme="minorEastAsia"/>
          <w:kern w:val="2"/>
        </w:rPr>
        <w:fldChar w:fldCharType="begin"/>
      </w:r>
      <w:r>
        <w:rPr>
          <w:rFonts w:cs="Times New Roman" w:eastAsiaTheme="minorEastAsia"/>
          <w:kern w:val="2"/>
        </w:rPr>
        <w:instrText xml:space="preserve"> </w:instrText>
      </w:r>
      <w:r>
        <w:rPr>
          <w:rFonts w:hint="eastAsia" w:cs="Times New Roman" w:eastAsiaTheme="minorEastAsia"/>
          <w:kern w:val="2"/>
        </w:rPr>
        <w:instrText xml:space="preserve">REF _Ref527043375 \h</w:instrText>
      </w:r>
      <w:r>
        <w:rPr>
          <w:rFonts w:cs="Times New Roman" w:eastAsiaTheme="minorEastAsia"/>
          <w:kern w:val="2"/>
        </w:rPr>
        <w:instrText xml:space="preserve">  \* MERGEFORMAT </w:instrText>
      </w:r>
      <w:r>
        <w:rPr>
          <w:rFonts w:cs="Times New Roman" w:eastAsiaTheme="minorEastAsia"/>
          <w:kern w:val="2"/>
        </w:rPr>
        <w:fldChar w:fldCharType="separate"/>
      </w:r>
      <w:r>
        <w:rPr>
          <w:rFonts w:hint="eastAsia" w:eastAsiaTheme="minorEastAsia"/>
        </w:rPr>
        <w:t xml:space="preserve">表 </w:t>
      </w:r>
      <w:r>
        <w:rPr>
          <w:rFonts w:eastAsiaTheme="minorEastAsia"/>
        </w:rPr>
        <w:t>2.8</w:t>
      </w:r>
      <w:r>
        <w:rPr>
          <w:rFonts w:eastAsiaTheme="minorEastAsia"/>
        </w:rPr>
        <w:noBreakHyphen/>
      </w:r>
      <w:r>
        <w:rPr>
          <w:rFonts w:eastAsiaTheme="minorEastAsia"/>
        </w:rPr>
        <w:t>3</w:t>
      </w:r>
      <w:r>
        <w:rPr>
          <w:rFonts w:cs="Times New Roman" w:eastAsiaTheme="minorEastAsia"/>
          <w:kern w:val="2"/>
        </w:rPr>
        <w:fldChar w:fldCharType="end"/>
      </w:r>
      <w:r>
        <w:rPr>
          <w:rFonts w:hint="eastAsia" w:cs="Times New Roman" w:eastAsiaTheme="minorEastAsia"/>
          <w:kern w:val="2"/>
        </w:rPr>
        <w:t>。</w:t>
      </w:r>
    </w:p>
    <w:p>
      <w:pPr>
        <w:pStyle w:val="18"/>
      </w:pPr>
      <w:bookmarkStart w:id="212" w:name="_Ref527043375"/>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2.8</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bookmarkEnd w:id="212"/>
      <w:r>
        <w:t xml:space="preserve"> </w:t>
      </w:r>
      <w:r>
        <w:rPr>
          <w:rFonts w:hint="eastAsia"/>
        </w:rPr>
        <w:t>密炼、开炼过程中非甲烷总烃产生情况一览表</w:t>
      </w:r>
    </w:p>
    <w:tbl>
      <w:tblPr>
        <w:tblStyle w:val="57"/>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4"/>
        <w:gridCol w:w="2766"/>
        <w:gridCol w:w="2024"/>
        <w:gridCol w:w="22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44" w:type="dxa"/>
            <w:vAlign w:val="center"/>
          </w:tcPr>
          <w:p>
            <w:pPr>
              <w:pStyle w:val="107"/>
              <w:rPr>
                <w:b/>
              </w:rPr>
            </w:pPr>
            <w:r>
              <w:rPr>
                <w:rFonts w:hint="eastAsia"/>
                <w:b/>
              </w:rPr>
              <w:t>污染源</w:t>
            </w:r>
          </w:p>
        </w:tc>
        <w:tc>
          <w:tcPr>
            <w:tcW w:w="2766" w:type="dxa"/>
            <w:vAlign w:val="center"/>
          </w:tcPr>
          <w:p>
            <w:pPr>
              <w:pStyle w:val="107"/>
              <w:rPr>
                <w:b/>
              </w:rPr>
            </w:pPr>
            <w:r>
              <w:rPr>
                <w:rFonts w:hint="eastAsia"/>
                <w:b/>
              </w:rPr>
              <w:t>投料、密炼</w:t>
            </w:r>
          </w:p>
        </w:tc>
        <w:tc>
          <w:tcPr>
            <w:tcW w:w="2024" w:type="dxa"/>
            <w:vAlign w:val="center"/>
          </w:tcPr>
          <w:p>
            <w:pPr>
              <w:pStyle w:val="107"/>
              <w:rPr>
                <w:b/>
              </w:rPr>
            </w:pPr>
            <w:r>
              <w:rPr>
                <w:rFonts w:hint="eastAsia"/>
                <w:b/>
              </w:rPr>
              <w:t>密炼</w:t>
            </w:r>
          </w:p>
        </w:tc>
        <w:tc>
          <w:tcPr>
            <w:tcW w:w="2283" w:type="dxa"/>
            <w:vAlign w:val="center"/>
          </w:tcPr>
          <w:p>
            <w:pPr>
              <w:pStyle w:val="107"/>
              <w:rPr>
                <w:b/>
              </w:rPr>
            </w:pPr>
            <w:r>
              <w:rPr>
                <w:rFonts w:hint="eastAsia"/>
                <w:b/>
              </w:rPr>
              <w:t>开炼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44" w:type="dxa"/>
            <w:vAlign w:val="center"/>
          </w:tcPr>
          <w:p>
            <w:pPr>
              <w:pStyle w:val="107"/>
              <w:rPr>
                <w:b/>
              </w:rPr>
            </w:pPr>
            <w:r>
              <w:rPr>
                <w:rFonts w:hint="eastAsia"/>
                <w:b/>
              </w:rPr>
              <w:t>污染物</w:t>
            </w:r>
          </w:p>
        </w:tc>
        <w:tc>
          <w:tcPr>
            <w:tcW w:w="2766" w:type="dxa"/>
            <w:vAlign w:val="center"/>
          </w:tcPr>
          <w:p>
            <w:pPr>
              <w:pStyle w:val="107"/>
            </w:pPr>
            <w:r>
              <w:rPr>
                <w:rFonts w:hint="eastAsia"/>
              </w:rPr>
              <w:t>粉尘（颗粒物）</w:t>
            </w:r>
          </w:p>
        </w:tc>
        <w:tc>
          <w:tcPr>
            <w:tcW w:w="2024" w:type="dxa"/>
            <w:vAlign w:val="center"/>
          </w:tcPr>
          <w:p>
            <w:pPr>
              <w:pStyle w:val="107"/>
            </w:pPr>
            <w:r>
              <w:rPr>
                <w:rFonts w:hint="eastAsia" w:cs="Times New Roman"/>
                <w:kern w:val="2"/>
              </w:rPr>
              <w:t>非甲烷总烃</w:t>
            </w:r>
          </w:p>
        </w:tc>
        <w:tc>
          <w:tcPr>
            <w:tcW w:w="2283" w:type="dxa"/>
            <w:vAlign w:val="center"/>
          </w:tcPr>
          <w:p>
            <w:pPr>
              <w:pStyle w:val="107"/>
            </w:pPr>
            <w:r>
              <w:rPr>
                <w:rFonts w:hint="eastAsia" w:cs="Times New Roman"/>
                <w:kern w:val="2"/>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44" w:type="dxa"/>
            <w:vAlign w:val="center"/>
          </w:tcPr>
          <w:p>
            <w:pPr>
              <w:pStyle w:val="107"/>
              <w:rPr>
                <w:b/>
              </w:rPr>
            </w:pPr>
            <w:r>
              <w:rPr>
                <w:rFonts w:hint="eastAsia"/>
                <w:b/>
              </w:rPr>
              <w:t>产生系数（</w:t>
            </w:r>
            <w:r>
              <w:rPr>
                <w:rFonts w:hint="eastAsia" w:cs="Times New Roman"/>
                <w:b/>
                <w:kern w:val="2"/>
              </w:rPr>
              <w:t>kg/t胶料</w:t>
            </w:r>
            <w:r>
              <w:rPr>
                <w:rFonts w:hint="eastAsia"/>
                <w:b/>
              </w:rPr>
              <w:t>）</w:t>
            </w:r>
          </w:p>
        </w:tc>
        <w:tc>
          <w:tcPr>
            <w:tcW w:w="2766" w:type="dxa"/>
            <w:vAlign w:val="center"/>
          </w:tcPr>
          <w:p>
            <w:pPr>
              <w:pStyle w:val="107"/>
            </w:pPr>
            <w:r>
              <w:rPr>
                <w:rFonts w:hint="eastAsia"/>
              </w:rPr>
              <w:t>0.931</w:t>
            </w:r>
          </w:p>
        </w:tc>
        <w:tc>
          <w:tcPr>
            <w:tcW w:w="2024" w:type="dxa"/>
            <w:vAlign w:val="center"/>
          </w:tcPr>
          <w:p>
            <w:pPr>
              <w:pStyle w:val="107"/>
            </w:pPr>
            <w:r>
              <w:rPr>
                <w:rFonts w:hint="eastAsia" w:cs="Times New Roman"/>
                <w:kern w:val="2"/>
              </w:rPr>
              <w:t>0.299</w:t>
            </w:r>
          </w:p>
        </w:tc>
        <w:tc>
          <w:tcPr>
            <w:tcW w:w="2283" w:type="dxa"/>
            <w:vAlign w:val="center"/>
          </w:tcPr>
          <w:p>
            <w:pPr>
              <w:pStyle w:val="107"/>
            </w:pPr>
            <w:r>
              <w:rPr>
                <w:rFonts w:hint="eastAsia" w:cs="Times New Roman"/>
                <w:kern w:val="2"/>
              </w:rPr>
              <w:t>0.</w:t>
            </w:r>
            <w:r>
              <w:rPr>
                <w:rFonts w:cs="Times New Roman"/>
                <w:kern w:val="2"/>
              </w:rPr>
              <w:t>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44" w:type="dxa"/>
            <w:vAlign w:val="center"/>
          </w:tcPr>
          <w:p>
            <w:pPr>
              <w:pStyle w:val="107"/>
              <w:rPr>
                <w:b/>
              </w:rPr>
            </w:pPr>
            <w:r>
              <w:rPr>
                <w:rFonts w:hint="eastAsia"/>
                <w:b/>
              </w:rPr>
              <w:t>数据来源</w:t>
            </w:r>
          </w:p>
        </w:tc>
        <w:tc>
          <w:tcPr>
            <w:tcW w:w="2766" w:type="dxa"/>
            <w:vAlign w:val="center"/>
          </w:tcPr>
          <w:p>
            <w:pPr>
              <w:pStyle w:val="107"/>
            </w:pPr>
            <w:r>
              <w:rPr>
                <w:rFonts w:hint="eastAsia"/>
              </w:rPr>
              <w:t>《第一次全国污染源普查工业污染源产排污系数手册（2</w:t>
            </w:r>
            <w:r>
              <w:t>010</w:t>
            </w:r>
            <w:r>
              <w:rPr>
                <w:rFonts w:hint="eastAsia"/>
              </w:rPr>
              <w:t>年修订）》</w:t>
            </w:r>
          </w:p>
        </w:tc>
        <w:tc>
          <w:tcPr>
            <w:tcW w:w="4307" w:type="dxa"/>
            <w:gridSpan w:val="2"/>
            <w:vAlign w:val="center"/>
          </w:tcPr>
          <w:p>
            <w:pPr>
              <w:pStyle w:val="107"/>
            </w:pPr>
            <w:r>
              <w:rPr>
                <w:rFonts w:hint="eastAsia"/>
              </w:rPr>
              <w:t>《橡胶制品生产过程中有机废气的排放系数》（张芝兰.[J]橡胶工业，2006，53（11）：682-683）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44" w:type="dxa"/>
            <w:vAlign w:val="center"/>
          </w:tcPr>
          <w:p>
            <w:pPr>
              <w:pStyle w:val="107"/>
              <w:rPr>
                <w:b/>
              </w:rPr>
            </w:pPr>
            <w:r>
              <w:rPr>
                <w:rFonts w:hint="eastAsia"/>
                <w:b/>
              </w:rPr>
              <w:t>炼胶量（t/a）</w:t>
            </w:r>
          </w:p>
        </w:tc>
        <w:tc>
          <w:tcPr>
            <w:tcW w:w="7073" w:type="dxa"/>
            <w:gridSpan w:val="3"/>
            <w:vAlign w:val="center"/>
          </w:tcPr>
          <w:p>
            <w:pPr>
              <w:pStyle w:val="107"/>
            </w:pPr>
            <w: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044" w:type="dxa"/>
            <w:vAlign w:val="center"/>
          </w:tcPr>
          <w:p>
            <w:pPr>
              <w:pStyle w:val="107"/>
              <w:rPr>
                <w:b/>
              </w:rPr>
            </w:pPr>
            <w:r>
              <w:rPr>
                <w:rFonts w:hint="eastAsia"/>
                <w:b/>
              </w:rPr>
              <w:t>产生量（kg/a）</w:t>
            </w:r>
          </w:p>
        </w:tc>
        <w:tc>
          <w:tcPr>
            <w:tcW w:w="276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372.4</w:t>
            </w:r>
          </w:p>
        </w:tc>
        <w:tc>
          <w:tcPr>
            <w:tcW w:w="2024" w:type="dxa"/>
            <w:tcBorders>
              <w:top w:val="single" w:color="auto" w:sz="4" w:space="0"/>
              <w:left w:val="single" w:color="auto" w:sz="4" w:space="0"/>
              <w:bottom w:val="single" w:color="auto" w:sz="4" w:space="0"/>
              <w:right w:val="single" w:color="auto" w:sz="8" w:space="0"/>
            </w:tcBorders>
            <w:shd w:val="clear" w:color="auto" w:fill="auto"/>
            <w:vAlign w:val="center"/>
          </w:tcPr>
          <w:p>
            <w:pPr>
              <w:pStyle w:val="107"/>
            </w:pPr>
            <w:r>
              <w:rPr>
                <w:rFonts w:eastAsia="等线"/>
              </w:rPr>
              <w:t>119.6</w:t>
            </w:r>
          </w:p>
        </w:tc>
        <w:tc>
          <w:tcPr>
            <w:tcW w:w="2283" w:type="dxa"/>
            <w:tcBorders>
              <w:top w:val="single" w:color="auto" w:sz="4" w:space="0"/>
              <w:left w:val="single" w:color="auto" w:sz="4" w:space="0"/>
              <w:bottom w:val="single" w:color="auto" w:sz="4" w:space="0"/>
              <w:right w:val="single" w:color="auto" w:sz="8" w:space="0"/>
            </w:tcBorders>
            <w:shd w:val="clear" w:color="auto" w:fill="auto"/>
            <w:vAlign w:val="center"/>
          </w:tcPr>
          <w:p>
            <w:pPr>
              <w:pStyle w:val="107"/>
            </w:pPr>
            <w:r>
              <w:rPr>
                <w:rFonts w:eastAsia="等线"/>
              </w:rPr>
              <w:t>62</w:t>
            </w:r>
          </w:p>
        </w:tc>
      </w:tr>
    </w:tbl>
    <w:p>
      <w:pPr>
        <w:pStyle w:val="126"/>
        <w:numPr>
          <w:ilvl w:val="0"/>
          <w:numId w:val="27"/>
        </w:numPr>
        <w:ind w:firstLine="482"/>
        <w:rPr>
          <w:rFonts w:eastAsiaTheme="minorEastAsia"/>
        </w:rPr>
      </w:pPr>
      <w:r>
        <w:rPr>
          <w:rFonts w:eastAsiaTheme="minorEastAsia"/>
        </w:rPr>
        <w:t>H</w:t>
      </w:r>
      <w:r>
        <w:rPr>
          <w:rFonts w:eastAsiaTheme="minorEastAsia"/>
          <w:vertAlign w:val="subscript"/>
        </w:rPr>
        <w:t>2</w:t>
      </w:r>
      <w:r>
        <w:rPr>
          <w:rFonts w:eastAsiaTheme="minorEastAsia"/>
        </w:rPr>
        <w:t>S</w:t>
      </w:r>
      <w:r>
        <w:rPr>
          <w:rFonts w:hint="eastAsia" w:eastAsiaTheme="minorEastAsia"/>
        </w:rPr>
        <w:t>产生量</w:t>
      </w:r>
    </w:p>
    <w:p>
      <w:pPr>
        <w:ind w:firstLine="480"/>
        <w:rPr>
          <w:rFonts w:eastAsiaTheme="minorEastAsia"/>
        </w:rPr>
      </w:pPr>
      <w:r>
        <w:rPr>
          <w:rFonts w:hint="eastAsia" w:eastAsiaTheme="minorEastAsia"/>
        </w:rPr>
        <w:t>项目在密炼和开炼过程中加入了硫化剂，鉴于硫化剂中含有硫，因此会有少量</w:t>
      </w:r>
      <w:r>
        <w:rPr>
          <w:rFonts w:cs="Times New Roman" w:eastAsiaTheme="minorEastAsia"/>
        </w:rPr>
        <w:t>H</w:t>
      </w:r>
      <w:r>
        <w:rPr>
          <w:rFonts w:cs="Times New Roman" w:eastAsiaTheme="minorEastAsia"/>
          <w:vertAlign w:val="subscript"/>
        </w:rPr>
        <w:t>2</w:t>
      </w:r>
      <w:r>
        <w:rPr>
          <w:rFonts w:cs="Times New Roman" w:eastAsiaTheme="minorEastAsia"/>
        </w:rPr>
        <w:t>S</w:t>
      </w:r>
      <w:r>
        <w:rPr>
          <w:rFonts w:hint="eastAsia" w:eastAsiaTheme="minorEastAsia"/>
        </w:rPr>
        <w:t>等恶臭气体产生。</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为了解工程项目污染源排放现状，本次评价对密炼废气处理前，开炼、硫化废气处理前的有组织排放浓度进行了实际监测。密炼废气收集效率以</w:t>
      </w:r>
      <w:r>
        <w:rPr>
          <w:rStyle w:val="63"/>
          <w:color w:val="000000" w:themeColor="text1"/>
          <w14:textFill>
            <w14:solidFill>
              <w14:schemeClr w14:val="tx1"/>
            </w14:solidFill>
          </w14:textFill>
        </w:rPr>
        <w:t>85</w:t>
      </w:r>
      <w:r>
        <w:rPr>
          <w:rStyle w:val="63"/>
          <w:rFonts w:hint="eastAsia"/>
          <w:color w:val="000000" w:themeColor="text1"/>
          <w14:textFill>
            <w14:solidFill>
              <w14:schemeClr w14:val="tx1"/>
            </w14:solidFill>
          </w14:textFill>
        </w:rPr>
        <w:t>%计，开炼、硫化废气收集效率以7</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%计，根据本项目满负荷运行时（最大工况条件下）的废气处理前实测数据均值（见</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REF _Ref3330911 \h</w:instrText>
      </w:r>
      <w:r>
        <w:rPr>
          <w:rStyle w:val="63"/>
          <w:color w:val="000000" w:themeColor="text1"/>
          <w14:textFill>
            <w14:solidFill>
              <w14:schemeClr w14:val="tx1"/>
            </w14:solidFill>
          </w14:textFill>
        </w:rPr>
        <w:instrText xml:space="preserve">  \* MERGEFORMAT </w:instrText>
      </w:r>
      <w:r>
        <w:rPr>
          <w:rStyle w:val="63"/>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16</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w:t>
      </w:r>
      <w:r>
        <w:rPr>
          <w:rStyle w:val="63"/>
          <w:rFonts w:hint="eastAsia"/>
        </w:rPr>
        <w:t>，</w:t>
      </w:r>
      <w:r>
        <w:rPr>
          <w:rStyle w:val="63"/>
          <w:rFonts w:hint="eastAsia"/>
          <w:color w:val="000000" w:themeColor="text1"/>
          <w14:textFill>
            <w14:solidFill>
              <w14:schemeClr w14:val="tx1"/>
            </w14:solidFill>
          </w14:textFill>
        </w:rPr>
        <w:t>折算得正常工况下密炼废气中</w:t>
      </w: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S产生速率约为0.8×10</w:t>
      </w:r>
      <w:r>
        <w:rPr>
          <w:rStyle w:val="63"/>
          <w:color w:val="000000" w:themeColor="text1"/>
          <w:vertAlign w:val="superscript"/>
          <w14:textFill>
            <w14:solidFill>
              <w14:schemeClr w14:val="tx1"/>
            </w14:solidFill>
          </w14:textFill>
        </w:rPr>
        <w:t xml:space="preserve">-3 </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开炼、硫化废气中</w:t>
      </w: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S产生速率</w:t>
      </w:r>
      <w:r>
        <w:rPr>
          <w:rStyle w:val="63"/>
          <w:rFonts w:hint="eastAsia"/>
          <w:color w:val="000000" w:themeColor="text1"/>
          <w14:textFill>
            <w14:solidFill>
              <w14:schemeClr w14:val="tx1"/>
            </w14:solidFill>
          </w14:textFill>
        </w:rPr>
        <w:t>分别</w:t>
      </w:r>
      <w:r>
        <w:rPr>
          <w:rStyle w:val="63"/>
          <w:color w:val="000000" w:themeColor="text1"/>
          <w14:textFill>
            <w14:solidFill>
              <w14:schemeClr w14:val="tx1"/>
            </w14:solidFill>
          </w14:textFill>
        </w:rPr>
        <w:t>约为1.2×10</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 xml:space="preserve"> kg/h（</w:t>
      </w:r>
      <w:r>
        <w:rPr>
          <w:rStyle w:val="63"/>
          <w:rFonts w:hint="eastAsia"/>
          <w:color w:val="000000" w:themeColor="text1"/>
          <w14:textFill>
            <w14:solidFill>
              <w14:schemeClr w14:val="tx1"/>
            </w14:solidFill>
          </w14:textFill>
        </w:rPr>
        <w:t>本评价按开炼、硫化废气中</w:t>
      </w: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S产</w:t>
      </w:r>
      <w:r>
        <w:rPr>
          <w:rStyle w:val="63"/>
          <w:rFonts w:hint="eastAsia"/>
          <w:color w:val="000000" w:themeColor="text1"/>
          <w14:textFill>
            <w14:solidFill>
              <w14:schemeClr w14:val="tx1"/>
            </w14:solidFill>
          </w14:textFill>
        </w:rPr>
        <w:t>出率相同计算</w:t>
      </w:r>
      <w:r>
        <w:rPr>
          <w:rStyle w:val="63"/>
          <w:color w:val="000000" w:themeColor="text1"/>
          <w14:textFill>
            <w14:solidFill>
              <w14:schemeClr w14:val="tx1"/>
            </w14:solidFill>
          </w14:textFill>
        </w:rPr>
        <w:t>）</w:t>
      </w:r>
      <w:r>
        <w:rPr>
          <w:rStyle w:val="63"/>
          <w:rFonts w:hint="eastAsia"/>
          <w:color w:val="000000" w:themeColor="text1"/>
          <w14:textFill>
            <w14:solidFill>
              <w14:schemeClr w14:val="tx1"/>
            </w14:solidFill>
          </w14:textFill>
        </w:rPr>
        <w:t>。</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项目满负荷生产状态（即最大工况状态）密炼工序生胶加工总量约</w:t>
      </w:r>
      <w:r>
        <w:rPr>
          <w:rStyle w:val="63"/>
          <w:color w:val="000000" w:themeColor="text1"/>
          <w14:textFill>
            <w14:solidFill>
              <w14:schemeClr w14:val="tx1"/>
            </w14:solidFill>
          </w14:textFill>
        </w:rPr>
        <w:t>1.333 t/d</w:t>
      </w:r>
      <w:r>
        <w:rPr>
          <w:rStyle w:val="63"/>
          <w:rFonts w:hint="eastAsia"/>
          <w:color w:val="000000" w:themeColor="text1"/>
          <w14:textFill>
            <w14:solidFill>
              <w14:schemeClr w14:val="tx1"/>
            </w14:solidFill>
          </w14:textFill>
        </w:rPr>
        <w:t>，开炼生胶加工总量约</w:t>
      </w:r>
      <w:r>
        <w:rPr>
          <w:rStyle w:val="63"/>
          <w:color w:val="000000" w:themeColor="text1"/>
          <w14:textFill>
            <w14:solidFill>
              <w14:schemeClr w14:val="tx1"/>
            </w14:solidFill>
          </w14:textFill>
        </w:rPr>
        <w:t>2.666t/d</w:t>
      </w:r>
      <w:r>
        <w:rPr>
          <w:rStyle w:val="63"/>
          <w:rFonts w:hint="eastAsia"/>
          <w:color w:val="000000" w:themeColor="text1"/>
          <w14:textFill>
            <w14:solidFill>
              <w14:schemeClr w14:val="tx1"/>
            </w14:solidFill>
          </w14:textFill>
        </w:rPr>
        <w:t>，硫化工序生胶加工总量约</w:t>
      </w:r>
      <w:r>
        <w:rPr>
          <w:rStyle w:val="63"/>
          <w:color w:val="000000" w:themeColor="text1"/>
          <w14:textFill>
            <w14:solidFill>
              <w14:schemeClr w14:val="tx1"/>
            </w14:solidFill>
          </w14:textFill>
        </w:rPr>
        <w:t>1.333t/d</w:t>
      </w:r>
      <w:r>
        <w:rPr>
          <w:rStyle w:val="63"/>
          <w:rFonts w:hint="eastAsia"/>
          <w:color w:val="000000" w:themeColor="text1"/>
          <w14:textFill>
            <w14:solidFill>
              <w14:schemeClr w14:val="tx1"/>
            </w14:solidFill>
          </w14:textFill>
        </w:rPr>
        <w:t>，日工作时间</w:t>
      </w:r>
      <w:r>
        <w:rPr>
          <w:rStyle w:val="63"/>
          <w:color w:val="000000" w:themeColor="text1"/>
          <w14:textFill>
            <w14:solidFill>
              <w14:schemeClr w14:val="tx1"/>
            </w14:solidFill>
          </w14:textFill>
        </w:rPr>
        <w:t>8</w:t>
      </w:r>
      <w:r>
        <w:rPr>
          <w:rStyle w:val="63"/>
          <w:rFonts w:hint="eastAsia"/>
          <w:color w:val="000000" w:themeColor="text1"/>
          <w14:textFill>
            <w14:solidFill>
              <w14:schemeClr w14:val="tx1"/>
            </w14:solidFill>
          </w14:textFill>
        </w:rPr>
        <w:t>h，计算得密炼过程</w:t>
      </w: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r>
        <w:rPr>
          <w:rStyle w:val="63"/>
          <w:rFonts w:hint="eastAsia"/>
          <w:color w:val="000000" w:themeColor="text1"/>
          <w14:textFill>
            <w14:solidFill>
              <w14:schemeClr w14:val="tx1"/>
            </w14:solidFill>
          </w14:textFill>
        </w:rPr>
        <w:t>平均产生系数约</w:t>
      </w:r>
      <w:r>
        <w:rPr>
          <w:rStyle w:val="63"/>
          <w:color w:val="000000" w:themeColor="text1"/>
          <w14:textFill>
            <w14:solidFill>
              <w14:schemeClr w14:val="tx1"/>
            </w14:solidFill>
          </w14:textFill>
        </w:rPr>
        <w:t>为</w:t>
      </w:r>
      <w:r>
        <w:rPr>
          <w:rStyle w:val="63"/>
          <w:rFonts w:hint="eastAsia"/>
          <w:color w:val="000000" w:themeColor="text1"/>
          <w14:textFill>
            <w14:solidFill>
              <w14:schemeClr w14:val="tx1"/>
            </w14:solidFill>
          </w14:textFill>
        </w:rPr>
        <w:t>0.006kg/t胶，开炼、硫化过程</w:t>
      </w: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r>
        <w:rPr>
          <w:rStyle w:val="63"/>
          <w:rFonts w:hint="eastAsia"/>
          <w:color w:val="000000" w:themeColor="text1"/>
          <w14:textFill>
            <w14:solidFill>
              <w14:schemeClr w14:val="tx1"/>
            </w14:solidFill>
          </w14:textFill>
        </w:rPr>
        <w:t>平均产生系数约</w:t>
      </w:r>
      <w:r>
        <w:rPr>
          <w:rStyle w:val="63"/>
          <w:color w:val="000000" w:themeColor="text1"/>
          <w14:textFill>
            <w14:solidFill>
              <w14:schemeClr w14:val="tx1"/>
            </w14:solidFill>
          </w14:textFill>
        </w:rPr>
        <w:t>为</w:t>
      </w: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11</w:t>
      </w:r>
      <w:r>
        <w:rPr>
          <w:rStyle w:val="63"/>
          <w:rFonts w:hint="eastAsia"/>
          <w:color w:val="000000" w:themeColor="text1"/>
          <w14:textFill>
            <w14:solidFill>
              <w14:schemeClr w14:val="tx1"/>
            </w14:solidFill>
          </w14:textFill>
        </w:rPr>
        <w:t>kg/t胶，则正常工况条件下密炼过程中的</w:t>
      </w: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r>
        <w:rPr>
          <w:rStyle w:val="63"/>
          <w:rFonts w:hint="eastAsia"/>
          <w:color w:val="000000" w:themeColor="text1"/>
          <w14:textFill>
            <w14:solidFill>
              <w14:schemeClr w14:val="tx1"/>
            </w14:solidFill>
          </w14:textFill>
        </w:rPr>
        <w:t>的产生量约为</w:t>
      </w:r>
      <w:r>
        <w:rPr>
          <w:rStyle w:val="63"/>
          <w:color w:val="000000" w:themeColor="text1"/>
          <w14:textFill>
            <w14:solidFill>
              <w14:schemeClr w14:val="tx1"/>
            </w14:solidFill>
          </w14:textFill>
        </w:rPr>
        <w:t xml:space="preserve">2.4 </w:t>
      </w:r>
      <w:r>
        <w:rPr>
          <w:rStyle w:val="63"/>
          <w:rFonts w:hint="eastAsia"/>
          <w:color w:val="000000" w:themeColor="text1"/>
          <w14:textFill>
            <w14:solidFill>
              <w14:schemeClr w14:val="tx1"/>
            </w14:solidFill>
          </w14:textFill>
        </w:rPr>
        <w:t>kg/a、开炼过程中的</w:t>
      </w: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r>
        <w:rPr>
          <w:rStyle w:val="63"/>
          <w:rFonts w:hint="eastAsia"/>
          <w:color w:val="000000" w:themeColor="text1"/>
          <w14:textFill>
            <w14:solidFill>
              <w14:schemeClr w14:val="tx1"/>
            </w14:solidFill>
          </w14:textFill>
        </w:rPr>
        <w:t>的产生量约为</w:t>
      </w:r>
      <w:r>
        <w:rPr>
          <w:rStyle w:val="63"/>
          <w:color w:val="000000" w:themeColor="text1"/>
          <w14:textFill>
            <w14:solidFill>
              <w14:schemeClr w14:val="tx1"/>
            </w14:solidFill>
          </w14:textFill>
        </w:rPr>
        <w:t>4.4</w:t>
      </w:r>
      <w:r>
        <w:rPr>
          <w:rStyle w:val="63"/>
          <w:rFonts w:hint="eastAsia"/>
          <w:color w:val="000000" w:themeColor="text1"/>
          <w14:textFill>
            <w14:solidFill>
              <w14:schemeClr w14:val="tx1"/>
            </w14:solidFill>
          </w14:textFill>
        </w:rPr>
        <w:t xml:space="preserve"> kg/a。</w:t>
      </w:r>
    </w:p>
    <w:p>
      <w:pPr>
        <w:pStyle w:val="162"/>
        <w:numPr>
          <w:ilvl w:val="0"/>
          <w:numId w:val="0"/>
        </w:numPr>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w:t>
      </w:r>
      <w:r>
        <w:rPr>
          <w:rStyle w:val="63"/>
          <w:color w:val="000000" w:themeColor="text1"/>
          <w14:textFill>
            <w14:solidFill>
              <w14:schemeClr w14:val="tx1"/>
            </w14:solidFill>
          </w14:textFill>
        </w:rPr>
        <w:t>现状</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项目混炼车间生产时车间门窗处于敞开状态，密闭性较差。</w:t>
      </w:r>
    </w:p>
    <w:p>
      <w:pPr>
        <w:ind w:firstLine="480"/>
        <w:rPr>
          <w:rStyle w:val="63"/>
          <w:color w:val="000000" w:themeColor="text1"/>
          <w:highlight w:val="yellow"/>
          <w14:textFill>
            <w14:solidFill>
              <w14:schemeClr w14:val="tx1"/>
            </w14:solidFill>
          </w14:textFill>
        </w:rPr>
      </w:pPr>
      <w:r>
        <w:rPr>
          <w:rStyle w:val="63"/>
          <w:rFonts w:hint="eastAsia"/>
          <w:color w:val="000000" w:themeColor="text1"/>
          <w14:textFill>
            <w14:solidFill>
              <w14:schemeClr w14:val="tx1"/>
            </w14:solidFill>
          </w14:textFill>
        </w:rPr>
        <w:t>项目密炼机运行时密闭操作，密炼室内设有抽风系统捕集密炼过程中产生的密炼废气，经密炼机出气口直接管道收集，废气（含粉尘）收集效率约为8</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。收集后的废气通过布袋除尘处理后和开料废气、硫化废气一起排入同一套活性炭吸附装置处理后引至1</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m高排气筒P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排放到外环境，处理风量约为</w:t>
      </w:r>
      <w:r>
        <w:rPr>
          <w:rStyle w:val="63"/>
          <w:color w:val="000000" w:themeColor="text1"/>
          <w14:textFill>
            <w14:solidFill>
              <w14:schemeClr w14:val="tx1"/>
            </w14:solidFill>
          </w14:textFill>
        </w:rPr>
        <w:t>22000 m</w:t>
      </w:r>
      <w:r>
        <w:rPr>
          <w:rStyle w:val="63"/>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/h。</w:t>
      </w:r>
    </w:p>
    <w:p>
      <w:pPr>
        <w:ind w:firstLine="480"/>
        <w:rPr>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项目开炼机辊筒上方设有集气罩及抽风装置收集开炼过程中的废气，废气收集效率约为</w:t>
      </w:r>
      <w:r>
        <w:rPr>
          <w:rStyle w:val="63"/>
          <w:color w:val="000000" w:themeColor="text1"/>
          <w14:textFill>
            <w14:solidFill>
              <w14:schemeClr w14:val="tx1"/>
            </w14:solidFill>
          </w14:textFill>
        </w:rPr>
        <w:t>75%</w:t>
      </w:r>
      <w:r>
        <w:rPr>
          <w:rStyle w:val="63"/>
          <w:rFonts w:hint="eastAsia"/>
          <w:color w:val="000000" w:themeColor="text1"/>
          <w14:textFill>
            <w14:solidFill>
              <w14:schemeClr w14:val="tx1"/>
            </w14:solidFill>
          </w14:textFill>
        </w:rPr>
        <w:t>。收集后的废气与硫化废气、密炼废气一同引至同一套活性炭吸附装置处理后引至1</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m高排气筒P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排放到外环境，装置总处理风量约为</w:t>
      </w:r>
      <w:r>
        <w:rPr>
          <w:rStyle w:val="63"/>
          <w:color w:val="000000" w:themeColor="text1"/>
          <w14:textFill>
            <w14:solidFill>
              <w14:schemeClr w14:val="tx1"/>
            </w14:solidFill>
          </w14:textFill>
        </w:rPr>
        <w:t>22000 m</w:t>
      </w:r>
      <w:r>
        <w:rPr>
          <w:rStyle w:val="63"/>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/h。</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项目密炼工序年炼胶量为4</w:t>
      </w:r>
      <w:r>
        <w:rPr>
          <w:rStyle w:val="63"/>
          <w:color w:val="000000" w:themeColor="text1"/>
          <w14:textFill>
            <w14:solidFill>
              <w14:schemeClr w14:val="tx1"/>
            </w14:solidFill>
          </w14:textFill>
        </w:rPr>
        <w:t>00t/a</w:t>
      </w:r>
      <w:r>
        <w:rPr>
          <w:rStyle w:val="63"/>
          <w:rFonts w:hint="eastAsia"/>
          <w:color w:val="000000" w:themeColor="text1"/>
          <w14:textFill>
            <w14:solidFill>
              <w14:schemeClr w14:val="tx1"/>
            </w14:solidFill>
          </w14:textFill>
        </w:rPr>
        <w:t>，密炼工序年工作</w:t>
      </w:r>
      <w:r>
        <w:rPr>
          <w:rStyle w:val="63"/>
          <w:color w:val="000000" w:themeColor="text1"/>
          <w14:textFill>
            <w14:solidFill>
              <w14:schemeClr w14:val="tx1"/>
            </w14:solidFill>
          </w14:textFill>
        </w:rPr>
        <w:t>30</w:t>
      </w:r>
      <w:r>
        <w:rPr>
          <w:rStyle w:val="63"/>
          <w:rFonts w:hint="eastAsia"/>
          <w:color w:val="000000" w:themeColor="text1"/>
          <w14:textFill>
            <w14:solidFill>
              <w14:schemeClr w14:val="tx1"/>
            </w14:solidFill>
          </w14:textFill>
        </w:rPr>
        <w:t>0天，每天工作</w:t>
      </w:r>
      <w:r>
        <w:rPr>
          <w:rStyle w:val="63"/>
          <w:color w:val="000000" w:themeColor="text1"/>
          <w14:textFill>
            <w14:solidFill>
              <w14:schemeClr w14:val="tx1"/>
            </w14:solidFill>
          </w14:textFill>
        </w:rPr>
        <w:t>8</w:t>
      </w:r>
      <w:r>
        <w:rPr>
          <w:rStyle w:val="63"/>
          <w:rFonts w:hint="eastAsia"/>
          <w:color w:val="000000" w:themeColor="text1"/>
          <w14:textFill>
            <w14:solidFill>
              <w14:schemeClr w14:val="tx1"/>
            </w14:solidFill>
          </w14:textFill>
        </w:rPr>
        <w:t>h，一次运行时间约</w:t>
      </w:r>
      <w:r>
        <w:rPr>
          <w:rStyle w:val="63"/>
          <w:color w:val="000000" w:themeColor="text1"/>
          <w14:textFill>
            <w14:solidFill>
              <w14:schemeClr w14:val="tx1"/>
            </w14:solidFill>
          </w14:textFill>
        </w:rPr>
        <w:t>15</w:t>
      </w:r>
      <w:r>
        <w:rPr>
          <w:rStyle w:val="63"/>
          <w:rFonts w:hint="eastAsia"/>
          <w:color w:val="000000" w:themeColor="text1"/>
          <w14:textFill>
            <w14:solidFill>
              <w14:schemeClr w14:val="tx1"/>
            </w14:solidFill>
          </w14:textFill>
        </w:rPr>
        <w:t>min，每天可完成</w:t>
      </w:r>
      <w:r>
        <w:rPr>
          <w:rStyle w:val="63"/>
          <w:color w:val="000000" w:themeColor="text1"/>
          <w14:textFill>
            <w14:solidFill>
              <w14:schemeClr w14:val="tx1"/>
            </w14:solidFill>
          </w14:textFill>
        </w:rPr>
        <w:t>32</w:t>
      </w:r>
      <w:r>
        <w:rPr>
          <w:rStyle w:val="63"/>
          <w:rFonts w:hint="eastAsia"/>
          <w:color w:val="000000" w:themeColor="text1"/>
          <w14:textFill>
            <w14:solidFill>
              <w14:schemeClr w14:val="tx1"/>
            </w14:solidFill>
          </w14:textFill>
        </w:rPr>
        <w:t>批次。由于项目密炼周期较短，可视为连续，废气排放时间为2</w:t>
      </w:r>
      <w:r>
        <w:rPr>
          <w:rStyle w:val="63"/>
          <w:color w:val="000000" w:themeColor="text1"/>
          <w14:textFill>
            <w14:solidFill>
              <w14:schemeClr w14:val="tx1"/>
            </w14:solidFill>
          </w14:textFill>
        </w:rPr>
        <w:t>400</w:t>
      </w:r>
      <w:r>
        <w:rPr>
          <w:rStyle w:val="63"/>
          <w:rFonts w:hint="eastAsia"/>
          <w:color w:val="000000" w:themeColor="text1"/>
          <w14:textFill>
            <w14:solidFill>
              <w14:schemeClr w14:val="tx1"/>
            </w14:solidFill>
          </w14:textFill>
        </w:rPr>
        <w:t>小时/年。项目设有</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台密炼机，密炼机料槽体积约5</w:t>
      </w:r>
      <w:r>
        <w:rPr>
          <w:rStyle w:val="63"/>
          <w:color w:val="000000" w:themeColor="text1"/>
          <w14:textFill>
            <w14:solidFill>
              <w14:schemeClr w14:val="tx1"/>
            </w14:solidFill>
          </w14:textFill>
        </w:rPr>
        <w:t>5L</w:t>
      </w:r>
      <w:r>
        <w:rPr>
          <w:rStyle w:val="63"/>
          <w:rFonts w:hint="eastAsia"/>
          <w:color w:val="000000" w:themeColor="text1"/>
          <w14:textFill>
            <w14:solidFill>
              <w14:schemeClr w14:val="tx1"/>
            </w14:solidFill>
          </w14:textFill>
        </w:rPr>
        <w:t>，炼胶量约</w:t>
      </w:r>
      <w:r>
        <w:rPr>
          <w:rStyle w:val="63"/>
          <w:color w:val="000000" w:themeColor="text1"/>
          <w14:textFill>
            <w14:solidFill>
              <w14:schemeClr w14:val="tx1"/>
            </w14:solidFill>
          </w14:textFill>
        </w:rPr>
        <w:t>1.333 t/d</w:t>
      </w:r>
      <w:r>
        <w:rPr>
          <w:rStyle w:val="63"/>
          <w:rFonts w:hint="eastAsia"/>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布袋除尘对粉尘的处理效率为99%以上，活性炭吸附对有机废气处理效果为8</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w:t>
      </w:r>
    </w:p>
    <w:p>
      <w:pPr>
        <w:pStyle w:val="18"/>
        <w:rPr>
          <w:rStyle w:val="63"/>
        </w:rPr>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2.8</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4</w:t>
      </w:r>
      <w:r>
        <w:fldChar w:fldCharType="end"/>
      </w:r>
      <w:r>
        <w:t xml:space="preserve"> </w:t>
      </w:r>
      <w:r>
        <w:rPr>
          <w:rStyle w:val="63"/>
          <w:rFonts w:hint="eastAsia"/>
          <w:color w:val="000000" w:themeColor="text1"/>
          <w14:textFill>
            <w14:solidFill>
              <w14:schemeClr w14:val="tx1"/>
            </w14:solidFill>
          </w14:textFill>
        </w:rPr>
        <w:t>投料、密炼过程中有组织排放的废气的污染源强及排放现状</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2"/>
        <w:gridCol w:w="1360"/>
        <w:gridCol w:w="924"/>
        <w:gridCol w:w="985"/>
        <w:gridCol w:w="910"/>
        <w:gridCol w:w="997"/>
        <w:gridCol w:w="954"/>
        <w:gridCol w:w="939"/>
        <w:gridCol w:w="9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1062"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运行工况</w:t>
            </w:r>
          </w:p>
        </w:tc>
        <w:tc>
          <w:tcPr>
            <w:tcW w:w="1360"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污染物</w:t>
            </w:r>
          </w:p>
        </w:tc>
        <w:tc>
          <w:tcPr>
            <w:tcW w:w="3816" w:type="dxa"/>
            <w:gridSpan w:val="4"/>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有组织产生情况</w:t>
            </w:r>
          </w:p>
        </w:tc>
        <w:tc>
          <w:tcPr>
            <w:tcW w:w="2879" w:type="dxa"/>
            <w:gridSpan w:val="3"/>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1062" w:type="dxa"/>
            <w:vMerge w:val="continue"/>
            <w:vAlign w:val="center"/>
          </w:tcPr>
          <w:p>
            <w:pPr>
              <w:pStyle w:val="107"/>
              <w:rPr>
                <w:rStyle w:val="63"/>
                <w:color w:val="000000" w:themeColor="text1"/>
                <w14:textFill>
                  <w14:solidFill>
                    <w14:schemeClr w14:val="tx1"/>
                  </w14:solidFill>
                </w14:textFill>
              </w:rPr>
            </w:pPr>
          </w:p>
        </w:tc>
        <w:tc>
          <w:tcPr>
            <w:tcW w:w="1360" w:type="dxa"/>
            <w:vMerge w:val="continue"/>
            <w:vAlign w:val="center"/>
          </w:tcPr>
          <w:p>
            <w:pPr>
              <w:pStyle w:val="107"/>
              <w:rPr>
                <w:rStyle w:val="63"/>
                <w:color w:val="000000" w:themeColor="text1"/>
                <w14:textFill>
                  <w14:solidFill>
                    <w14:schemeClr w14:val="tx1"/>
                  </w14:solidFill>
                </w14:textFill>
              </w:rPr>
            </w:pPr>
          </w:p>
        </w:tc>
        <w:tc>
          <w:tcPr>
            <w:tcW w:w="924"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收集量（kg/a）</w:t>
            </w:r>
          </w:p>
        </w:tc>
        <w:tc>
          <w:tcPr>
            <w:tcW w:w="98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910"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收集风量</w:t>
            </w:r>
            <w:r>
              <w:rPr>
                <w:rStyle w:val="63"/>
                <w:color w:val="000000" w:themeColor="text1"/>
                <w14:textFill>
                  <w14:solidFill>
                    <w14:schemeClr w14:val="tx1"/>
                  </w14:solidFill>
                </w14:textFill>
              </w:rPr>
              <w:t>(m³/h)</w:t>
            </w:r>
          </w:p>
        </w:tc>
        <w:tc>
          <w:tcPr>
            <w:tcW w:w="99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产生浓度</w:t>
            </w:r>
            <w:r>
              <w:rPr>
                <w:rStyle w:val="63"/>
                <w:color w:val="000000" w:themeColor="text1"/>
                <w14:textFill>
                  <w14:solidFill>
                    <w14:schemeClr w14:val="tx1"/>
                  </w14:solidFill>
                </w14:textFill>
              </w:rPr>
              <w:t>(mg/m³)</w:t>
            </w:r>
          </w:p>
        </w:tc>
        <w:tc>
          <w:tcPr>
            <w:tcW w:w="954"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排放量（kg/a）</w:t>
            </w:r>
          </w:p>
        </w:tc>
        <w:tc>
          <w:tcPr>
            <w:tcW w:w="93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98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排放浓度</w:t>
            </w:r>
            <w:r>
              <w:rPr>
                <w:rStyle w:val="63"/>
                <w:color w:val="000000" w:themeColor="text1"/>
                <w14:textFill>
                  <w14:solidFill>
                    <w14:schemeClr w14:val="tx1"/>
                  </w14:solidFill>
                </w14:textFill>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2" w:type="dxa"/>
            <w:vMerge w:val="restart"/>
            <w:shd w:val="clear" w:color="auto" w:fill="auto"/>
            <w:noWrap/>
            <w:vAlign w:val="center"/>
          </w:tcPr>
          <w:p>
            <w:pPr>
              <w:pStyle w:val="107"/>
              <w:rPr>
                <w:rStyle w:val="63"/>
                <w:highlight w:val="yellow"/>
              </w:rPr>
            </w:pPr>
            <w:r>
              <w:rPr>
                <w:rStyle w:val="63"/>
                <w:rFonts w:hint="eastAsia"/>
                <w:color w:val="000000" w:themeColor="text1"/>
                <w14:textFill>
                  <w14:solidFill>
                    <w14:schemeClr w14:val="tx1"/>
                  </w14:solidFill>
                </w14:textFill>
              </w:rPr>
              <w:t>正常工况</w:t>
            </w:r>
          </w:p>
        </w:tc>
        <w:tc>
          <w:tcPr>
            <w:tcW w:w="136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924"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316.54</w:t>
            </w:r>
          </w:p>
        </w:tc>
        <w:tc>
          <w:tcPr>
            <w:tcW w:w="985"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0.1</w:t>
            </w:r>
            <w:r>
              <w:rPr>
                <w:rStyle w:val="63"/>
                <w:color w:val="000000" w:themeColor="text1"/>
                <w14:textFill>
                  <w14:solidFill>
                    <w14:schemeClr w14:val="tx1"/>
                  </w14:solidFill>
                </w14:textFill>
              </w:rPr>
              <w:t>319</w:t>
            </w:r>
          </w:p>
        </w:tc>
        <w:tc>
          <w:tcPr>
            <w:tcW w:w="910"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99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w:t>
            </w:r>
          </w:p>
        </w:tc>
        <w:tc>
          <w:tcPr>
            <w:tcW w:w="95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3.</w:t>
            </w:r>
            <w:r>
              <w:rPr>
                <w:rStyle w:val="63"/>
                <w:color w:val="000000" w:themeColor="text1"/>
                <w14:textFill>
                  <w14:solidFill>
                    <w14:schemeClr w14:val="tx1"/>
                  </w14:solidFill>
                </w14:textFill>
              </w:rPr>
              <w:t>17</w:t>
            </w:r>
          </w:p>
        </w:tc>
        <w:tc>
          <w:tcPr>
            <w:tcW w:w="939"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w:t>
            </w:r>
            <w:r>
              <w:rPr>
                <w:rStyle w:val="63"/>
                <w:color w:val="000000" w:themeColor="text1"/>
                <w14:textFill>
                  <w14:solidFill>
                    <w14:schemeClr w14:val="tx1"/>
                  </w14:solidFill>
                </w14:textFill>
              </w:rPr>
              <w:t>319</w:t>
            </w:r>
          </w:p>
        </w:tc>
        <w:tc>
          <w:tcPr>
            <w:tcW w:w="98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2" w:type="dxa"/>
            <w:vMerge w:val="continue"/>
            <w:shd w:val="clear" w:color="auto" w:fill="auto"/>
            <w:noWrap/>
            <w:vAlign w:val="center"/>
          </w:tcPr>
          <w:p>
            <w:pPr>
              <w:pStyle w:val="107"/>
              <w:rPr>
                <w:rStyle w:val="63"/>
                <w:highlight w:val="yellow"/>
              </w:rPr>
            </w:pPr>
          </w:p>
        </w:tc>
        <w:tc>
          <w:tcPr>
            <w:tcW w:w="136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92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01.66</w:t>
            </w:r>
          </w:p>
        </w:tc>
        <w:tc>
          <w:tcPr>
            <w:tcW w:w="985"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424</w:t>
            </w:r>
          </w:p>
        </w:tc>
        <w:tc>
          <w:tcPr>
            <w:tcW w:w="910"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99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1.93</w:t>
            </w:r>
          </w:p>
        </w:tc>
        <w:tc>
          <w:tcPr>
            <w:tcW w:w="954"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15.249</w:t>
            </w:r>
          </w:p>
        </w:tc>
        <w:tc>
          <w:tcPr>
            <w:tcW w:w="939"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0635</w:t>
            </w:r>
          </w:p>
        </w:tc>
        <w:tc>
          <w:tcPr>
            <w:tcW w:w="986"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0.289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2" w:type="dxa"/>
            <w:vMerge w:val="continue"/>
            <w:vAlign w:val="center"/>
          </w:tcPr>
          <w:p>
            <w:pPr>
              <w:pStyle w:val="107"/>
              <w:rPr>
                <w:rStyle w:val="63"/>
                <w:highlight w:val="yellow"/>
              </w:rPr>
            </w:pPr>
          </w:p>
        </w:tc>
        <w:tc>
          <w:tcPr>
            <w:tcW w:w="136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92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04</w:t>
            </w:r>
          </w:p>
        </w:tc>
        <w:tc>
          <w:tcPr>
            <w:tcW w:w="985"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0.000</w:t>
            </w:r>
            <w:r>
              <w:rPr>
                <w:rStyle w:val="63"/>
                <w:color w:val="000000" w:themeColor="text1"/>
                <w14:textFill>
                  <w14:solidFill>
                    <w14:schemeClr w14:val="tx1"/>
                  </w14:solidFill>
                </w14:textFill>
              </w:rPr>
              <w:t>85</w:t>
            </w:r>
          </w:p>
        </w:tc>
        <w:tc>
          <w:tcPr>
            <w:tcW w:w="910"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99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039</w:t>
            </w:r>
          </w:p>
        </w:tc>
        <w:tc>
          <w:tcPr>
            <w:tcW w:w="954"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0.306</w:t>
            </w:r>
          </w:p>
        </w:tc>
        <w:tc>
          <w:tcPr>
            <w:tcW w:w="939"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0.000</w:t>
            </w:r>
            <w:r>
              <w:rPr>
                <w:rStyle w:val="63"/>
                <w:color w:val="000000" w:themeColor="text1"/>
                <w14:textFill>
                  <w14:solidFill>
                    <w14:schemeClr w14:val="tx1"/>
                  </w14:solidFill>
                </w14:textFill>
              </w:rPr>
              <w:t>128</w:t>
            </w:r>
          </w:p>
        </w:tc>
        <w:tc>
          <w:tcPr>
            <w:tcW w:w="98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062" w:type="dxa"/>
            <w:vMerge w:val="restart"/>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最大工况</w:t>
            </w:r>
          </w:p>
        </w:tc>
        <w:tc>
          <w:tcPr>
            <w:tcW w:w="136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92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985"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0.2166</w:t>
            </w:r>
          </w:p>
        </w:tc>
        <w:tc>
          <w:tcPr>
            <w:tcW w:w="910"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99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30.94</w:t>
            </w:r>
          </w:p>
        </w:tc>
        <w:tc>
          <w:tcPr>
            <w:tcW w:w="95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939"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0.0022</w:t>
            </w:r>
          </w:p>
        </w:tc>
        <w:tc>
          <w:tcPr>
            <w:tcW w:w="98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0.3</w:t>
            </w:r>
            <w:r>
              <w:rPr>
                <w:rStyle w:val="63"/>
                <w:color w:val="000000" w:themeColor="text1"/>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2" w:type="dxa"/>
            <w:vMerge w:val="continue"/>
            <w:shd w:val="clear" w:color="auto" w:fill="auto"/>
            <w:vAlign w:val="center"/>
          </w:tcPr>
          <w:p>
            <w:pPr>
              <w:pStyle w:val="107"/>
              <w:rPr>
                <w:rStyle w:val="63"/>
                <w:color w:val="000000" w:themeColor="text1"/>
                <w14:textFill>
                  <w14:solidFill>
                    <w14:schemeClr w14:val="tx1"/>
                  </w14:solidFill>
                </w14:textFill>
              </w:rPr>
            </w:pPr>
          </w:p>
        </w:tc>
        <w:tc>
          <w:tcPr>
            <w:tcW w:w="136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92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985"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0.0696</w:t>
            </w:r>
          </w:p>
        </w:tc>
        <w:tc>
          <w:tcPr>
            <w:tcW w:w="910"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99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9.94</w:t>
            </w:r>
          </w:p>
        </w:tc>
        <w:tc>
          <w:tcPr>
            <w:tcW w:w="95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939"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0.0696</w:t>
            </w:r>
          </w:p>
        </w:tc>
        <w:tc>
          <w:tcPr>
            <w:tcW w:w="98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9.94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062" w:type="dxa"/>
            <w:vMerge w:val="continue"/>
            <w:shd w:val="clear" w:color="auto" w:fill="auto"/>
            <w:vAlign w:val="center"/>
          </w:tcPr>
          <w:p>
            <w:pPr>
              <w:pStyle w:val="107"/>
              <w:rPr>
                <w:rStyle w:val="63"/>
                <w:color w:val="000000" w:themeColor="text1"/>
                <w14:textFill>
                  <w14:solidFill>
                    <w14:schemeClr w14:val="tx1"/>
                  </w14:solidFill>
                </w14:textFill>
              </w:rPr>
            </w:pPr>
          </w:p>
        </w:tc>
        <w:tc>
          <w:tcPr>
            <w:tcW w:w="136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92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985"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0.0014</w:t>
            </w:r>
          </w:p>
        </w:tc>
        <w:tc>
          <w:tcPr>
            <w:tcW w:w="910"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99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0.20</w:t>
            </w:r>
          </w:p>
        </w:tc>
        <w:tc>
          <w:tcPr>
            <w:tcW w:w="95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939"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0.0014</w:t>
            </w:r>
          </w:p>
        </w:tc>
        <w:tc>
          <w:tcPr>
            <w:tcW w:w="98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0.20</w:t>
            </w:r>
          </w:p>
        </w:tc>
      </w:tr>
    </w:tbl>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项目开炼工序年炼胶量为4</w:t>
      </w:r>
      <w:r>
        <w:rPr>
          <w:rStyle w:val="63"/>
          <w:color w:val="000000" w:themeColor="text1"/>
          <w14:textFill>
            <w14:solidFill>
              <w14:schemeClr w14:val="tx1"/>
            </w14:solidFill>
          </w14:textFill>
        </w:rPr>
        <w:t>00t/a</w:t>
      </w:r>
      <w:r>
        <w:rPr>
          <w:rStyle w:val="63"/>
          <w:rFonts w:hint="eastAsia"/>
          <w:color w:val="000000" w:themeColor="text1"/>
          <w14:textFill>
            <w14:solidFill>
              <w14:schemeClr w14:val="tx1"/>
            </w14:solidFill>
          </w14:textFill>
        </w:rPr>
        <w:t>，开炼工序年工作</w:t>
      </w:r>
      <w:r>
        <w:rPr>
          <w:rStyle w:val="63"/>
          <w:color w:val="000000" w:themeColor="text1"/>
          <w14:textFill>
            <w14:solidFill>
              <w14:schemeClr w14:val="tx1"/>
            </w14:solidFill>
          </w14:textFill>
        </w:rPr>
        <w:t>30</w:t>
      </w:r>
      <w:r>
        <w:rPr>
          <w:rStyle w:val="63"/>
          <w:rFonts w:hint="eastAsia"/>
          <w:color w:val="000000" w:themeColor="text1"/>
          <w14:textFill>
            <w14:solidFill>
              <w14:schemeClr w14:val="tx1"/>
            </w14:solidFill>
          </w14:textFill>
        </w:rPr>
        <w:t>0天，每天工作</w:t>
      </w:r>
      <w:r>
        <w:rPr>
          <w:rStyle w:val="63"/>
          <w:color w:val="000000" w:themeColor="text1"/>
          <w14:textFill>
            <w14:solidFill>
              <w14:schemeClr w14:val="tx1"/>
            </w14:solidFill>
          </w14:textFill>
        </w:rPr>
        <w:t>8</w:t>
      </w:r>
      <w:r>
        <w:rPr>
          <w:rStyle w:val="63"/>
          <w:rFonts w:hint="eastAsia"/>
          <w:color w:val="000000" w:themeColor="text1"/>
          <w14:textFill>
            <w14:solidFill>
              <w14:schemeClr w14:val="tx1"/>
            </w14:solidFill>
          </w14:textFill>
        </w:rPr>
        <w:t>h，一次运行时间历时15~20min，每天可完成</w:t>
      </w:r>
      <w:r>
        <w:rPr>
          <w:rStyle w:val="63"/>
          <w:color w:val="000000" w:themeColor="text1"/>
          <w14:textFill>
            <w14:solidFill>
              <w14:schemeClr w14:val="tx1"/>
            </w14:solidFill>
          </w14:textFill>
        </w:rPr>
        <w:t>24</w:t>
      </w:r>
      <w:r>
        <w:rPr>
          <w:rStyle w:val="63"/>
          <w:rFonts w:hint="eastAsia"/>
          <w:color w:val="000000" w:themeColor="text1"/>
          <w14:textFill>
            <w14:solidFill>
              <w14:schemeClr w14:val="tx1"/>
            </w14:solidFill>
          </w14:textFill>
        </w:rPr>
        <w:t>批次。由于开炼机为敞开式结构，开炼过程即为废气挥发过程，故废气挥发时间为</w:t>
      </w:r>
      <w:r>
        <w:rPr>
          <w:rStyle w:val="63"/>
          <w:color w:val="000000" w:themeColor="text1"/>
          <w14:textFill>
            <w14:solidFill>
              <w14:schemeClr w14:val="tx1"/>
            </w14:solidFill>
          </w14:textFill>
        </w:rPr>
        <w:t>240</w:t>
      </w:r>
      <w:r>
        <w:rPr>
          <w:rStyle w:val="63"/>
          <w:rFonts w:hint="eastAsia"/>
          <w:color w:val="000000" w:themeColor="text1"/>
          <w14:textFill>
            <w14:solidFill>
              <w14:schemeClr w14:val="tx1"/>
            </w14:solidFill>
          </w14:textFill>
        </w:rPr>
        <w:t>0小时/年。项目设有</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台开炼机，均位于混炼车间，正常生产时根据生产需要选用不同型号的开炼机，同一时段内只启用</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台，炼胶量约</w:t>
      </w:r>
      <w:r>
        <w:rPr>
          <w:rStyle w:val="63"/>
          <w:color w:val="000000" w:themeColor="text1"/>
          <w14:textFill>
            <w14:solidFill>
              <w14:schemeClr w14:val="tx1"/>
            </w14:solidFill>
          </w14:textFill>
        </w:rPr>
        <w:t>1.333 t/d</w:t>
      </w:r>
      <w:r>
        <w:rPr>
          <w:rStyle w:val="63"/>
          <w:rFonts w:hint="eastAsia"/>
          <w:color w:val="000000" w:themeColor="text1"/>
          <w14:textFill>
            <w14:solidFill>
              <w14:schemeClr w14:val="tx1"/>
            </w14:solidFill>
          </w14:textFill>
        </w:rPr>
        <w:t>。</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台开炼机同时运行时工况最大，橡胶加工总量约</w:t>
      </w:r>
      <w:r>
        <w:rPr>
          <w:rStyle w:val="63"/>
          <w:color w:val="000000" w:themeColor="text1"/>
          <w14:textFill>
            <w14:solidFill>
              <w14:schemeClr w14:val="tx1"/>
            </w14:solidFill>
          </w14:textFill>
        </w:rPr>
        <w:t>2.666t/d</w:t>
      </w:r>
      <w:r>
        <w:rPr>
          <w:rStyle w:val="63"/>
          <w:rFonts w:hint="eastAsia"/>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项目开炼机辊筒上方设集气罩，</w:t>
      </w:r>
      <w:r>
        <w:rPr>
          <w:rFonts w:hint="eastAsia" w:eastAsiaTheme="minorEastAsia"/>
          <w:color w:val="000000" w:themeColor="text1"/>
          <w14:textFill>
            <w14:solidFill>
              <w14:schemeClr w14:val="tx1"/>
            </w14:solidFill>
          </w14:textFill>
        </w:rPr>
        <w:t>对橡胶开炼时产生的废气进行收集</w:t>
      </w:r>
      <w:r>
        <w:rPr>
          <w:rStyle w:val="63"/>
          <w:rFonts w:hint="eastAsia"/>
          <w:color w:val="000000" w:themeColor="text1"/>
          <w14:textFill>
            <w14:solidFill>
              <w14:schemeClr w14:val="tx1"/>
            </w14:solidFill>
          </w14:textFill>
        </w:rPr>
        <w:t>，收集效率约为</w:t>
      </w:r>
      <w:r>
        <w:rPr>
          <w:rStyle w:val="63"/>
          <w:color w:val="000000" w:themeColor="text1"/>
          <w14:textFill>
            <w14:solidFill>
              <w14:schemeClr w14:val="tx1"/>
            </w14:solidFill>
          </w14:textFill>
        </w:rPr>
        <w:t>7</w:t>
      </w:r>
      <w:r>
        <w:rPr>
          <w:rStyle w:val="63"/>
          <w:rFonts w:hint="eastAsia"/>
          <w:color w:val="000000" w:themeColor="text1"/>
          <w14:textFill>
            <w14:solidFill>
              <w14:schemeClr w14:val="tx1"/>
            </w14:solidFill>
          </w14:textFill>
        </w:rPr>
        <w:t>5%。收集后的废气与硫化废气、密炼废气一同引至同一套活性炭吸附装置处理后，引至排气筒P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排放到外环境，装置总处理风量约为</w:t>
      </w:r>
      <w:r>
        <w:rPr>
          <w:rStyle w:val="63"/>
          <w:color w:val="000000" w:themeColor="text1"/>
          <w14:textFill>
            <w14:solidFill>
              <w14:schemeClr w14:val="tx1"/>
            </w14:solidFill>
          </w14:textFill>
        </w:rPr>
        <w:t>22000 m</w:t>
      </w:r>
      <w:r>
        <w:rPr>
          <w:rStyle w:val="63"/>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/h。</w:t>
      </w:r>
    </w:p>
    <w:p>
      <w:pPr>
        <w:pStyle w:val="18"/>
        <w:rPr>
          <w:rStyle w:val="63"/>
          <w:color w:val="000000" w:themeColor="text1"/>
          <w14:textFill>
            <w14:solidFill>
              <w14:schemeClr w14:val="tx1"/>
            </w14:solidFill>
          </w14:textFill>
        </w:rPr>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2.8</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5</w:t>
      </w:r>
      <w:r>
        <w:fldChar w:fldCharType="end"/>
      </w:r>
      <w:r>
        <w:t xml:space="preserve"> </w:t>
      </w:r>
      <w:r>
        <w:rPr>
          <w:rStyle w:val="63"/>
          <w:rFonts w:hint="eastAsia"/>
          <w:color w:val="000000" w:themeColor="text1"/>
          <w14:textFill>
            <w14:solidFill>
              <w14:schemeClr w14:val="tx1"/>
            </w14:solidFill>
          </w14:textFill>
        </w:rPr>
        <w:t>开炼过程中有组织排放的废气的污染源强及排放现状</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1266"/>
        <w:gridCol w:w="998"/>
        <w:gridCol w:w="1010"/>
        <w:gridCol w:w="960"/>
        <w:gridCol w:w="909"/>
        <w:gridCol w:w="998"/>
        <w:gridCol w:w="1010"/>
        <w:gridCol w:w="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blHeader/>
        </w:trPr>
        <w:tc>
          <w:tcPr>
            <w:tcW w:w="1056"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污染源</w:t>
            </w:r>
          </w:p>
        </w:tc>
        <w:tc>
          <w:tcPr>
            <w:tcW w:w="1266"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污染物</w:t>
            </w:r>
          </w:p>
        </w:tc>
        <w:tc>
          <w:tcPr>
            <w:tcW w:w="3877" w:type="dxa"/>
            <w:gridSpan w:val="4"/>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有组织产生情况</w:t>
            </w:r>
          </w:p>
        </w:tc>
        <w:tc>
          <w:tcPr>
            <w:tcW w:w="2918" w:type="dxa"/>
            <w:gridSpan w:val="3"/>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blHeader/>
        </w:trPr>
        <w:tc>
          <w:tcPr>
            <w:tcW w:w="1056" w:type="dxa"/>
            <w:vMerge w:val="continue"/>
            <w:shd w:val="clear" w:color="auto" w:fill="auto"/>
            <w:vAlign w:val="center"/>
          </w:tcPr>
          <w:p>
            <w:pPr>
              <w:pStyle w:val="107"/>
              <w:rPr>
                <w:rStyle w:val="63"/>
                <w:color w:val="000000" w:themeColor="text1"/>
                <w14:textFill>
                  <w14:solidFill>
                    <w14:schemeClr w14:val="tx1"/>
                  </w14:solidFill>
                </w14:textFill>
              </w:rPr>
            </w:pPr>
          </w:p>
        </w:tc>
        <w:tc>
          <w:tcPr>
            <w:tcW w:w="1266" w:type="dxa"/>
            <w:vMerge w:val="continue"/>
            <w:shd w:val="clear" w:color="auto" w:fill="auto"/>
            <w:vAlign w:val="center"/>
          </w:tcPr>
          <w:p>
            <w:pPr>
              <w:pStyle w:val="107"/>
              <w:rPr>
                <w:rStyle w:val="63"/>
                <w:color w:val="000000" w:themeColor="text1"/>
                <w14:textFill>
                  <w14:solidFill>
                    <w14:schemeClr w14:val="tx1"/>
                  </w14:solidFill>
                </w14:textFill>
              </w:rPr>
            </w:pPr>
          </w:p>
        </w:tc>
        <w:tc>
          <w:tcPr>
            <w:tcW w:w="998"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收集量（kg/a）</w:t>
            </w:r>
          </w:p>
        </w:tc>
        <w:tc>
          <w:tcPr>
            <w:tcW w:w="1010"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960"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收集风量</w:t>
            </w:r>
            <w:r>
              <w:rPr>
                <w:rStyle w:val="63"/>
                <w:color w:val="000000" w:themeColor="text1"/>
                <w14:textFill>
                  <w14:solidFill>
                    <w14:schemeClr w14:val="tx1"/>
                  </w14:solidFill>
                </w14:textFill>
              </w:rPr>
              <w:t>(m³/h)</w:t>
            </w:r>
          </w:p>
        </w:tc>
        <w:tc>
          <w:tcPr>
            <w:tcW w:w="909"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产生浓度</w:t>
            </w:r>
            <w:r>
              <w:rPr>
                <w:rStyle w:val="63"/>
                <w:color w:val="000000" w:themeColor="text1"/>
                <w14:textFill>
                  <w14:solidFill>
                    <w14:schemeClr w14:val="tx1"/>
                  </w14:solidFill>
                </w14:textFill>
              </w:rPr>
              <w:t>(mg/m³)</w:t>
            </w:r>
          </w:p>
        </w:tc>
        <w:tc>
          <w:tcPr>
            <w:tcW w:w="998"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排放量（kg/a）</w:t>
            </w:r>
          </w:p>
        </w:tc>
        <w:tc>
          <w:tcPr>
            <w:tcW w:w="1010"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910"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排放浓度</w:t>
            </w:r>
            <w:r>
              <w:rPr>
                <w:rStyle w:val="63"/>
                <w:color w:val="000000" w:themeColor="text1"/>
                <w14:textFill>
                  <w14:solidFill>
                    <w14:schemeClr w14:val="tx1"/>
                  </w14:solidFill>
                </w14:textFill>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056"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正常工况</w:t>
            </w:r>
          </w:p>
        </w:tc>
        <w:tc>
          <w:tcPr>
            <w:tcW w:w="126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998"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46.5</w:t>
            </w:r>
            <w:r>
              <w:rPr>
                <w:rStyle w:val="63"/>
                <w:rFonts w:hint="eastAsia"/>
                <w:color w:val="000000" w:themeColor="text1"/>
                <w14:textFill>
                  <w14:solidFill>
                    <w14:schemeClr w14:val="tx1"/>
                  </w14:solidFill>
                </w14:textFill>
              </w:rPr>
              <w:t xml:space="preserve"> </w:t>
            </w:r>
          </w:p>
        </w:tc>
        <w:tc>
          <w:tcPr>
            <w:tcW w:w="101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194</w:t>
            </w:r>
            <w:r>
              <w:rPr>
                <w:rStyle w:val="63"/>
                <w:rFonts w:hint="eastAsia"/>
                <w:color w:val="000000" w:themeColor="text1"/>
                <w14:textFill>
                  <w14:solidFill>
                    <w14:schemeClr w14:val="tx1"/>
                  </w14:solidFill>
                </w14:textFill>
              </w:rPr>
              <w:t xml:space="preserve"> </w:t>
            </w:r>
          </w:p>
        </w:tc>
        <w:tc>
          <w:tcPr>
            <w:tcW w:w="960"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909"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88</w:t>
            </w:r>
            <w:r>
              <w:rPr>
                <w:rStyle w:val="63"/>
                <w:rFonts w:hint="eastAsia"/>
                <w:color w:val="000000" w:themeColor="text1"/>
                <w14:textFill>
                  <w14:solidFill>
                    <w14:schemeClr w14:val="tx1"/>
                  </w14:solidFill>
                </w14:textFill>
              </w:rPr>
              <w:t xml:space="preserve"> </w:t>
            </w:r>
          </w:p>
        </w:tc>
        <w:tc>
          <w:tcPr>
            <w:tcW w:w="998"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6.975</w:t>
            </w:r>
          </w:p>
        </w:tc>
        <w:tc>
          <w:tcPr>
            <w:tcW w:w="1010" w:type="dxa"/>
            <w:tcBorders>
              <w:bottom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w:t>
            </w:r>
            <w:r>
              <w:rPr>
                <w:rStyle w:val="63"/>
                <w:color w:val="000000" w:themeColor="text1"/>
                <w14:textFill>
                  <w14:solidFill>
                    <w14:schemeClr w14:val="tx1"/>
                  </w14:solidFill>
                </w14:textFill>
              </w:rPr>
              <w:t>291</w:t>
            </w:r>
            <w:r>
              <w:rPr>
                <w:rStyle w:val="63"/>
                <w:rFonts w:hint="eastAsia"/>
                <w:color w:val="000000" w:themeColor="text1"/>
                <w14:textFill>
                  <w14:solidFill>
                    <w14:schemeClr w14:val="tx1"/>
                  </w14:solidFill>
                </w14:textFill>
              </w:rPr>
              <w:t xml:space="preserve"> </w:t>
            </w:r>
          </w:p>
        </w:tc>
        <w:tc>
          <w:tcPr>
            <w:tcW w:w="910" w:type="dxa"/>
            <w:tcBorders>
              <w:bottom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132</w:t>
            </w:r>
            <w:r>
              <w:rPr>
                <w:rStyle w:val="63"/>
                <w:rFonts w:hint="eastAsia"/>
                <w:color w:val="000000" w:themeColor="text1"/>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56" w:type="dxa"/>
            <w:vMerge w:val="continue"/>
            <w:shd w:val="clear" w:color="auto" w:fill="auto"/>
            <w:vAlign w:val="center"/>
          </w:tcPr>
          <w:p>
            <w:pPr>
              <w:pStyle w:val="107"/>
              <w:rPr>
                <w:rStyle w:val="63"/>
                <w:color w:val="000000" w:themeColor="text1"/>
                <w14:textFill>
                  <w14:solidFill>
                    <w14:schemeClr w14:val="tx1"/>
                  </w14:solidFill>
                </w14:textFill>
              </w:rPr>
            </w:pPr>
          </w:p>
        </w:tc>
        <w:tc>
          <w:tcPr>
            <w:tcW w:w="126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998" w:type="dxa"/>
            <w:tcBorders>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3.</w:t>
            </w:r>
            <w:r>
              <w:rPr>
                <w:rStyle w:val="63"/>
                <w:color w:val="000000" w:themeColor="text1"/>
                <w14:textFill>
                  <w14:solidFill>
                    <w14:schemeClr w14:val="tx1"/>
                  </w14:solidFill>
                </w14:textFill>
              </w:rPr>
              <w:t>3</w:t>
            </w:r>
          </w:p>
        </w:tc>
        <w:tc>
          <w:tcPr>
            <w:tcW w:w="1010"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w:t>
            </w:r>
            <w:r>
              <w:rPr>
                <w:rStyle w:val="63"/>
                <w:color w:val="000000" w:themeColor="text1"/>
                <w14:textFill>
                  <w14:solidFill>
                    <w14:schemeClr w14:val="tx1"/>
                  </w14:solidFill>
                </w14:textFill>
              </w:rPr>
              <w:t>375</w:t>
            </w:r>
            <w:r>
              <w:rPr>
                <w:rStyle w:val="63"/>
                <w:rFonts w:hint="eastAsia"/>
                <w:color w:val="000000" w:themeColor="text1"/>
                <w14:textFill>
                  <w14:solidFill>
                    <w14:schemeClr w14:val="tx1"/>
                  </w14:solidFill>
                </w14:textFill>
              </w:rPr>
              <w:t xml:space="preserve"> </w:t>
            </w:r>
          </w:p>
        </w:tc>
        <w:tc>
          <w:tcPr>
            <w:tcW w:w="96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909" w:type="dxa"/>
            <w:tcBorders>
              <w:top w:val="single" w:color="auto" w:sz="4" w:space="0"/>
              <w:left w:val="nil"/>
              <w:bottom w:val="single" w:color="auto" w:sz="4" w:space="0"/>
              <w:right w:val="nil"/>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625</w:t>
            </w:r>
          </w:p>
        </w:tc>
        <w:tc>
          <w:tcPr>
            <w:tcW w:w="998"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495</w:t>
            </w:r>
            <w:r>
              <w:rPr>
                <w:rStyle w:val="63"/>
                <w:rFonts w:hint="eastAsia"/>
                <w:color w:val="000000" w:themeColor="text1"/>
                <w14:textFill>
                  <w14:solidFill>
                    <w14:schemeClr w14:val="tx1"/>
                  </w14:solidFill>
                </w14:textFill>
              </w:rPr>
              <w:t xml:space="preserve"> </w:t>
            </w:r>
          </w:p>
        </w:tc>
        <w:tc>
          <w:tcPr>
            <w:tcW w:w="1010" w:type="dxa"/>
            <w:tcBorders>
              <w:top w:val="single" w:color="auto" w:sz="4" w:space="0"/>
              <w:left w:val="single" w:color="auto" w:sz="4" w:space="0"/>
              <w:bottom w:val="single" w:color="auto" w:sz="4" w:space="0"/>
              <w:right w:val="nil"/>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w:t>
            </w:r>
            <w:r>
              <w:rPr>
                <w:rStyle w:val="63"/>
                <w:color w:val="000000" w:themeColor="text1"/>
                <w14:textFill>
                  <w14:solidFill>
                    <w14:schemeClr w14:val="tx1"/>
                  </w14:solidFill>
                </w14:textFill>
              </w:rPr>
              <w:t>0206</w:t>
            </w:r>
          </w:p>
        </w:tc>
        <w:tc>
          <w:tcPr>
            <w:tcW w:w="910"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094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56"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最大工况</w:t>
            </w:r>
          </w:p>
        </w:tc>
        <w:tc>
          <w:tcPr>
            <w:tcW w:w="126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998"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010"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0.0636 </w:t>
            </w:r>
          </w:p>
        </w:tc>
        <w:tc>
          <w:tcPr>
            <w:tcW w:w="96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909" w:type="dxa"/>
            <w:tcBorders>
              <w:top w:val="single" w:color="auto" w:sz="4" w:space="0"/>
              <w:left w:val="nil"/>
              <w:bottom w:val="single" w:color="auto" w:sz="4" w:space="0"/>
              <w:right w:val="nil"/>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2.20 </w:t>
            </w:r>
          </w:p>
        </w:tc>
        <w:tc>
          <w:tcPr>
            <w:tcW w:w="998" w:type="dxa"/>
            <w:tcBorders>
              <w:top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010"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0.0096 </w:t>
            </w:r>
          </w:p>
        </w:tc>
        <w:tc>
          <w:tcPr>
            <w:tcW w:w="91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0.32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056" w:type="dxa"/>
            <w:vMerge w:val="continue"/>
            <w:shd w:val="clear" w:color="auto" w:fill="auto"/>
            <w:vAlign w:val="center"/>
          </w:tcPr>
          <w:p>
            <w:pPr>
              <w:pStyle w:val="107"/>
              <w:rPr>
                <w:rStyle w:val="63"/>
                <w:color w:val="000000" w:themeColor="text1"/>
                <w14:textFill>
                  <w14:solidFill>
                    <w14:schemeClr w14:val="tx1"/>
                  </w14:solidFill>
                </w14:textFill>
              </w:rPr>
            </w:pPr>
          </w:p>
        </w:tc>
        <w:tc>
          <w:tcPr>
            <w:tcW w:w="126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998"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010"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0.0036 </w:t>
            </w:r>
          </w:p>
        </w:tc>
        <w:tc>
          <w:tcPr>
            <w:tcW w:w="96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909" w:type="dxa"/>
            <w:tcBorders>
              <w:top w:val="single" w:color="auto" w:sz="4" w:space="0"/>
              <w:left w:val="nil"/>
              <w:bottom w:val="single" w:color="auto" w:sz="4" w:space="0"/>
              <w:right w:val="nil"/>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0.12 </w:t>
            </w:r>
          </w:p>
        </w:tc>
        <w:tc>
          <w:tcPr>
            <w:tcW w:w="998" w:type="dxa"/>
            <w:tcBorders>
              <w:top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010" w:type="dxa"/>
            <w:tcBorders>
              <w:top w:val="single" w:color="auto" w:sz="4" w:space="0"/>
              <w:left w:val="single" w:color="auto" w:sz="4" w:space="0"/>
              <w:bottom w:val="single" w:color="auto" w:sz="4" w:space="0"/>
              <w:right w:val="nil"/>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5.6E-04</w:t>
            </w:r>
          </w:p>
        </w:tc>
        <w:tc>
          <w:tcPr>
            <w:tcW w:w="910"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1.9E-02</w:t>
            </w:r>
          </w:p>
        </w:tc>
      </w:tr>
    </w:tbl>
    <w:p>
      <w:pPr>
        <w:pStyle w:val="162"/>
        <w:numPr>
          <w:ilvl w:val="0"/>
          <w:numId w:val="0"/>
        </w:numPr>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拟采取的措施</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考虑到密炼机的数量不多，且摆放位置较为集中，密炼空间较少，建设单位将配料工序移至密炼机旁进行，对配料、密炼工序进行局部围蔽处理，密炼机进、出料口设集气罩局部抽风，并对围蔽的空间进行整体负压抽风收集，总收集效率为9</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%左右。围蔽空间长约</w:t>
      </w:r>
      <w:r>
        <w:rPr>
          <w:rStyle w:val="63"/>
          <w:color w:val="000000" w:themeColor="text1"/>
          <w14:textFill>
            <w14:solidFill>
              <w14:schemeClr w14:val="tx1"/>
            </w14:solidFill>
          </w14:textFill>
        </w:rPr>
        <w:t>10</w:t>
      </w:r>
      <w:r>
        <w:rPr>
          <w:rStyle w:val="63"/>
          <w:rFonts w:hint="eastAsia"/>
          <w:color w:val="000000" w:themeColor="text1"/>
          <w14:textFill>
            <w14:solidFill>
              <w14:schemeClr w14:val="tx1"/>
            </w14:solidFill>
          </w14:textFill>
        </w:rPr>
        <w:t>m，宽约1</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m，高约</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m，生产时闭合门窗，形成一个相对独立的空间</w:t>
      </w:r>
      <w:r>
        <w:rPr>
          <w:rStyle w:val="63"/>
          <w:color w:val="000000" w:themeColor="text1"/>
          <w14:textFill>
            <w14:solidFill>
              <w14:schemeClr w14:val="tx1"/>
            </w14:solidFill>
          </w14:textFill>
        </w:rPr>
        <w:t>,</w:t>
      </w:r>
      <w:r>
        <w:rPr>
          <w:rStyle w:val="63"/>
          <w:rFonts w:hint="eastAsia"/>
          <w:color w:val="000000" w:themeColor="text1"/>
          <w14:textFill>
            <w14:solidFill>
              <w14:schemeClr w14:val="tx1"/>
            </w14:solidFill>
          </w14:textFill>
        </w:rPr>
        <w:t>收集后的废气通过袋式除尘器除尘处理后，再与开炼废气、硫化废气一同引至同一套“喷淋塔+</w:t>
      </w:r>
      <w:r>
        <w:rPr>
          <w:rStyle w:val="63"/>
          <w:color w:val="000000" w:themeColor="text1"/>
          <w14:textFill>
            <w14:solidFill>
              <w14:schemeClr w14:val="tx1"/>
            </w14:solidFill>
          </w14:textFill>
        </w:rPr>
        <w:t>UV</w:t>
      </w:r>
      <w:r>
        <w:rPr>
          <w:rStyle w:val="63"/>
          <w:rFonts w:hint="eastAsia"/>
          <w:color w:val="000000" w:themeColor="text1"/>
          <w14:textFill>
            <w14:solidFill>
              <w14:schemeClr w14:val="tx1"/>
            </w14:solidFill>
          </w14:textFill>
        </w:rPr>
        <w:t>光解+活性炭吸附”装置处理，最终由1</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m高的排气筒（P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）排放，总风量为</w:t>
      </w:r>
      <w:r>
        <w:rPr>
          <w:rStyle w:val="63"/>
          <w:color w:val="000000" w:themeColor="text1"/>
          <w14:textFill>
            <w14:solidFill>
              <w14:schemeClr w14:val="tx1"/>
            </w14:solidFill>
          </w14:textFill>
        </w:rPr>
        <w:t>22000 m</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/h</w:t>
      </w:r>
      <w:r>
        <w:rPr>
          <w:rStyle w:val="63"/>
          <w:rFonts w:hint="eastAsia"/>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rStyle w:val="63"/>
          <w:color w:val="000000" w:themeColor="text1"/>
          <w14:textFill>
            <w14:solidFill>
              <w14:schemeClr w14:val="tx1"/>
            </w14:solidFill>
          </w14:textFill>
        </w:rPr>
        <w:t>加强</w:t>
      </w:r>
      <w:r>
        <w:rPr>
          <w:rStyle w:val="63"/>
          <w:rFonts w:hint="eastAsia"/>
          <w:color w:val="000000" w:themeColor="text1"/>
          <w14:textFill>
            <w14:solidFill>
              <w14:schemeClr w14:val="tx1"/>
            </w14:solidFill>
          </w14:textFill>
        </w:rPr>
        <w:t>混炼</w:t>
      </w:r>
      <w:r>
        <w:rPr>
          <w:rStyle w:val="63"/>
          <w:color w:val="000000" w:themeColor="text1"/>
          <w14:textFill>
            <w14:solidFill>
              <w14:schemeClr w14:val="tx1"/>
            </w14:solidFill>
          </w14:textFill>
        </w:rPr>
        <w:t>车间密闭</w:t>
      </w:r>
      <w:r>
        <w:rPr>
          <w:rStyle w:val="63"/>
          <w:rFonts w:hint="eastAsia"/>
          <w:color w:val="000000" w:themeColor="text1"/>
          <w14:textFill>
            <w14:solidFill>
              <w14:schemeClr w14:val="tx1"/>
            </w14:solidFill>
          </w14:textFill>
        </w:rPr>
        <w:t>状态，</w:t>
      </w:r>
      <w:bookmarkStart w:id="213" w:name="_Hlk3393544"/>
      <w:r>
        <w:rPr>
          <w:rStyle w:val="63"/>
          <w:rFonts w:hint="eastAsia"/>
          <w:color w:val="000000" w:themeColor="text1"/>
          <w14:textFill>
            <w14:solidFill>
              <w14:schemeClr w14:val="tx1"/>
            </w14:solidFill>
          </w14:textFill>
        </w:rPr>
        <w:t>生产时应关闭大门、窗户，</w:t>
      </w:r>
      <w:bookmarkEnd w:id="213"/>
      <w:r>
        <w:rPr>
          <w:rStyle w:val="63"/>
          <w:rFonts w:hint="eastAsia"/>
          <w:color w:val="000000" w:themeColor="text1"/>
          <w14:textFill>
            <w14:solidFill>
              <w14:schemeClr w14:val="tx1"/>
            </w14:solidFill>
          </w14:textFill>
        </w:rPr>
        <w:t>在开炼机集气罩四周配备P</w:t>
      </w:r>
      <w:r>
        <w:rPr>
          <w:rStyle w:val="63"/>
          <w:color w:val="000000" w:themeColor="text1"/>
          <w14:textFill>
            <w14:solidFill>
              <w14:schemeClr w14:val="tx1"/>
            </w14:solidFill>
          </w14:textFill>
        </w:rPr>
        <w:t>VC软帘，</w:t>
      </w:r>
      <w:r>
        <w:rPr>
          <w:rStyle w:val="63"/>
          <w:rFonts w:hint="eastAsia"/>
          <w:color w:val="000000" w:themeColor="text1"/>
          <w14:textFill>
            <w14:solidFill>
              <w14:schemeClr w14:val="tx1"/>
            </w14:solidFill>
          </w14:textFill>
        </w:rPr>
        <w:t>进行局部围合，收集效率为9</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%左右。开炼废气收集后与其他废气一起进入“喷淋塔+</w:t>
      </w:r>
      <w:r>
        <w:rPr>
          <w:rStyle w:val="63"/>
          <w:color w:val="000000" w:themeColor="text1"/>
          <w14:textFill>
            <w14:solidFill>
              <w14:schemeClr w14:val="tx1"/>
            </w14:solidFill>
          </w14:textFill>
        </w:rPr>
        <w:t>UV</w:t>
      </w:r>
      <w:r>
        <w:rPr>
          <w:rStyle w:val="63"/>
          <w:rFonts w:hint="eastAsia"/>
          <w:color w:val="000000" w:themeColor="text1"/>
          <w14:textFill>
            <w14:solidFill>
              <w14:schemeClr w14:val="tx1"/>
            </w14:solidFill>
          </w14:textFill>
        </w:rPr>
        <w:t>光解+活性炭吸附”处理系统净化，最终由1</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m高的排气筒（P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）排放，总风量为</w:t>
      </w:r>
      <w:r>
        <w:rPr>
          <w:rStyle w:val="63"/>
          <w:color w:val="000000" w:themeColor="text1"/>
          <w14:textFill>
            <w14:solidFill>
              <w14:schemeClr w14:val="tx1"/>
            </w14:solidFill>
          </w14:textFill>
        </w:rPr>
        <w:t>22000 m³/h</w:t>
      </w:r>
      <w:r>
        <w:rPr>
          <w:rStyle w:val="63"/>
          <w:rFonts w:hint="eastAsia"/>
          <w:color w:val="000000" w:themeColor="text1"/>
          <w14:textFill>
            <w14:solidFill>
              <w14:schemeClr w14:val="tx1"/>
            </w14:solidFill>
          </w14:textFill>
        </w:rPr>
        <w:t xml:space="preserve"> 。</w:t>
      </w:r>
    </w:p>
    <w:p>
      <w:pPr>
        <w:pStyle w:val="162"/>
        <w:numPr>
          <w:ilvl w:val="0"/>
          <w:numId w:val="0"/>
        </w:numPr>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整改后排放情况</w:t>
      </w:r>
    </w:p>
    <w:p>
      <w:pPr>
        <w:pStyle w:val="126"/>
        <w:numPr>
          <w:ilvl w:val="0"/>
          <w:numId w:val="28"/>
        </w:numPr>
        <w:ind w:firstLine="482" w:firstLineChars="200"/>
        <w:rPr>
          <w:rFonts w:eastAsiaTheme="minorEastAsia"/>
        </w:rPr>
      </w:pPr>
      <w:r>
        <w:rPr>
          <w:rFonts w:hint="eastAsia" w:eastAsiaTheme="minorEastAsia"/>
        </w:rPr>
        <w:t>有组织排放</w:t>
      </w:r>
    </w:p>
    <w:p>
      <w:pPr>
        <w:ind w:firstLine="480"/>
        <w:rPr>
          <w:rStyle w:val="63"/>
        </w:rPr>
      </w:pPr>
      <w:r>
        <w:rPr>
          <w:rStyle w:val="63"/>
          <w:rFonts w:hint="eastAsia"/>
          <w:color w:val="000000" w:themeColor="text1"/>
          <w14:textFill>
            <w14:solidFill>
              <w14:schemeClr w14:val="tx1"/>
            </w14:solidFill>
          </w14:textFill>
        </w:rPr>
        <w:t>布袋除尘对粉尘的处理效率为9</w:t>
      </w:r>
      <w:r>
        <w:rPr>
          <w:rStyle w:val="63"/>
          <w:color w:val="000000" w:themeColor="text1"/>
          <w14:textFill>
            <w14:solidFill>
              <w14:schemeClr w14:val="tx1"/>
            </w14:solidFill>
          </w14:textFill>
        </w:rPr>
        <w:t>9</w:t>
      </w:r>
      <w:r>
        <w:rPr>
          <w:rStyle w:val="63"/>
          <w:rFonts w:hint="eastAsia"/>
          <w:color w:val="000000" w:themeColor="text1"/>
          <w14:textFill>
            <w14:solidFill>
              <w14:schemeClr w14:val="tx1"/>
            </w14:solidFill>
          </w14:textFill>
        </w:rPr>
        <w:t>%以上；本次评价水喷淋对有机废气的去除效率取2</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，UV光解去除效率取4</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，活性吸附去除效率取8</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%，计算得出“水喷淋+UV光解+活性炭吸附装置”对有机废气的综合处理效率为</w:t>
      </w:r>
      <w:r>
        <w:rPr>
          <w:rStyle w:val="63"/>
          <w:color w:val="000000" w:themeColor="text1"/>
          <w14:textFill>
            <w14:solidFill>
              <w14:schemeClr w14:val="tx1"/>
            </w14:solidFill>
          </w14:textFill>
        </w:rPr>
        <w:t>92</w:t>
      </w:r>
      <w:r>
        <w:rPr>
          <w:rStyle w:val="63"/>
          <w:rFonts w:hint="eastAsia"/>
          <w:color w:val="000000" w:themeColor="text1"/>
          <w14:textFill>
            <w14:solidFill>
              <w14:schemeClr w14:val="tx1"/>
            </w14:solidFill>
          </w14:textFill>
        </w:rPr>
        <w:t>%左右。则项目投料、密炼和开炼过程中的污染源强及排放情况见下表</w:t>
      </w:r>
      <w:r>
        <w:rPr>
          <w:rStyle w:val="63"/>
          <w:rFonts w:hint="eastAsia"/>
        </w:rPr>
        <w:t>。</w:t>
      </w:r>
    </w:p>
    <w:p>
      <w:pPr>
        <w:pStyle w:val="18"/>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6</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整改后配料、投料、密炼过程中有组织排放的废气的污染源强及排放情况</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3"/>
        <w:gridCol w:w="1368"/>
        <w:gridCol w:w="924"/>
        <w:gridCol w:w="985"/>
        <w:gridCol w:w="910"/>
        <w:gridCol w:w="997"/>
        <w:gridCol w:w="954"/>
        <w:gridCol w:w="939"/>
        <w:gridCol w:w="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1063"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运行工况</w:t>
            </w:r>
          </w:p>
        </w:tc>
        <w:tc>
          <w:tcPr>
            <w:tcW w:w="1368"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污染物</w:t>
            </w:r>
          </w:p>
        </w:tc>
        <w:tc>
          <w:tcPr>
            <w:tcW w:w="3816" w:type="dxa"/>
            <w:gridSpan w:val="4"/>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有组织产生情况</w:t>
            </w:r>
          </w:p>
        </w:tc>
        <w:tc>
          <w:tcPr>
            <w:tcW w:w="2870" w:type="dxa"/>
            <w:gridSpan w:val="3"/>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1063" w:type="dxa"/>
            <w:vMerge w:val="continue"/>
            <w:vAlign w:val="center"/>
          </w:tcPr>
          <w:p>
            <w:pPr>
              <w:pStyle w:val="107"/>
              <w:rPr>
                <w:rStyle w:val="63"/>
                <w:color w:val="000000" w:themeColor="text1"/>
                <w14:textFill>
                  <w14:solidFill>
                    <w14:schemeClr w14:val="tx1"/>
                  </w14:solidFill>
                </w14:textFill>
              </w:rPr>
            </w:pPr>
          </w:p>
        </w:tc>
        <w:tc>
          <w:tcPr>
            <w:tcW w:w="1368" w:type="dxa"/>
            <w:vMerge w:val="continue"/>
            <w:vAlign w:val="center"/>
          </w:tcPr>
          <w:p>
            <w:pPr>
              <w:pStyle w:val="107"/>
              <w:rPr>
                <w:rStyle w:val="63"/>
                <w:color w:val="000000" w:themeColor="text1"/>
                <w14:textFill>
                  <w14:solidFill>
                    <w14:schemeClr w14:val="tx1"/>
                  </w14:solidFill>
                </w14:textFill>
              </w:rPr>
            </w:pPr>
          </w:p>
        </w:tc>
        <w:tc>
          <w:tcPr>
            <w:tcW w:w="924"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收集量（kg/a）</w:t>
            </w:r>
          </w:p>
        </w:tc>
        <w:tc>
          <w:tcPr>
            <w:tcW w:w="98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910"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收集风量</w:t>
            </w:r>
            <w:r>
              <w:rPr>
                <w:rStyle w:val="63"/>
                <w:color w:val="000000" w:themeColor="text1"/>
                <w14:textFill>
                  <w14:solidFill>
                    <w14:schemeClr w14:val="tx1"/>
                  </w14:solidFill>
                </w14:textFill>
              </w:rPr>
              <w:t>(m³/h)</w:t>
            </w:r>
          </w:p>
        </w:tc>
        <w:tc>
          <w:tcPr>
            <w:tcW w:w="99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产生浓度</w:t>
            </w:r>
            <w:r>
              <w:rPr>
                <w:rStyle w:val="63"/>
                <w:color w:val="000000" w:themeColor="text1"/>
                <w14:textFill>
                  <w14:solidFill>
                    <w14:schemeClr w14:val="tx1"/>
                  </w14:solidFill>
                </w14:textFill>
              </w:rPr>
              <w:t>(mg/m³)</w:t>
            </w:r>
          </w:p>
        </w:tc>
        <w:tc>
          <w:tcPr>
            <w:tcW w:w="954"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排放量（kg/a）</w:t>
            </w:r>
          </w:p>
        </w:tc>
        <w:tc>
          <w:tcPr>
            <w:tcW w:w="939"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97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排放浓度</w:t>
            </w:r>
            <w:r>
              <w:rPr>
                <w:rStyle w:val="63"/>
                <w:color w:val="000000" w:themeColor="text1"/>
                <w14:textFill>
                  <w14:solidFill>
                    <w14:schemeClr w14:val="tx1"/>
                  </w14:solidFill>
                </w14:textFill>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3"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正常工况</w:t>
            </w:r>
          </w:p>
        </w:tc>
        <w:tc>
          <w:tcPr>
            <w:tcW w:w="1368"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924" w:type="dxa"/>
            <w:tcBorders>
              <w:top w:val="single" w:color="auto" w:sz="4" w:space="0"/>
              <w:left w:val="single" w:color="auto" w:sz="4" w:space="0"/>
              <w:bottom w:val="single" w:color="auto" w:sz="4" w:space="0"/>
              <w:right w:val="single" w:color="auto" w:sz="8"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406.691</w:t>
            </w:r>
            <w:r>
              <w:rPr>
                <w:rStyle w:val="63"/>
                <w:rFonts w:hint="eastAsia"/>
                <w:color w:val="000000" w:themeColor="text1"/>
                <w14:textFill>
                  <w14:solidFill>
                    <w14:schemeClr w14:val="tx1"/>
                  </w14:solidFill>
                </w14:textFill>
              </w:rPr>
              <w:t xml:space="preserve"> </w:t>
            </w:r>
          </w:p>
        </w:tc>
        <w:tc>
          <w:tcPr>
            <w:tcW w:w="98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1695</w:t>
            </w:r>
          </w:p>
        </w:tc>
        <w:tc>
          <w:tcPr>
            <w:tcW w:w="91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997" w:type="dxa"/>
            <w:tcBorders>
              <w:top w:val="single" w:color="auto" w:sz="4" w:space="0"/>
              <w:left w:val="nil"/>
              <w:bottom w:val="single" w:color="auto" w:sz="4" w:space="0"/>
              <w:right w:val="single" w:color="auto" w:sz="8"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7.7</w:t>
            </w:r>
          </w:p>
        </w:tc>
        <w:tc>
          <w:tcPr>
            <w:tcW w:w="954"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4.07</w:t>
            </w:r>
          </w:p>
        </w:tc>
        <w:tc>
          <w:tcPr>
            <w:tcW w:w="939"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001695</w:t>
            </w:r>
            <w:r>
              <w:rPr>
                <w:rStyle w:val="63"/>
                <w:rFonts w:hint="eastAsia"/>
                <w:color w:val="000000" w:themeColor="text1"/>
                <w14:textFill>
                  <w14:solidFill>
                    <w14:schemeClr w14:val="tx1"/>
                  </w14:solidFill>
                </w14:textFill>
              </w:rPr>
              <w:t xml:space="preserve"> </w:t>
            </w:r>
          </w:p>
        </w:tc>
        <w:tc>
          <w:tcPr>
            <w:tcW w:w="977" w:type="dxa"/>
            <w:tcBorders>
              <w:top w:val="single" w:color="auto" w:sz="4" w:space="0"/>
              <w:left w:val="nil"/>
              <w:bottom w:val="single" w:color="auto" w:sz="4" w:space="0"/>
              <w:right w:val="single" w:color="auto" w:sz="8"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077</w:t>
            </w:r>
            <w:r>
              <w:rPr>
                <w:rStyle w:val="63"/>
                <w:rFonts w:hint="eastAsia"/>
                <w:color w:val="000000" w:themeColor="text1"/>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3" w:type="dxa"/>
            <w:vMerge w:val="continue"/>
            <w:shd w:val="clear" w:color="auto" w:fill="auto"/>
            <w:noWrap/>
            <w:vAlign w:val="center"/>
          </w:tcPr>
          <w:p>
            <w:pPr>
              <w:pStyle w:val="107"/>
              <w:rPr>
                <w:rStyle w:val="63"/>
                <w:color w:val="000000" w:themeColor="text1"/>
                <w14:textFill>
                  <w14:solidFill>
                    <w14:schemeClr w14:val="tx1"/>
                  </w14:solidFill>
                </w14:textFill>
              </w:rPr>
            </w:pPr>
          </w:p>
        </w:tc>
        <w:tc>
          <w:tcPr>
            <w:tcW w:w="1368"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924" w:type="dxa"/>
            <w:tcBorders>
              <w:top w:val="nil"/>
              <w:left w:val="single" w:color="auto" w:sz="4" w:space="0"/>
              <w:bottom w:val="single" w:color="auto" w:sz="4" w:space="0"/>
              <w:right w:val="single" w:color="auto" w:sz="8"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113.62</w:t>
            </w:r>
            <w:r>
              <w:rPr>
                <w:rStyle w:val="63"/>
                <w:rFonts w:hint="eastAsia"/>
                <w:color w:val="000000" w:themeColor="text1"/>
                <w14:textFill>
                  <w14:solidFill>
                    <w14:schemeClr w14:val="tx1"/>
                  </w14:solidFill>
                </w14:textFill>
              </w:rPr>
              <w:t xml:space="preserve"> </w:t>
            </w:r>
          </w:p>
        </w:tc>
        <w:tc>
          <w:tcPr>
            <w:tcW w:w="985"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473</w:t>
            </w:r>
            <w:r>
              <w:rPr>
                <w:rStyle w:val="63"/>
                <w:rFonts w:hint="eastAsia"/>
                <w:color w:val="000000" w:themeColor="text1"/>
                <w14:textFill>
                  <w14:solidFill>
                    <w14:schemeClr w14:val="tx1"/>
                  </w14:solidFill>
                </w14:textFill>
              </w:rPr>
              <w:t xml:space="preserve"> </w:t>
            </w:r>
          </w:p>
        </w:tc>
        <w:tc>
          <w:tcPr>
            <w:tcW w:w="910"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997" w:type="dxa"/>
            <w:tcBorders>
              <w:top w:val="nil"/>
              <w:left w:val="nil"/>
              <w:bottom w:val="single" w:color="auto" w:sz="4" w:space="0"/>
              <w:right w:val="single" w:color="auto" w:sz="8"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2.15</w:t>
            </w:r>
            <w:r>
              <w:rPr>
                <w:rStyle w:val="63"/>
                <w:rFonts w:hint="eastAsia"/>
                <w:color w:val="000000" w:themeColor="text1"/>
                <w14:textFill>
                  <w14:solidFill>
                    <w14:schemeClr w14:val="tx1"/>
                  </w14:solidFill>
                </w14:textFill>
              </w:rPr>
              <w:t xml:space="preserve"> </w:t>
            </w:r>
          </w:p>
        </w:tc>
        <w:tc>
          <w:tcPr>
            <w:tcW w:w="954"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9.09</w:t>
            </w:r>
            <w:r>
              <w:rPr>
                <w:rStyle w:val="63"/>
                <w:rFonts w:hint="eastAsia"/>
                <w:color w:val="000000" w:themeColor="text1"/>
                <w14:textFill>
                  <w14:solidFill>
                    <w14:schemeClr w14:val="tx1"/>
                  </w14:solidFill>
                </w14:textFill>
              </w:rPr>
              <w:t xml:space="preserve"> </w:t>
            </w:r>
          </w:p>
        </w:tc>
        <w:tc>
          <w:tcPr>
            <w:tcW w:w="93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0.003</w:t>
            </w:r>
            <w:r>
              <w:rPr>
                <w:rStyle w:val="63"/>
                <w:color w:val="000000" w:themeColor="text1"/>
                <w14:textFill>
                  <w14:solidFill>
                    <w14:schemeClr w14:val="tx1"/>
                  </w14:solidFill>
                </w14:textFill>
              </w:rPr>
              <w:t>78</w:t>
            </w:r>
            <w:r>
              <w:rPr>
                <w:rStyle w:val="63"/>
                <w:rFonts w:hint="eastAsia"/>
                <w:color w:val="000000" w:themeColor="text1"/>
                <w14:textFill>
                  <w14:solidFill>
                    <w14:schemeClr w14:val="tx1"/>
                  </w14:solidFill>
                </w14:textFill>
              </w:rPr>
              <w:t xml:space="preserve"> </w:t>
            </w:r>
          </w:p>
        </w:tc>
        <w:tc>
          <w:tcPr>
            <w:tcW w:w="977" w:type="dxa"/>
            <w:tcBorders>
              <w:top w:val="nil"/>
              <w:left w:val="nil"/>
              <w:bottom w:val="single" w:color="auto" w:sz="4" w:space="0"/>
              <w:right w:val="single" w:color="auto" w:sz="8"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3" w:type="dxa"/>
            <w:vMerge w:val="continue"/>
            <w:vAlign w:val="center"/>
          </w:tcPr>
          <w:p>
            <w:pPr>
              <w:pStyle w:val="107"/>
              <w:rPr>
                <w:rStyle w:val="63"/>
                <w:color w:val="000000" w:themeColor="text1"/>
                <w14:textFill>
                  <w14:solidFill>
                    <w14:schemeClr w14:val="tx1"/>
                  </w14:solidFill>
                </w14:textFill>
              </w:rPr>
            </w:pPr>
          </w:p>
        </w:tc>
        <w:tc>
          <w:tcPr>
            <w:tcW w:w="1368"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924" w:type="dxa"/>
            <w:tcBorders>
              <w:top w:val="nil"/>
              <w:left w:val="single" w:color="auto" w:sz="4" w:space="0"/>
              <w:bottom w:val="single" w:color="auto" w:sz="4" w:space="0"/>
              <w:right w:val="single" w:color="auto" w:sz="8"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28</w:t>
            </w:r>
            <w:r>
              <w:rPr>
                <w:rStyle w:val="63"/>
                <w:rFonts w:hint="eastAsia"/>
                <w:color w:val="000000" w:themeColor="text1"/>
                <w14:textFill>
                  <w14:solidFill>
                    <w14:schemeClr w14:val="tx1"/>
                  </w14:solidFill>
                </w14:textFill>
              </w:rPr>
              <w:t xml:space="preserve"> </w:t>
            </w:r>
          </w:p>
        </w:tc>
        <w:tc>
          <w:tcPr>
            <w:tcW w:w="985"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0.000</w:t>
            </w:r>
            <w:r>
              <w:rPr>
                <w:rStyle w:val="63"/>
                <w:color w:val="000000" w:themeColor="text1"/>
                <w14:textFill>
                  <w14:solidFill>
                    <w14:schemeClr w14:val="tx1"/>
                  </w14:solidFill>
                </w14:textFill>
              </w:rPr>
              <w:t>95</w:t>
            </w:r>
            <w:r>
              <w:rPr>
                <w:rStyle w:val="63"/>
                <w:rFonts w:hint="eastAsia"/>
                <w:color w:val="000000" w:themeColor="text1"/>
                <w14:textFill>
                  <w14:solidFill>
                    <w14:schemeClr w14:val="tx1"/>
                  </w14:solidFill>
                </w14:textFill>
              </w:rPr>
              <w:t xml:space="preserve"> </w:t>
            </w:r>
          </w:p>
        </w:tc>
        <w:tc>
          <w:tcPr>
            <w:tcW w:w="910"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997" w:type="dxa"/>
            <w:tcBorders>
              <w:top w:val="nil"/>
              <w:left w:val="nil"/>
              <w:bottom w:val="single" w:color="auto" w:sz="4" w:space="0"/>
              <w:right w:val="single" w:color="auto" w:sz="8"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432</w:t>
            </w:r>
            <w:r>
              <w:rPr>
                <w:rStyle w:val="63"/>
                <w:rFonts w:hint="eastAsia"/>
                <w:color w:val="000000" w:themeColor="text1"/>
                <w14:textFill>
                  <w14:solidFill>
                    <w14:schemeClr w14:val="tx1"/>
                  </w14:solidFill>
                </w14:textFill>
              </w:rPr>
              <w:t xml:space="preserve"> </w:t>
            </w:r>
          </w:p>
        </w:tc>
        <w:tc>
          <w:tcPr>
            <w:tcW w:w="954"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1824</w:t>
            </w:r>
          </w:p>
        </w:tc>
        <w:tc>
          <w:tcPr>
            <w:tcW w:w="93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0.000076</w:t>
            </w:r>
          </w:p>
        </w:tc>
        <w:tc>
          <w:tcPr>
            <w:tcW w:w="977"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0.0035</w:t>
            </w:r>
          </w:p>
        </w:tc>
      </w:tr>
    </w:tbl>
    <w:p>
      <w:pPr>
        <w:pStyle w:val="18"/>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7</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整改后开炼过程中有组织排放的废气的污染源强及排放情况</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1266"/>
        <w:gridCol w:w="998"/>
        <w:gridCol w:w="1010"/>
        <w:gridCol w:w="960"/>
        <w:gridCol w:w="909"/>
        <w:gridCol w:w="998"/>
        <w:gridCol w:w="1010"/>
        <w:gridCol w:w="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1056"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污染源</w:t>
            </w:r>
          </w:p>
        </w:tc>
        <w:tc>
          <w:tcPr>
            <w:tcW w:w="1266"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污染物</w:t>
            </w:r>
          </w:p>
        </w:tc>
        <w:tc>
          <w:tcPr>
            <w:tcW w:w="3877" w:type="dxa"/>
            <w:gridSpan w:val="4"/>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有组织产生情况</w:t>
            </w:r>
          </w:p>
        </w:tc>
        <w:tc>
          <w:tcPr>
            <w:tcW w:w="2918" w:type="dxa"/>
            <w:gridSpan w:val="3"/>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1056" w:type="dxa"/>
            <w:vMerge w:val="continue"/>
            <w:shd w:val="clear" w:color="auto" w:fill="auto"/>
            <w:vAlign w:val="center"/>
          </w:tcPr>
          <w:p>
            <w:pPr>
              <w:pStyle w:val="107"/>
              <w:rPr>
                <w:rStyle w:val="63"/>
                <w:color w:val="000000" w:themeColor="text1"/>
                <w14:textFill>
                  <w14:solidFill>
                    <w14:schemeClr w14:val="tx1"/>
                  </w14:solidFill>
                </w14:textFill>
              </w:rPr>
            </w:pPr>
          </w:p>
        </w:tc>
        <w:tc>
          <w:tcPr>
            <w:tcW w:w="1266" w:type="dxa"/>
            <w:vMerge w:val="continue"/>
            <w:shd w:val="clear" w:color="auto" w:fill="auto"/>
            <w:vAlign w:val="center"/>
          </w:tcPr>
          <w:p>
            <w:pPr>
              <w:pStyle w:val="107"/>
              <w:rPr>
                <w:rStyle w:val="63"/>
                <w:color w:val="000000" w:themeColor="text1"/>
                <w14:textFill>
                  <w14:solidFill>
                    <w14:schemeClr w14:val="tx1"/>
                  </w14:solidFill>
                </w14:textFill>
              </w:rPr>
            </w:pPr>
          </w:p>
        </w:tc>
        <w:tc>
          <w:tcPr>
            <w:tcW w:w="998"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收集量（kg/a）</w:t>
            </w:r>
          </w:p>
        </w:tc>
        <w:tc>
          <w:tcPr>
            <w:tcW w:w="1010"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960"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收集风量</w:t>
            </w:r>
            <w:r>
              <w:rPr>
                <w:rStyle w:val="63"/>
                <w:color w:val="000000" w:themeColor="text1"/>
                <w14:textFill>
                  <w14:solidFill>
                    <w14:schemeClr w14:val="tx1"/>
                  </w14:solidFill>
                </w14:textFill>
              </w:rPr>
              <w:t>(m³/h)</w:t>
            </w:r>
          </w:p>
        </w:tc>
        <w:tc>
          <w:tcPr>
            <w:tcW w:w="909"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产生浓度</w:t>
            </w:r>
            <w:r>
              <w:rPr>
                <w:rStyle w:val="63"/>
                <w:color w:val="000000" w:themeColor="text1"/>
                <w14:textFill>
                  <w14:solidFill>
                    <w14:schemeClr w14:val="tx1"/>
                  </w14:solidFill>
                </w14:textFill>
              </w:rPr>
              <w:t>(mg/m³)</w:t>
            </w:r>
          </w:p>
        </w:tc>
        <w:tc>
          <w:tcPr>
            <w:tcW w:w="998"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排放量（kg/a）</w:t>
            </w:r>
          </w:p>
        </w:tc>
        <w:tc>
          <w:tcPr>
            <w:tcW w:w="1010"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910"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排放浓度</w:t>
            </w:r>
            <w:r>
              <w:rPr>
                <w:rStyle w:val="63"/>
                <w:color w:val="000000" w:themeColor="text1"/>
                <w14:textFill>
                  <w14:solidFill>
                    <w14:schemeClr w14:val="tx1"/>
                  </w14:solidFill>
                </w14:textFill>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056"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正常工况</w:t>
            </w:r>
          </w:p>
        </w:tc>
        <w:tc>
          <w:tcPr>
            <w:tcW w:w="1266" w:type="dxa"/>
            <w:tcBorders>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99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55.8</w:t>
            </w:r>
          </w:p>
        </w:tc>
        <w:tc>
          <w:tcPr>
            <w:tcW w:w="101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2325</w:t>
            </w:r>
            <w:r>
              <w:rPr>
                <w:rStyle w:val="63"/>
                <w:rFonts w:hint="eastAsia"/>
                <w:color w:val="000000" w:themeColor="text1"/>
                <w14:textFill>
                  <w14:solidFill>
                    <w14:schemeClr w14:val="tx1"/>
                  </w14:solidFill>
                </w14:textFill>
              </w:rPr>
              <w:t xml:space="preserve"> </w:t>
            </w:r>
          </w:p>
        </w:tc>
        <w:tc>
          <w:tcPr>
            <w:tcW w:w="96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909" w:type="dxa"/>
            <w:tcBorders>
              <w:top w:val="single" w:color="auto" w:sz="4" w:space="0"/>
              <w:left w:val="nil"/>
              <w:bottom w:val="single" w:color="auto" w:sz="4" w:space="0"/>
              <w:right w:val="nil"/>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1.06</w:t>
            </w:r>
          </w:p>
        </w:tc>
        <w:tc>
          <w:tcPr>
            <w:tcW w:w="99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4.464</w:t>
            </w:r>
            <w:r>
              <w:rPr>
                <w:rStyle w:val="63"/>
                <w:rFonts w:hint="eastAsia"/>
                <w:color w:val="000000" w:themeColor="text1"/>
                <w14:textFill>
                  <w14:solidFill>
                    <w14:schemeClr w14:val="tx1"/>
                  </w14:solidFill>
                </w14:textFill>
              </w:rPr>
              <w:t xml:space="preserve"> </w:t>
            </w:r>
          </w:p>
        </w:tc>
        <w:tc>
          <w:tcPr>
            <w:tcW w:w="101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w:t>
            </w:r>
            <w:r>
              <w:rPr>
                <w:rStyle w:val="63"/>
                <w:color w:val="000000" w:themeColor="text1"/>
                <w14:textFill>
                  <w14:solidFill>
                    <w14:schemeClr w14:val="tx1"/>
                  </w14:solidFill>
                </w14:textFill>
              </w:rPr>
              <w:t>86</w:t>
            </w:r>
            <w:r>
              <w:rPr>
                <w:rStyle w:val="63"/>
                <w:rFonts w:hint="eastAsia"/>
                <w:color w:val="000000" w:themeColor="text1"/>
                <w14:textFill>
                  <w14:solidFill>
                    <w14:schemeClr w14:val="tx1"/>
                  </w14:solidFill>
                </w14:textFill>
              </w:rPr>
              <w:t xml:space="preserve"> </w:t>
            </w:r>
          </w:p>
        </w:tc>
        <w:tc>
          <w:tcPr>
            <w:tcW w:w="91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56" w:type="dxa"/>
            <w:vMerge w:val="continue"/>
            <w:shd w:val="clear" w:color="auto" w:fill="auto"/>
            <w:vAlign w:val="center"/>
          </w:tcPr>
          <w:p>
            <w:pPr>
              <w:pStyle w:val="107"/>
              <w:rPr>
                <w:rStyle w:val="63"/>
                <w:color w:val="000000" w:themeColor="text1"/>
                <w14:textFill>
                  <w14:solidFill>
                    <w14:schemeClr w14:val="tx1"/>
                  </w14:solidFill>
                </w14:textFill>
              </w:rPr>
            </w:pPr>
          </w:p>
        </w:tc>
        <w:tc>
          <w:tcPr>
            <w:tcW w:w="1266" w:type="dxa"/>
            <w:tcBorders>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99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3.96</w:t>
            </w:r>
          </w:p>
        </w:tc>
        <w:tc>
          <w:tcPr>
            <w:tcW w:w="101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w:t>
            </w:r>
            <w:r>
              <w:rPr>
                <w:rStyle w:val="63"/>
                <w:color w:val="000000" w:themeColor="text1"/>
                <w14:textFill>
                  <w14:solidFill>
                    <w14:schemeClr w14:val="tx1"/>
                  </w14:solidFill>
                </w14:textFill>
              </w:rPr>
              <w:t>65</w:t>
            </w:r>
            <w:r>
              <w:rPr>
                <w:rStyle w:val="63"/>
                <w:rFonts w:hint="eastAsia"/>
                <w:color w:val="000000" w:themeColor="text1"/>
                <w14:textFill>
                  <w14:solidFill>
                    <w14:schemeClr w14:val="tx1"/>
                  </w14:solidFill>
                </w14:textFill>
              </w:rPr>
              <w:t xml:space="preserve"> </w:t>
            </w:r>
          </w:p>
        </w:tc>
        <w:tc>
          <w:tcPr>
            <w:tcW w:w="96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909" w:type="dxa"/>
            <w:tcBorders>
              <w:top w:val="single" w:color="auto" w:sz="4" w:space="0"/>
              <w:left w:val="nil"/>
              <w:bottom w:val="single" w:color="auto" w:sz="4" w:space="0"/>
              <w:right w:val="nil"/>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.075</w:t>
            </w:r>
          </w:p>
        </w:tc>
        <w:tc>
          <w:tcPr>
            <w:tcW w:w="99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0.3</w:t>
            </w:r>
            <w:r>
              <w:rPr>
                <w:rStyle w:val="63"/>
                <w:color w:val="000000" w:themeColor="text1"/>
                <w14:textFill>
                  <w14:solidFill>
                    <w14:schemeClr w14:val="tx1"/>
                  </w14:solidFill>
                </w14:textFill>
              </w:rPr>
              <w:t>168</w:t>
            </w:r>
            <w:r>
              <w:rPr>
                <w:rStyle w:val="63"/>
                <w:rFonts w:hint="eastAsia"/>
                <w:color w:val="000000" w:themeColor="text1"/>
                <w14:textFill>
                  <w14:solidFill>
                    <w14:schemeClr w14:val="tx1"/>
                  </w14:solidFill>
                </w14:textFill>
              </w:rPr>
              <w:t xml:space="preserve"> </w:t>
            </w:r>
          </w:p>
        </w:tc>
        <w:tc>
          <w:tcPr>
            <w:tcW w:w="1010" w:type="dxa"/>
            <w:tcBorders>
              <w:top w:val="single" w:color="auto" w:sz="4" w:space="0"/>
              <w:left w:val="nil"/>
              <w:bottom w:val="single" w:color="auto" w:sz="4" w:space="0"/>
              <w:right w:val="nil"/>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.000132</w:t>
            </w:r>
          </w:p>
        </w:tc>
        <w:tc>
          <w:tcPr>
            <w:tcW w:w="910"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0.006</w:t>
            </w:r>
          </w:p>
        </w:tc>
      </w:tr>
    </w:tbl>
    <w:p>
      <w:pPr>
        <w:pStyle w:val="126"/>
        <w:numPr>
          <w:ilvl w:val="0"/>
          <w:numId w:val="28"/>
        </w:numPr>
        <w:ind w:firstLine="482" w:firstLineChars="20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无组织排放</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项目在投料、密炼过程中大约有</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%的废气未被收集到，即有</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%的废气为无组织排放；在开炼过程中大约有</w:t>
      </w:r>
      <w:r>
        <w:rPr>
          <w:rStyle w:val="63"/>
          <w:color w:val="000000" w:themeColor="text1"/>
          <w14:textFill>
            <w14:solidFill>
              <w14:schemeClr w14:val="tx1"/>
            </w14:solidFill>
          </w14:textFill>
        </w:rPr>
        <w:t>10</w:t>
      </w:r>
      <w:r>
        <w:rPr>
          <w:rStyle w:val="63"/>
          <w:rFonts w:hint="eastAsia"/>
          <w:color w:val="000000" w:themeColor="text1"/>
          <w14:textFill>
            <w14:solidFill>
              <w14:schemeClr w14:val="tx1"/>
            </w14:solidFill>
          </w14:textFill>
        </w:rPr>
        <w:t>%的废气未被收集到，即有</w:t>
      </w:r>
      <w:r>
        <w:rPr>
          <w:rStyle w:val="63"/>
          <w:color w:val="000000" w:themeColor="text1"/>
          <w14:textFill>
            <w14:solidFill>
              <w14:schemeClr w14:val="tx1"/>
            </w14:solidFill>
          </w14:textFill>
        </w:rPr>
        <w:t>10</w:t>
      </w:r>
      <w:r>
        <w:rPr>
          <w:rStyle w:val="63"/>
          <w:rFonts w:hint="eastAsia"/>
          <w:color w:val="000000" w:themeColor="text1"/>
          <w14:textFill>
            <w14:solidFill>
              <w14:schemeClr w14:val="tx1"/>
            </w14:solidFill>
          </w14:textFill>
        </w:rPr>
        <w:t>%的废气为无组织排放。则正常工况下各车间投料、密炼和开炼过程中无组织排放情况见下表。</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2.8</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8</w:t>
      </w:r>
      <w:r>
        <w:fldChar w:fldCharType="end"/>
      </w:r>
      <w:r>
        <w:t xml:space="preserve"> </w:t>
      </w:r>
      <w:r>
        <w:rPr>
          <w:rFonts w:hint="eastAsia"/>
        </w:rPr>
        <w:t>整改后正常工况下配料投料、密炼和开炼过程中无组织排放源强及排放参数</w:t>
      </w:r>
    </w:p>
    <w:tbl>
      <w:tblPr>
        <w:tblStyle w:val="56"/>
        <w:tblW w:w="9117" w:type="dxa"/>
        <w:tblInd w:w="0" w:type="dxa"/>
        <w:tblLayout w:type="fixed"/>
        <w:tblCellMar>
          <w:top w:w="0" w:type="dxa"/>
          <w:left w:w="108" w:type="dxa"/>
          <w:bottom w:w="0" w:type="dxa"/>
          <w:right w:w="108" w:type="dxa"/>
        </w:tblCellMar>
      </w:tblPr>
      <w:tblGrid>
        <w:gridCol w:w="846"/>
        <w:gridCol w:w="1035"/>
        <w:gridCol w:w="1499"/>
        <w:gridCol w:w="1231"/>
        <w:gridCol w:w="1338"/>
        <w:gridCol w:w="1056"/>
        <w:gridCol w:w="1056"/>
        <w:gridCol w:w="1056"/>
      </w:tblGrid>
      <w:tr>
        <w:tblPrEx>
          <w:tblLayout w:type="fixed"/>
          <w:tblCellMar>
            <w:top w:w="0" w:type="dxa"/>
            <w:left w:w="108" w:type="dxa"/>
            <w:bottom w:w="0" w:type="dxa"/>
            <w:right w:w="108" w:type="dxa"/>
          </w:tblCellMar>
        </w:tblPrEx>
        <w:trPr>
          <w:trHeight w:val="360" w:hRule="atLeast"/>
        </w:trPr>
        <w:tc>
          <w:tcPr>
            <w:tcW w:w="1881" w:type="dxa"/>
            <w:gridSpan w:val="2"/>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污染源</w:t>
            </w:r>
          </w:p>
        </w:tc>
        <w:tc>
          <w:tcPr>
            <w:tcW w:w="149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污染物</w:t>
            </w:r>
          </w:p>
        </w:tc>
        <w:tc>
          <w:tcPr>
            <w:tcW w:w="1231" w:type="dxa"/>
            <w:vMerge w:val="restart"/>
            <w:tcBorders>
              <w:top w:val="single" w:color="auto" w:sz="8" w:space="0"/>
              <w:left w:val="nil"/>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排放量(kg/a)</w:t>
            </w:r>
          </w:p>
        </w:tc>
        <w:tc>
          <w:tcPr>
            <w:tcW w:w="1338" w:type="dxa"/>
            <w:vMerge w:val="restart"/>
            <w:tcBorders>
              <w:top w:val="single" w:color="auto" w:sz="8" w:space="0"/>
              <w:left w:val="nil"/>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105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排放高度</w:t>
            </w:r>
          </w:p>
        </w:tc>
        <w:tc>
          <w:tcPr>
            <w:tcW w:w="1056"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面源长度</w:t>
            </w:r>
          </w:p>
        </w:tc>
        <w:tc>
          <w:tcPr>
            <w:tcW w:w="1056"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面源宽度</w:t>
            </w:r>
          </w:p>
        </w:tc>
      </w:tr>
      <w:tr>
        <w:tblPrEx>
          <w:tblLayout w:type="fixed"/>
          <w:tblCellMar>
            <w:top w:w="0" w:type="dxa"/>
            <w:left w:w="108" w:type="dxa"/>
            <w:bottom w:w="0" w:type="dxa"/>
            <w:right w:w="108" w:type="dxa"/>
          </w:tblCellMar>
        </w:tblPrEx>
        <w:trPr>
          <w:trHeight w:val="308" w:hRule="atLeast"/>
        </w:trPr>
        <w:tc>
          <w:tcPr>
            <w:tcW w:w="1881" w:type="dxa"/>
            <w:gridSpan w:val="2"/>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p>
        </w:tc>
        <w:tc>
          <w:tcPr>
            <w:tcW w:w="149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p>
        </w:tc>
        <w:tc>
          <w:tcPr>
            <w:tcW w:w="1231" w:type="dxa"/>
            <w:vMerge w:val="continue"/>
            <w:tcBorders>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p>
        </w:tc>
        <w:tc>
          <w:tcPr>
            <w:tcW w:w="1338" w:type="dxa"/>
            <w:vMerge w:val="continue"/>
            <w:tcBorders>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p>
        </w:tc>
        <w:tc>
          <w:tcPr>
            <w:tcW w:w="1056"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m</w:t>
            </w:r>
          </w:p>
        </w:tc>
        <w:tc>
          <w:tcPr>
            <w:tcW w:w="1056"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m</w:t>
            </w:r>
          </w:p>
        </w:tc>
        <w:tc>
          <w:tcPr>
            <w:tcW w:w="1056"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m</w:t>
            </w:r>
          </w:p>
        </w:tc>
      </w:tr>
      <w:tr>
        <w:tblPrEx>
          <w:tblLayout w:type="fixed"/>
          <w:tblCellMar>
            <w:top w:w="0" w:type="dxa"/>
            <w:left w:w="108" w:type="dxa"/>
            <w:bottom w:w="0" w:type="dxa"/>
            <w:right w:w="108" w:type="dxa"/>
          </w:tblCellMar>
        </w:tblPrEx>
        <w:trPr>
          <w:trHeight w:val="285" w:hRule="atLeast"/>
        </w:trPr>
        <w:tc>
          <w:tcPr>
            <w:tcW w:w="846" w:type="dxa"/>
            <w:vMerge w:val="restart"/>
            <w:tcBorders>
              <w:top w:val="nil"/>
              <w:left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密炼围蔽区</w:t>
            </w:r>
          </w:p>
        </w:tc>
        <w:tc>
          <w:tcPr>
            <w:tcW w:w="1035" w:type="dxa"/>
            <w:vMerge w:val="restart"/>
            <w:tcBorders>
              <w:top w:val="nil"/>
              <w:left w:val="single" w:color="auto" w:sz="4" w:space="0"/>
              <w:bottom w:val="single" w:color="000000" w:sz="4" w:space="0"/>
              <w:right w:val="single" w:color="auto" w:sz="4" w:space="0"/>
            </w:tcBorders>
            <w:shd w:val="clear" w:color="auto" w:fill="auto"/>
            <w:vAlign w:val="center"/>
          </w:tcPr>
          <w:p>
            <w:pPr>
              <w:pStyle w:val="107"/>
              <w:jc w:val="left"/>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配料、投料、密炼</w:t>
            </w:r>
          </w:p>
        </w:tc>
        <w:tc>
          <w:tcPr>
            <w:tcW w:w="14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1231"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color w:val="auto"/>
              </w:rPr>
              <w:t>21.4048</w:t>
            </w:r>
          </w:p>
        </w:tc>
        <w:tc>
          <w:tcPr>
            <w:tcW w:w="1338" w:type="dxa"/>
            <w:tcBorders>
              <w:top w:val="single" w:color="auto" w:sz="4" w:space="0"/>
              <w:left w:val="nil"/>
              <w:bottom w:val="single" w:color="auto" w:sz="4" w:space="0"/>
              <w:right w:val="single" w:color="auto" w:sz="8"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089</w:t>
            </w:r>
          </w:p>
        </w:tc>
        <w:tc>
          <w:tcPr>
            <w:tcW w:w="1056"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w:t>
            </w:r>
          </w:p>
        </w:tc>
        <w:tc>
          <w:tcPr>
            <w:tcW w:w="1056"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0</w:t>
            </w:r>
          </w:p>
        </w:tc>
        <w:tc>
          <w:tcPr>
            <w:tcW w:w="1056"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85" w:hRule="atLeast"/>
        </w:trPr>
        <w:tc>
          <w:tcPr>
            <w:tcW w:w="846" w:type="dxa"/>
            <w:vMerge w:val="continue"/>
            <w:tcBorders>
              <w:left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p>
        </w:tc>
        <w:tc>
          <w:tcPr>
            <w:tcW w:w="1035" w:type="dxa"/>
            <w:vMerge w:val="continue"/>
            <w:tcBorders>
              <w:top w:val="nil"/>
              <w:left w:val="single" w:color="auto" w:sz="4" w:space="0"/>
              <w:bottom w:val="single" w:color="000000"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p>
        </w:tc>
        <w:tc>
          <w:tcPr>
            <w:tcW w:w="14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123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5.98</w:t>
            </w:r>
          </w:p>
        </w:tc>
        <w:tc>
          <w:tcPr>
            <w:tcW w:w="1338" w:type="dxa"/>
            <w:tcBorders>
              <w:top w:val="nil"/>
              <w:left w:val="nil"/>
              <w:bottom w:val="single" w:color="auto" w:sz="4" w:space="0"/>
              <w:right w:val="single" w:color="auto" w:sz="8"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w:t>
            </w:r>
            <w:r>
              <w:rPr>
                <w:rStyle w:val="63"/>
                <w:color w:val="000000" w:themeColor="text1"/>
                <w14:textFill>
                  <w14:solidFill>
                    <w14:schemeClr w14:val="tx1"/>
                  </w14:solidFill>
                </w14:textFill>
              </w:rPr>
              <w:t>249</w:t>
            </w:r>
            <w:r>
              <w:rPr>
                <w:rStyle w:val="63"/>
                <w:rFonts w:hint="eastAsia"/>
                <w:color w:val="000000" w:themeColor="text1"/>
                <w14:textFill>
                  <w14:solidFill>
                    <w14:schemeClr w14:val="tx1"/>
                  </w14:solidFill>
                </w14:textFill>
              </w:rPr>
              <w:t xml:space="preserve"> </w:t>
            </w:r>
          </w:p>
        </w:tc>
        <w:tc>
          <w:tcPr>
            <w:tcW w:w="1056"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w:t>
            </w:r>
          </w:p>
        </w:tc>
        <w:tc>
          <w:tcPr>
            <w:tcW w:w="1056"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0</w:t>
            </w:r>
          </w:p>
        </w:tc>
        <w:tc>
          <w:tcPr>
            <w:tcW w:w="1056"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85" w:hRule="atLeast"/>
        </w:trPr>
        <w:tc>
          <w:tcPr>
            <w:tcW w:w="846" w:type="dxa"/>
            <w:vMerge w:val="continue"/>
            <w:tcBorders>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p>
        </w:tc>
        <w:tc>
          <w:tcPr>
            <w:tcW w:w="1035" w:type="dxa"/>
            <w:vMerge w:val="continue"/>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p>
        </w:tc>
        <w:tc>
          <w:tcPr>
            <w:tcW w:w="14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123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0.1</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 xml:space="preserve"> </w:t>
            </w:r>
          </w:p>
        </w:tc>
        <w:tc>
          <w:tcPr>
            <w:tcW w:w="133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0.00005</w:t>
            </w:r>
          </w:p>
        </w:tc>
        <w:tc>
          <w:tcPr>
            <w:tcW w:w="1056"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w:t>
            </w:r>
          </w:p>
        </w:tc>
        <w:tc>
          <w:tcPr>
            <w:tcW w:w="1056"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0</w:t>
            </w:r>
          </w:p>
        </w:tc>
        <w:tc>
          <w:tcPr>
            <w:tcW w:w="1056"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85" w:hRule="atLeast"/>
        </w:trPr>
        <w:tc>
          <w:tcPr>
            <w:tcW w:w="846" w:type="dxa"/>
            <w:vMerge w:val="restart"/>
            <w:tcBorders>
              <w:top w:val="single" w:color="auto" w:sz="4" w:space="0"/>
              <w:left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混炼车间</w:t>
            </w:r>
          </w:p>
        </w:tc>
        <w:tc>
          <w:tcPr>
            <w:tcW w:w="1035" w:type="dxa"/>
            <w:vMerge w:val="restart"/>
            <w:tcBorders>
              <w:top w:val="nil"/>
              <w:left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开炼</w:t>
            </w:r>
          </w:p>
        </w:tc>
        <w:tc>
          <w:tcPr>
            <w:tcW w:w="14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1231" w:type="dxa"/>
            <w:tcBorders>
              <w:top w:val="single" w:color="auto" w:sz="8"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6.2</w:t>
            </w:r>
            <w:r>
              <w:rPr>
                <w:rStyle w:val="63"/>
                <w:rFonts w:hint="eastAsia"/>
                <w:color w:val="000000" w:themeColor="text1"/>
                <w14:textFill>
                  <w14:solidFill>
                    <w14:schemeClr w14:val="tx1"/>
                  </w14:solidFill>
                </w14:textFill>
              </w:rPr>
              <w:t xml:space="preserve"> </w:t>
            </w:r>
          </w:p>
        </w:tc>
        <w:tc>
          <w:tcPr>
            <w:tcW w:w="1338" w:type="dxa"/>
            <w:tcBorders>
              <w:top w:val="single" w:color="auto" w:sz="4" w:space="0"/>
              <w:left w:val="nil"/>
              <w:bottom w:val="single" w:color="auto" w:sz="4" w:space="0"/>
              <w:right w:val="nil"/>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0.002</w:t>
            </w:r>
            <w:r>
              <w:rPr>
                <w:rStyle w:val="63"/>
                <w:color w:val="000000" w:themeColor="text1"/>
                <w14:textFill>
                  <w14:solidFill>
                    <w14:schemeClr w14:val="tx1"/>
                  </w14:solidFill>
                </w14:textFill>
              </w:rPr>
              <w:t>58</w:t>
            </w:r>
            <w:r>
              <w:rPr>
                <w:rStyle w:val="63"/>
                <w:rFonts w:hint="eastAsia"/>
                <w:color w:val="000000" w:themeColor="text1"/>
                <w14:textFill>
                  <w14:solidFill>
                    <w14:schemeClr w14:val="tx1"/>
                  </w14:solidFill>
                </w14:textFill>
              </w:rPr>
              <w:t xml:space="preserve"> </w:t>
            </w:r>
          </w:p>
        </w:tc>
        <w:tc>
          <w:tcPr>
            <w:tcW w:w="1056"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w:t>
            </w:r>
          </w:p>
        </w:tc>
        <w:tc>
          <w:tcPr>
            <w:tcW w:w="1056"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w:t>
            </w:r>
          </w:p>
        </w:tc>
        <w:tc>
          <w:tcPr>
            <w:tcW w:w="1056"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w:t>
            </w:r>
          </w:p>
        </w:tc>
      </w:tr>
      <w:tr>
        <w:tblPrEx>
          <w:tblLayout w:type="fixed"/>
          <w:tblCellMar>
            <w:top w:w="0" w:type="dxa"/>
            <w:left w:w="108" w:type="dxa"/>
            <w:bottom w:w="0" w:type="dxa"/>
            <w:right w:w="108" w:type="dxa"/>
          </w:tblCellMar>
        </w:tblPrEx>
        <w:trPr>
          <w:trHeight w:val="285" w:hRule="atLeast"/>
        </w:trPr>
        <w:tc>
          <w:tcPr>
            <w:tcW w:w="846" w:type="dxa"/>
            <w:vMerge w:val="continue"/>
            <w:tcBorders>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p>
        </w:tc>
        <w:tc>
          <w:tcPr>
            <w:tcW w:w="1035" w:type="dxa"/>
            <w:vMerge w:val="continue"/>
            <w:tcBorders>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p>
        </w:tc>
        <w:tc>
          <w:tcPr>
            <w:tcW w:w="14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123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0.44</w:t>
            </w:r>
            <w:r>
              <w:rPr>
                <w:rStyle w:val="63"/>
                <w:rFonts w:hint="eastAsia"/>
                <w:color w:val="000000" w:themeColor="text1"/>
                <w14:textFill>
                  <w14:solidFill>
                    <w14:schemeClr w14:val="tx1"/>
                  </w14:solidFill>
                </w14:textFill>
              </w:rPr>
              <w:t xml:space="preserve"> </w:t>
            </w:r>
          </w:p>
        </w:tc>
        <w:tc>
          <w:tcPr>
            <w:tcW w:w="133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0.000183</w:t>
            </w:r>
          </w:p>
        </w:tc>
        <w:tc>
          <w:tcPr>
            <w:tcW w:w="1056"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w:t>
            </w:r>
          </w:p>
        </w:tc>
        <w:tc>
          <w:tcPr>
            <w:tcW w:w="1056"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w:t>
            </w:r>
          </w:p>
        </w:tc>
        <w:tc>
          <w:tcPr>
            <w:tcW w:w="1056"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w:t>
            </w:r>
          </w:p>
        </w:tc>
      </w:tr>
    </w:tbl>
    <w:p>
      <w:pPr>
        <w:pStyle w:val="6"/>
      </w:pPr>
      <w:bookmarkStart w:id="214" w:name="_Hlk3507048"/>
      <w:r>
        <w:rPr>
          <w:rFonts w:hint="eastAsia"/>
        </w:rPr>
        <w:t>硫化废气</w:t>
      </w:r>
    </w:p>
    <w:bookmarkEnd w:id="214"/>
    <w:p>
      <w:pPr>
        <w:ind w:firstLine="480"/>
        <w:rPr>
          <w:rFonts w:eastAsiaTheme="minorEastAsia"/>
        </w:rPr>
      </w:pPr>
      <w:r>
        <w:rPr>
          <w:rFonts w:hint="eastAsia" w:eastAsiaTheme="minorEastAsia"/>
        </w:rPr>
        <w:t>由于项目的硫化工序在较高温度下进行（约1</w:t>
      </w:r>
      <w:r>
        <w:rPr>
          <w:rFonts w:eastAsiaTheme="minorEastAsia"/>
        </w:rPr>
        <w:t>4</w:t>
      </w:r>
      <w:r>
        <w:rPr>
          <w:rFonts w:hint="eastAsia" w:eastAsiaTheme="minorEastAsia"/>
        </w:rPr>
        <w:t>0℃），橡胶等物质会产生一定的有机废气（主要成分为非甲烷总烃），硫化剂会产生硫化氢废气。</w:t>
      </w:r>
    </w:p>
    <w:p>
      <w:pPr>
        <w:pStyle w:val="126"/>
        <w:numPr>
          <w:ilvl w:val="0"/>
          <w:numId w:val="29"/>
        </w:numPr>
        <w:ind w:firstLine="482"/>
        <w:rPr>
          <w:rFonts w:eastAsiaTheme="minorEastAsia"/>
        </w:rPr>
      </w:pPr>
      <w:r>
        <w:rPr>
          <w:rFonts w:hint="eastAsia" w:eastAsiaTheme="minorEastAsia"/>
        </w:rPr>
        <w:t>非甲烷总烃、</w:t>
      </w:r>
      <w:r>
        <w:rPr>
          <w:rFonts w:eastAsiaTheme="minorEastAsia"/>
        </w:rPr>
        <w:t>H</w:t>
      </w:r>
      <w:r>
        <w:rPr>
          <w:rFonts w:eastAsiaTheme="minorEastAsia"/>
          <w:vertAlign w:val="subscript"/>
        </w:rPr>
        <w:t>2</w:t>
      </w:r>
      <w:r>
        <w:rPr>
          <w:rFonts w:eastAsiaTheme="minorEastAsia"/>
        </w:rPr>
        <w:t>S</w:t>
      </w:r>
      <w:r>
        <w:rPr>
          <w:rFonts w:hint="eastAsia" w:eastAsiaTheme="minorEastAsia"/>
        </w:rPr>
        <w:t>产生量</w:t>
      </w:r>
    </w:p>
    <w:p>
      <w:pPr>
        <w:ind w:firstLine="480"/>
        <w:rPr>
          <w:rFonts w:eastAsiaTheme="minorEastAsia"/>
        </w:rPr>
      </w:pPr>
      <w:r>
        <w:rPr>
          <w:rFonts w:hint="eastAsia" w:eastAsiaTheme="minorEastAsia"/>
        </w:rPr>
        <w:t>本次评价参考文献</w:t>
      </w:r>
      <w:r>
        <w:rPr>
          <w:rFonts w:hint="eastAsia" w:cs="Times New Roman" w:eastAsiaTheme="minorEastAsia"/>
          <w:kern w:val="2"/>
        </w:rPr>
        <w:t>（张芝兰.橡胶制品生产过程中有机废气的排放系数[J]橡胶工业，2006，53（11）：682-683）</w:t>
      </w:r>
      <w:r>
        <w:rPr>
          <w:rFonts w:hint="eastAsia" w:eastAsiaTheme="minorEastAsia"/>
        </w:rPr>
        <w:t>中关于橡胶制品生产过程中污染物的最大排放系数，项目硫化工序非甲烷总烃（总目标有机物）产生系数为0.291kg/t胶料。</w:t>
      </w:r>
    </w:p>
    <w:p>
      <w:pPr>
        <w:ind w:firstLine="480"/>
        <w:rPr>
          <w:rStyle w:val="63"/>
        </w:rPr>
      </w:pPr>
      <w:r>
        <w:rPr>
          <w:rStyle w:val="63"/>
          <w:rFonts w:hint="eastAsia"/>
          <w:color w:val="000000" w:themeColor="text1"/>
          <w14:textFill>
            <w14:solidFill>
              <w14:schemeClr w14:val="tx1"/>
            </w14:solidFill>
          </w14:textFill>
        </w:rPr>
        <w:t>为了解工程项目污染源排放现状，本次评价对开炼、硫化废气处理前的有组织排放浓度进行了实际监测（监测报告见</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REF _Ref3330859 \n \h</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附件6</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）。开炼、硫化废气收集效率以7</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%计，根据本项目满负荷运行时（最大工况条件下）的废气处理前实测数据均值（见</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REF _Ref3330911 \h</w:instrText>
      </w:r>
      <w:r>
        <w:rPr>
          <w:rStyle w:val="63"/>
          <w:color w:val="000000" w:themeColor="text1"/>
          <w14:textFill>
            <w14:solidFill>
              <w14:schemeClr w14:val="tx1"/>
            </w14:solidFill>
          </w14:textFill>
        </w:rPr>
        <w:instrText xml:space="preserve">  \* MERGEFORMAT </w:instrText>
      </w:r>
      <w:r>
        <w:rPr>
          <w:rStyle w:val="63"/>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16</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），折算得正常工况下开炼、硫化废气中</w:t>
      </w: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S产生速率</w:t>
      </w:r>
      <w:r>
        <w:rPr>
          <w:rStyle w:val="63"/>
          <w:rFonts w:hint="eastAsia"/>
          <w:color w:val="000000" w:themeColor="text1"/>
          <w14:textFill>
            <w14:solidFill>
              <w14:schemeClr w14:val="tx1"/>
            </w14:solidFill>
          </w14:textFill>
        </w:rPr>
        <w:t>分别</w:t>
      </w:r>
      <w:r>
        <w:rPr>
          <w:rStyle w:val="63"/>
          <w:color w:val="000000" w:themeColor="text1"/>
          <w14:textFill>
            <w14:solidFill>
              <w14:schemeClr w14:val="tx1"/>
            </w14:solidFill>
          </w14:textFill>
        </w:rPr>
        <w:t>约为1.2×10</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 xml:space="preserve"> kg/h（</w:t>
      </w:r>
      <w:r>
        <w:rPr>
          <w:rStyle w:val="63"/>
          <w:rFonts w:hint="eastAsia"/>
          <w:color w:val="000000" w:themeColor="text1"/>
          <w14:textFill>
            <w14:solidFill>
              <w14:schemeClr w14:val="tx1"/>
            </w14:solidFill>
          </w14:textFill>
        </w:rPr>
        <w:t>本评价按开炼、硫化废气中</w:t>
      </w: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S产</w:t>
      </w:r>
      <w:r>
        <w:rPr>
          <w:rStyle w:val="63"/>
          <w:rFonts w:hint="eastAsia"/>
          <w:color w:val="000000" w:themeColor="text1"/>
          <w14:textFill>
            <w14:solidFill>
              <w14:schemeClr w14:val="tx1"/>
            </w14:solidFill>
          </w14:textFill>
        </w:rPr>
        <w:t>出率相同计算</w:t>
      </w:r>
      <w:r>
        <w:rPr>
          <w:rStyle w:val="63"/>
          <w:color w:val="000000" w:themeColor="text1"/>
          <w14:textFill>
            <w14:solidFill>
              <w14:schemeClr w14:val="tx1"/>
            </w14:solidFill>
          </w14:textFill>
        </w:rPr>
        <w:t>）</w:t>
      </w:r>
      <w:r>
        <w:rPr>
          <w:rStyle w:val="63"/>
          <w:rFonts w:hint="eastAsia"/>
        </w:rPr>
        <w:t>。</w:t>
      </w:r>
    </w:p>
    <w:p>
      <w:pPr>
        <w:ind w:firstLine="480"/>
        <w:rPr>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项目满负荷生产状态（即最大工况状态）密炼工序胶料加工总量约</w:t>
      </w:r>
      <w:r>
        <w:rPr>
          <w:rStyle w:val="63"/>
          <w:color w:val="000000" w:themeColor="text1"/>
          <w14:textFill>
            <w14:solidFill>
              <w14:schemeClr w14:val="tx1"/>
            </w14:solidFill>
          </w14:textFill>
        </w:rPr>
        <w:t>1.333 t/d</w:t>
      </w:r>
      <w:r>
        <w:rPr>
          <w:rStyle w:val="63"/>
          <w:rFonts w:hint="eastAsia"/>
          <w:color w:val="000000" w:themeColor="text1"/>
          <w14:textFill>
            <w14:solidFill>
              <w14:schemeClr w14:val="tx1"/>
            </w14:solidFill>
          </w14:textFill>
        </w:rPr>
        <w:t>，开炼胶料加工总量约</w:t>
      </w:r>
      <w:r>
        <w:rPr>
          <w:rStyle w:val="63"/>
          <w:color w:val="000000" w:themeColor="text1"/>
          <w14:textFill>
            <w14:solidFill>
              <w14:schemeClr w14:val="tx1"/>
            </w14:solidFill>
          </w14:textFill>
        </w:rPr>
        <w:t>2.666t/d</w:t>
      </w:r>
      <w:r>
        <w:rPr>
          <w:rStyle w:val="63"/>
          <w:rFonts w:hint="eastAsia"/>
          <w:color w:val="000000" w:themeColor="text1"/>
          <w14:textFill>
            <w14:solidFill>
              <w14:schemeClr w14:val="tx1"/>
            </w14:solidFill>
          </w14:textFill>
        </w:rPr>
        <w:t>，硫化工序胶料加工总量约</w:t>
      </w:r>
      <w:r>
        <w:rPr>
          <w:rStyle w:val="63"/>
          <w:color w:val="000000" w:themeColor="text1"/>
          <w14:textFill>
            <w14:solidFill>
              <w14:schemeClr w14:val="tx1"/>
            </w14:solidFill>
          </w14:textFill>
        </w:rPr>
        <w:t>1.333t/d</w:t>
      </w:r>
      <w:r>
        <w:rPr>
          <w:rStyle w:val="63"/>
          <w:rFonts w:hint="eastAsia"/>
          <w:color w:val="000000" w:themeColor="text1"/>
          <w14:textFill>
            <w14:solidFill>
              <w14:schemeClr w14:val="tx1"/>
            </w14:solidFill>
          </w14:textFill>
        </w:rPr>
        <w:t>，日工作时间</w:t>
      </w:r>
      <w:r>
        <w:rPr>
          <w:rStyle w:val="63"/>
          <w:color w:val="000000" w:themeColor="text1"/>
          <w14:textFill>
            <w14:solidFill>
              <w14:schemeClr w14:val="tx1"/>
            </w14:solidFill>
          </w14:textFill>
        </w:rPr>
        <w:t>8</w:t>
      </w:r>
      <w:r>
        <w:rPr>
          <w:rStyle w:val="63"/>
          <w:rFonts w:hint="eastAsia"/>
          <w:color w:val="000000" w:themeColor="text1"/>
          <w14:textFill>
            <w14:solidFill>
              <w14:schemeClr w14:val="tx1"/>
            </w14:solidFill>
          </w14:textFill>
        </w:rPr>
        <w:t>h，计算得开炼、硫化过程</w:t>
      </w: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r>
        <w:rPr>
          <w:rStyle w:val="63"/>
          <w:rFonts w:hint="eastAsia"/>
          <w:color w:val="000000" w:themeColor="text1"/>
          <w14:textFill>
            <w14:solidFill>
              <w14:schemeClr w14:val="tx1"/>
            </w14:solidFill>
          </w14:textFill>
        </w:rPr>
        <w:t>平均产生系数约</w:t>
      </w:r>
      <w:r>
        <w:rPr>
          <w:rStyle w:val="63"/>
          <w:color w:val="000000" w:themeColor="text1"/>
          <w14:textFill>
            <w14:solidFill>
              <w14:schemeClr w14:val="tx1"/>
            </w14:solidFill>
          </w14:textFill>
        </w:rPr>
        <w:t>为</w:t>
      </w: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11</w:t>
      </w:r>
      <w:r>
        <w:rPr>
          <w:rStyle w:val="63"/>
          <w:rFonts w:hint="eastAsia"/>
          <w:color w:val="000000" w:themeColor="text1"/>
          <w14:textFill>
            <w14:solidFill>
              <w14:schemeClr w14:val="tx1"/>
            </w14:solidFill>
          </w14:textFill>
        </w:rPr>
        <w:t>kg/t胶，则正常工况条件下硫化过程中的</w:t>
      </w: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r>
        <w:rPr>
          <w:rStyle w:val="63"/>
          <w:rFonts w:hint="eastAsia"/>
          <w:color w:val="000000" w:themeColor="text1"/>
          <w14:textFill>
            <w14:solidFill>
              <w14:schemeClr w14:val="tx1"/>
            </w14:solidFill>
          </w14:textFill>
        </w:rPr>
        <w:t>的产生量约为</w:t>
      </w:r>
      <w:r>
        <w:rPr>
          <w:rStyle w:val="63"/>
          <w:color w:val="000000" w:themeColor="text1"/>
          <w14:textFill>
            <w14:solidFill>
              <w14:schemeClr w14:val="tx1"/>
            </w14:solidFill>
          </w14:textFill>
        </w:rPr>
        <w:t>4.4</w:t>
      </w:r>
      <w:r>
        <w:rPr>
          <w:rStyle w:val="63"/>
          <w:rFonts w:hint="eastAsia"/>
          <w:color w:val="000000" w:themeColor="text1"/>
          <w14:textFill>
            <w14:solidFill>
              <w14:schemeClr w14:val="tx1"/>
            </w14:solidFill>
          </w14:textFill>
        </w:rPr>
        <w:t xml:space="preserve"> kg/a。</w:t>
      </w:r>
    </w:p>
    <w:p>
      <w:pPr>
        <w:ind w:firstLine="480"/>
        <w:rPr>
          <w:rFonts w:eastAsiaTheme="minorEastAsia"/>
        </w:rPr>
      </w:pPr>
      <w:r>
        <w:rPr>
          <w:rFonts w:hint="eastAsia" w:cs="Times New Roman" w:eastAsiaTheme="minorEastAsia"/>
          <w:kern w:val="2"/>
        </w:rPr>
        <w:t>项目生胶原料使用量约为</w:t>
      </w:r>
      <w:r>
        <w:rPr>
          <w:rFonts w:hint="eastAsia" w:eastAsiaTheme="minorEastAsia"/>
        </w:rPr>
        <w:t>4</w:t>
      </w:r>
      <w:r>
        <w:rPr>
          <w:rFonts w:eastAsiaTheme="minorEastAsia"/>
        </w:rPr>
        <w:t>0</w:t>
      </w:r>
      <w:r>
        <w:rPr>
          <w:rFonts w:hint="eastAsia" w:eastAsiaTheme="minorEastAsia"/>
        </w:rPr>
        <w:t>0 t/a，则项目硫化工序非甲烷总烃及硫化氢产生情况详见下表。</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2.8</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9</w:t>
      </w:r>
      <w:r>
        <w:fldChar w:fldCharType="end"/>
      </w:r>
      <w:r>
        <w:t xml:space="preserve"> </w:t>
      </w:r>
      <w:r>
        <w:rPr>
          <w:rFonts w:hint="eastAsia"/>
        </w:rPr>
        <w:t>硫化过程中污染物产生情况一览表</w:t>
      </w:r>
    </w:p>
    <w:tbl>
      <w:tblPr>
        <w:tblStyle w:val="57"/>
        <w:tblW w:w="9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297"/>
        <w:gridCol w:w="3510"/>
        <w:gridCol w:w="325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297" w:type="dxa"/>
            <w:vAlign w:val="center"/>
          </w:tcPr>
          <w:p>
            <w:pPr>
              <w:pStyle w:val="107"/>
              <w:rPr>
                <w:b/>
              </w:rPr>
            </w:pPr>
            <w:r>
              <w:rPr>
                <w:rFonts w:hint="eastAsia"/>
                <w:b/>
              </w:rPr>
              <w:t>污染物</w:t>
            </w:r>
          </w:p>
        </w:tc>
        <w:tc>
          <w:tcPr>
            <w:tcW w:w="3510" w:type="dxa"/>
            <w:vAlign w:val="center"/>
          </w:tcPr>
          <w:p>
            <w:pPr>
              <w:pStyle w:val="107"/>
            </w:pPr>
            <w:r>
              <w:rPr>
                <w:rFonts w:hint="eastAsia" w:cs="Times New Roman"/>
                <w:kern w:val="2"/>
              </w:rPr>
              <w:t>非甲烷总烃</w:t>
            </w:r>
          </w:p>
        </w:tc>
        <w:tc>
          <w:tcPr>
            <w:tcW w:w="3253" w:type="dxa"/>
            <w:vAlign w:val="center"/>
          </w:tcPr>
          <w:p>
            <w:pPr>
              <w:pStyle w:val="107"/>
            </w:pPr>
            <w:r>
              <w:rPr>
                <w:rFonts w:hint="eastAsia"/>
              </w:rPr>
              <w:t>硫化氢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297" w:type="dxa"/>
            <w:vAlign w:val="center"/>
          </w:tcPr>
          <w:p>
            <w:pPr>
              <w:pStyle w:val="107"/>
              <w:rPr>
                <w:b/>
              </w:rPr>
            </w:pPr>
            <w:r>
              <w:rPr>
                <w:rFonts w:hint="eastAsia"/>
                <w:b/>
              </w:rPr>
              <w:t>产生系数</w:t>
            </w:r>
          </w:p>
        </w:tc>
        <w:tc>
          <w:tcPr>
            <w:tcW w:w="3510" w:type="dxa"/>
            <w:vAlign w:val="center"/>
          </w:tcPr>
          <w:p>
            <w:pPr>
              <w:pStyle w:val="107"/>
            </w:pPr>
            <w:r>
              <w:rPr>
                <w:rFonts w:hint="eastAsia"/>
              </w:rPr>
              <w:t>0.291kg/t胶料</w:t>
            </w:r>
          </w:p>
        </w:tc>
        <w:tc>
          <w:tcPr>
            <w:tcW w:w="3253" w:type="dxa"/>
            <w:vAlign w:val="center"/>
          </w:tcPr>
          <w:p>
            <w:pPr>
              <w:pStyle w:val="107"/>
            </w:pPr>
            <w:r>
              <w:rPr>
                <w:rFonts w:hint="eastAsia"/>
              </w:rPr>
              <w:t>0.011kg/t胶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297" w:type="dxa"/>
            <w:vAlign w:val="center"/>
          </w:tcPr>
          <w:p>
            <w:pPr>
              <w:pStyle w:val="107"/>
              <w:rPr>
                <w:b/>
              </w:rPr>
            </w:pPr>
            <w:r>
              <w:rPr>
                <w:rFonts w:hint="eastAsia"/>
                <w:b/>
              </w:rPr>
              <w:t>数据来源</w:t>
            </w:r>
          </w:p>
        </w:tc>
        <w:tc>
          <w:tcPr>
            <w:tcW w:w="3510" w:type="dxa"/>
            <w:tcBorders>
              <w:right w:val="single" w:color="auto" w:sz="4" w:space="0"/>
            </w:tcBorders>
            <w:vAlign w:val="center"/>
          </w:tcPr>
          <w:p>
            <w:pPr>
              <w:pStyle w:val="107"/>
            </w:pPr>
            <w:r>
              <w:rPr>
                <w:rFonts w:hint="eastAsia"/>
              </w:rPr>
              <w:t>《橡胶制品生产过程中有机废气的排放系数》（张芝兰.[J]橡胶工业，2006，53（11）：682-683）</w:t>
            </w:r>
          </w:p>
        </w:tc>
        <w:tc>
          <w:tcPr>
            <w:tcW w:w="3253" w:type="dxa"/>
            <w:tcBorders>
              <w:left w:val="single" w:color="auto" w:sz="4" w:space="0"/>
              <w:right w:val="single" w:color="auto" w:sz="4" w:space="0"/>
            </w:tcBorders>
            <w:vAlign w:val="center"/>
          </w:tcPr>
          <w:p>
            <w:pPr>
              <w:pStyle w:val="107"/>
            </w:pPr>
            <w:r>
              <w:rPr>
                <w:rFonts w:hint="eastAsia"/>
              </w:rPr>
              <w:t>项目废气处理前有组织排放实测数据的平均值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297" w:type="dxa"/>
            <w:vAlign w:val="center"/>
          </w:tcPr>
          <w:p>
            <w:pPr>
              <w:pStyle w:val="107"/>
              <w:rPr>
                <w:b/>
              </w:rPr>
            </w:pPr>
            <w:r>
              <w:rPr>
                <w:rFonts w:hint="eastAsia"/>
                <w:b/>
              </w:rPr>
              <w:t>炼胶量（t/a）</w:t>
            </w:r>
          </w:p>
        </w:tc>
        <w:tc>
          <w:tcPr>
            <w:tcW w:w="6763" w:type="dxa"/>
            <w:gridSpan w:val="2"/>
            <w:tcBorders>
              <w:right w:val="single" w:color="auto" w:sz="4" w:space="0"/>
            </w:tcBorders>
          </w:tcPr>
          <w:p>
            <w:pPr>
              <w:pStyle w:val="107"/>
            </w:pPr>
            <w:r>
              <w:t>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297" w:type="dxa"/>
            <w:vAlign w:val="center"/>
          </w:tcPr>
          <w:p>
            <w:pPr>
              <w:pStyle w:val="107"/>
              <w:rPr>
                <w:b/>
              </w:rPr>
            </w:pPr>
            <w:r>
              <w:rPr>
                <w:rFonts w:hint="eastAsia"/>
                <w:b/>
              </w:rPr>
              <w:t>产生量（kg/a）</w:t>
            </w:r>
          </w:p>
        </w:tc>
        <w:tc>
          <w:tcPr>
            <w:tcW w:w="3510" w:type="dxa"/>
            <w:tcBorders>
              <w:top w:val="single" w:color="auto" w:sz="4" w:space="0"/>
              <w:left w:val="single" w:color="auto" w:sz="8" w:space="0"/>
              <w:bottom w:val="single" w:color="auto" w:sz="4" w:space="0"/>
              <w:right w:val="single" w:color="auto" w:sz="4" w:space="0"/>
            </w:tcBorders>
            <w:shd w:val="clear" w:color="auto" w:fill="auto"/>
            <w:vAlign w:val="center"/>
          </w:tcPr>
          <w:p>
            <w:pPr>
              <w:pStyle w:val="107"/>
            </w:pPr>
            <w:r>
              <w:rPr>
                <w:rFonts w:cs="Times New Roman"/>
                <w:kern w:val="2"/>
              </w:rPr>
              <w:t>116.4</w:t>
            </w:r>
          </w:p>
        </w:tc>
        <w:tc>
          <w:tcPr>
            <w:tcW w:w="3253" w:type="dxa"/>
            <w:tcBorders>
              <w:top w:val="single" w:color="auto" w:sz="4" w:space="0"/>
              <w:left w:val="nil"/>
              <w:bottom w:val="single" w:color="auto" w:sz="4" w:space="0"/>
              <w:right w:val="single" w:color="auto" w:sz="8" w:space="0"/>
            </w:tcBorders>
            <w:shd w:val="clear" w:color="auto" w:fill="auto"/>
            <w:vAlign w:val="center"/>
          </w:tcPr>
          <w:p>
            <w:pPr>
              <w:pStyle w:val="107"/>
            </w:pPr>
            <w:r>
              <w:rPr>
                <w:rFonts w:cs="Times New Roman"/>
                <w:kern w:val="2"/>
              </w:rPr>
              <w:t>4.4</w:t>
            </w:r>
          </w:p>
        </w:tc>
      </w:tr>
    </w:tbl>
    <w:p>
      <w:pPr>
        <w:pStyle w:val="2"/>
      </w:pPr>
    </w:p>
    <w:p>
      <w:pPr>
        <w:pStyle w:val="162"/>
        <w:numPr>
          <w:ilvl w:val="0"/>
          <w:numId w:val="0"/>
        </w:numPr>
        <w:jc w:val="both"/>
      </w:pPr>
      <w:r>
        <w:rPr>
          <w:rFonts w:hint="eastAsia"/>
        </w:rPr>
        <w:t>排放现状</w:t>
      </w:r>
    </w:p>
    <w:p>
      <w:pPr>
        <w:ind w:firstLine="480"/>
      </w:pPr>
      <w:r>
        <w:rPr>
          <w:rFonts w:hint="eastAsia" w:eastAsiaTheme="minorEastAsia"/>
        </w:rPr>
        <w:t>硫化机数量（</w:t>
      </w:r>
      <w:r>
        <w:rPr>
          <w:rFonts w:eastAsiaTheme="minorEastAsia"/>
        </w:rPr>
        <w:t>1</w:t>
      </w:r>
      <w:r>
        <w:rPr>
          <w:rFonts w:hint="eastAsia" w:eastAsiaTheme="minorEastAsia"/>
        </w:rPr>
        <w:t>0台），在硫化车间硫化机组侧上方设集气罩，对硫化机组打开瞬间的废气进行收集</w:t>
      </w:r>
      <w:r>
        <w:rPr>
          <w:rStyle w:val="63"/>
          <w:rFonts w:hint="eastAsia"/>
        </w:rPr>
        <w:t>，</w:t>
      </w:r>
      <w:r>
        <w:rPr>
          <w:rStyle w:val="63"/>
          <w:rFonts w:hint="eastAsia"/>
          <w:color w:val="000000" w:themeColor="text1"/>
          <w14:textFill>
            <w14:solidFill>
              <w14:schemeClr w14:val="tx1"/>
            </w14:solidFill>
          </w14:textFill>
        </w:rPr>
        <w:t>收集效率约为</w:t>
      </w:r>
      <w:r>
        <w:rPr>
          <w:rStyle w:val="63"/>
          <w:color w:val="000000" w:themeColor="text1"/>
          <w14:textFill>
            <w14:solidFill>
              <w14:schemeClr w14:val="tx1"/>
            </w14:solidFill>
          </w14:textFill>
        </w:rPr>
        <w:t>7</w:t>
      </w:r>
      <w:r>
        <w:rPr>
          <w:rStyle w:val="63"/>
          <w:rFonts w:hint="eastAsia"/>
          <w:color w:val="000000" w:themeColor="text1"/>
          <w14:textFill>
            <w14:solidFill>
              <w14:schemeClr w14:val="tx1"/>
            </w14:solidFill>
          </w14:textFill>
        </w:rPr>
        <w:t>5%。收集后的废气与密炼、开炼废气一同引至同一套活性炭吸附装置处理后，引至排气筒P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排放到外环境，装置总处理风量约为</w:t>
      </w:r>
      <w:r>
        <w:rPr>
          <w:rStyle w:val="63"/>
          <w:color w:val="000000" w:themeColor="text1"/>
          <w14:textFill>
            <w14:solidFill>
              <w14:schemeClr w14:val="tx1"/>
            </w14:solidFill>
          </w14:textFill>
        </w:rPr>
        <w:t>22000 m</w:t>
      </w:r>
      <w:r>
        <w:rPr>
          <w:rStyle w:val="63"/>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/h。活性炭对有机废气等的处理效率取8</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硫化工段年工作</w:t>
      </w:r>
      <w:r>
        <w:rPr>
          <w:rStyle w:val="63"/>
          <w:color w:val="000000" w:themeColor="text1"/>
          <w14:textFill>
            <w14:solidFill>
              <w14:schemeClr w14:val="tx1"/>
            </w14:solidFill>
          </w14:textFill>
        </w:rPr>
        <w:t>30</w:t>
      </w:r>
      <w:r>
        <w:rPr>
          <w:rStyle w:val="63"/>
          <w:rFonts w:hint="eastAsia"/>
          <w:color w:val="000000" w:themeColor="text1"/>
          <w14:textFill>
            <w14:solidFill>
              <w14:schemeClr w14:val="tx1"/>
            </w14:solidFill>
          </w14:textFill>
        </w:rPr>
        <w:t>0天，每天工作</w:t>
      </w:r>
      <w:r>
        <w:rPr>
          <w:rStyle w:val="63"/>
          <w:color w:val="000000" w:themeColor="text1"/>
          <w14:textFill>
            <w14:solidFill>
              <w14:schemeClr w14:val="tx1"/>
            </w14:solidFill>
          </w14:textFill>
        </w:rPr>
        <w:t>8</w:t>
      </w:r>
      <w:r>
        <w:rPr>
          <w:rStyle w:val="63"/>
          <w:rFonts w:hint="eastAsia"/>
          <w:color w:val="000000" w:themeColor="text1"/>
          <w14:textFill>
            <w14:solidFill>
              <w14:schemeClr w14:val="tx1"/>
            </w14:solidFill>
          </w14:textFill>
        </w:rPr>
        <w:t>h，</w:t>
      </w:r>
      <w:r>
        <w:rPr>
          <w:rStyle w:val="63"/>
          <w:color w:val="000000" w:themeColor="text1"/>
          <w14:textFill>
            <w14:solidFill>
              <w14:schemeClr w14:val="tx1"/>
            </w14:solidFill>
          </w14:textFill>
        </w:rPr>
        <w:t>硫化工段年工作时间240</w:t>
      </w:r>
      <w:r>
        <w:rPr>
          <w:rStyle w:val="63"/>
          <w:rFonts w:hint="eastAsia"/>
          <w:color w:val="000000" w:themeColor="text1"/>
          <w14:textFill>
            <w14:solidFill>
              <w14:schemeClr w14:val="tx1"/>
            </w14:solidFill>
          </w14:textFill>
        </w:rPr>
        <w:t>0小时。硫化机每批次运行时间约12min，模具开合时间约1min，每台每天可完成</w:t>
      </w:r>
      <w:r>
        <w:rPr>
          <w:rStyle w:val="63"/>
          <w:color w:val="000000" w:themeColor="text1"/>
          <w14:textFill>
            <w14:solidFill>
              <w14:schemeClr w14:val="tx1"/>
            </w14:solidFill>
          </w14:textFill>
        </w:rPr>
        <w:t>4</w:t>
      </w:r>
      <w:r>
        <w:rPr>
          <w:rStyle w:val="63"/>
          <w:rFonts w:hint="eastAsia"/>
          <w:color w:val="000000" w:themeColor="text1"/>
          <w14:textFill>
            <w14:solidFill>
              <w14:schemeClr w14:val="tx1"/>
            </w14:solidFill>
          </w14:textFill>
        </w:rPr>
        <w:t>0批次，一年可完成1</w:t>
      </w:r>
      <w:r>
        <w:rPr>
          <w:rStyle w:val="63"/>
          <w:color w:val="000000" w:themeColor="text1"/>
          <w14:textFill>
            <w14:solidFill>
              <w14:schemeClr w14:val="tx1"/>
            </w14:solidFill>
          </w14:textFill>
        </w:rPr>
        <w:t>20</w:t>
      </w:r>
      <w:r>
        <w:rPr>
          <w:rStyle w:val="63"/>
          <w:rFonts w:hint="eastAsia"/>
          <w:color w:val="000000" w:themeColor="text1"/>
          <w14:textFill>
            <w14:solidFill>
              <w14:schemeClr w14:val="tx1"/>
            </w14:solidFill>
          </w14:textFill>
        </w:rPr>
        <w:t>00批次，则硫化废气年排放时间约2</w:t>
      </w:r>
      <w:r>
        <w:rPr>
          <w:rStyle w:val="63"/>
          <w:color w:val="000000" w:themeColor="text1"/>
          <w14:textFill>
            <w14:solidFill>
              <w14:schemeClr w14:val="tx1"/>
            </w14:solidFill>
          </w14:textFill>
        </w:rPr>
        <w:t>00</w:t>
      </w:r>
      <w:r>
        <w:rPr>
          <w:rStyle w:val="63"/>
          <w:rFonts w:hint="eastAsia"/>
          <w:color w:val="000000" w:themeColor="text1"/>
          <w14:textFill>
            <w14:solidFill>
              <w14:schemeClr w14:val="tx1"/>
            </w14:solidFill>
          </w14:textFill>
        </w:rPr>
        <w:t>h。本评价对两种不同的排放机制下的硫化废气进行分析，则项目硫化的产生及排放情况详见下表。</w:t>
      </w:r>
    </w:p>
    <w:p>
      <w:pPr>
        <w:pStyle w:val="18"/>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10</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不同工作机制下硫化过程中有组织废气的污染源强及排放现状</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1"/>
        <w:gridCol w:w="1016"/>
        <w:gridCol w:w="961"/>
        <w:gridCol w:w="1003"/>
        <w:gridCol w:w="721"/>
        <w:gridCol w:w="876"/>
        <w:gridCol w:w="961"/>
        <w:gridCol w:w="972"/>
        <w:gridCol w:w="8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blHeader/>
        </w:trPr>
        <w:tc>
          <w:tcPr>
            <w:tcW w:w="1731"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计算方法</w:t>
            </w:r>
          </w:p>
        </w:tc>
        <w:tc>
          <w:tcPr>
            <w:tcW w:w="1016"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污染物</w:t>
            </w:r>
          </w:p>
        </w:tc>
        <w:tc>
          <w:tcPr>
            <w:tcW w:w="3561" w:type="dxa"/>
            <w:gridSpan w:val="4"/>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有组织产生情况</w:t>
            </w:r>
          </w:p>
        </w:tc>
        <w:tc>
          <w:tcPr>
            <w:tcW w:w="2809" w:type="dxa"/>
            <w:gridSpan w:val="3"/>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blHeader/>
        </w:trPr>
        <w:tc>
          <w:tcPr>
            <w:tcW w:w="1731" w:type="dxa"/>
            <w:vMerge w:val="continue"/>
            <w:shd w:val="clear" w:color="auto" w:fill="auto"/>
            <w:vAlign w:val="center"/>
          </w:tcPr>
          <w:p>
            <w:pPr>
              <w:pStyle w:val="107"/>
              <w:rPr>
                <w:rStyle w:val="63"/>
                <w:color w:val="000000" w:themeColor="text1"/>
                <w14:textFill>
                  <w14:solidFill>
                    <w14:schemeClr w14:val="tx1"/>
                  </w14:solidFill>
                </w14:textFill>
              </w:rPr>
            </w:pPr>
          </w:p>
        </w:tc>
        <w:tc>
          <w:tcPr>
            <w:tcW w:w="1016" w:type="dxa"/>
            <w:vMerge w:val="continue"/>
            <w:shd w:val="clear" w:color="auto" w:fill="auto"/>
            <w:vAlign w:val="center"/>
          </w:tcPr>
          <w:p>
            <w:pPr>
              <w:pStyle w:val="107"/>
              <w:rPr>
                <w:rStyle w:val="63"/>
                <w:color w:val="000000" w:themeColor="text1"/>
                <w14:textFill>
                  <w14:solidFill>
                    <w14:schemeClr w14:val="tx1"/>
                  </w14:solidFill>
                </w14:textFill>
              </w:rPr>
            </w:pPr>
          </w:p>
        </w:tc>
        <w:tc>
          <w:tcPr>
            <w:tcW w:w="961"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收集量（kg/a）</w:t>
            </w:r>
          </w:p>
        </w:tc>
        <w:tc>
          <w:tcPr>
            <w:tcW w:w="1003"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721"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收集风量</w:t>
            </w:r>
            <w:r>
              <w:rPr>
                <w:rStyle w:val="63"/>
                <w:color w:val="000000" w:themeColor="text1"/>
                <w14:textFill>
                  <w14:solidFill>
                    <w14:schemeClr w14:val="tx1"/>
                  </w14:solidFill>
                </w14:textFill>
              </w:rPr>
              <w:t>(m³/h)</w:t>
            </w:r>
          </w:p>
        </w:tc>
        <w:tc>
          <w:tcPr>
            <w:tcW w:w="876"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产生浓度</w:t>
            </w:r>
            <w:r>
              <w:rPr>
                <w:rStyle w:val="63"/>
                <w:color w:val="000000" w:themeColor="text1"/>
                <w14:textFill>
                  <w14:solidFill>
                    <w14:schemeClr w14:val="tx1"/>
                  </w14:solidFill>
                </w14:textFill>
              </w:rPr>
              <w:t>(mg/m³)</w:t>
            </w:r>
          </w:p>
        </w:tc>
        <w:tc>
          <w:tcPr>
            <w:tcW w:w="961"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排放量（kg/a）</w:t>
            </w:r>
          </w:p>
        </w:tc>
        <w:tc>
          <w:tcPr>
            <w:tcW w:w="972"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876"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排放浓度</w:t>
            </w:r>
            <w:r>
              <w:rPr>
                <w:rStyle w:val="63"/>
                <w:color w:val="000000" w:themeColor="text1"/>
                <w14:textFill>
                  <w14:solidFill>
                    <w14:schemeClr w14:val="tx1"/>
                  </w14:solidFill>
                </w14:textFill>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7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瞬时浓度计算（2</w:t>
            </w:r>
            <w:r>
              <w:rPr>
                <w:rStyle w:val="63"/>
                <w:color w:val="000000" w:themeColor="text1"/>
                <w14:textFill>
                  <w14:solidFill>
                    <w14:schemeClr w14:val="tx1"/>
                  </w14:solidFill>
                </w14:textFill>
              </w:rPr>
              <w:t>00h</w:t>
            </w:r>
            <w:r>
              <w:rPr>
                <w:rStyle w:val="63"/>
                <w:rFonts w:hint="eastAsia"/>
                <w:color w:val="000000" w:themeColor="text1"/>
                <w14:textFill>
                  <w14:solidFill>
                    <w14:schemeClr w14:val="tx1"/>
                  </w14:solidFill>
                </w14:textFill>
              </w:rPr>
              <w:t>）</w:t>
            </w:r>
          </w:p>
        </w:tc>
        <w:tc>
          <w:tcPr>
            <w:tcW w:w="101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961"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87.3</w:t>
            </w:r>
            <w:r>
              <w:rPr>
                <w:rStyle w:val="63"/>
                <w:rFonts w:hint="eastAsia"/>
                <w:color w:val="000000" w:themeColor="text1"/>
                <w14:textFill>
                  <w14:solidFill>
                    <w14:schemeClr w14:val="tx1"/>
                  </w14:solidFill>
                </w14:textFill>
              </w:rPr>
              <w:t xml:space="preserve"> </w:t>
            </w:r>
          </w:p>
        </w:tc>
        <w:tc>
          <w:tcPr>
            <w:tcW w:w="1003"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4365</w:t>
            </w:r>
            <w:r>
              <w:rPr>
                <w:rStyle w:val="63"/>
                <w:rFonts w:hint="eastAsia"/>
                <w:color w:val="000000" w:themeColor="text1"/>
                <w14:textFill>
                  <w14:solidFill>
                    <w14:schemeClr w14:val="tx1"/>
                  </w14:solidFill>
                </w14:textFill>
              </w:rPr>
              <w:t xml:space="preserve"> </w:t>
            </w:r>
          </w:p>
        </w:tc>
        <w:tc>
          <w:tcPr>
            <w:tcW w:w="721"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876" w:type="dxa"/>
            <w:tcBorders>
              <w:top w:val="single" w:color="auto" w:sz="4" w:space="0"/>
              <w:left w:val="nil"/>
              <w:bottom w:val="single" w:color="auto" w:sz="4" w:space="0"/>
              <w:right w:val="nil"/>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9.84</w:t>
            </w:r>
          </w:p>
        </w:tc>
        <w:tc>
          <w:tcPr>
            <w:tcW w:w="96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13.095</w:t>
            </w:r>
          </w:p>
        </w:tc>
        <w:tc>
          <w:tcPr>
            <w:tcW w:w="972"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6547</w:t>
            </w:r>
            <w:r>
              <w:rPr>
                <w:rStyle w:val="63"/>
                <w:rFonts w:hint="eastAsia"/>
                <w:color w:val="000000" w:themeColor="text1"/>
                <w14:textFill>
                  <w14:solidFill>
                    <w14:schemeClr w14:val="tx1"/>
                  </w14:solidFill>
                </w14:textFill>
              </w:rPr>
              <w:t xml:space="preserve"> </w:t>
            </w:r>
          </w:p>
        </w:tc>
        <w:tc>
          <w:tcPr>
            <w:tcW w:w="876"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7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平均浓度计算（</w:t>
            </w:r>
            <w:r>
              <w:rPr>
                <w:rStyle w:val="63"/>
                <w:color w:val="000000" w:themeColor="text1"/>
                <w14:textFill>
                  <w14:solidFill>
                    <w14:schemeClr w14:val="tx1"/>
                  </w14:solidFill>
                </w14:textFill>
              </w:rPr>
              <w:t>2400h</w:t>
            </w:r>
            <w:r>
              <w:rPr>
                <w:rStyle w:val="63"/>
                <w:rFonts w:hint="eastAsia"/>
                <w:color w:val="000000" w:themeColor="text1"/>
                <w14:textFill>
                  <w14:solidFill>
                    <w14:schemeClr w14:val="tx1"/>
                  </w14:solidFill>
                </w14:textFill>
              </w:rPr>
              <w:t>）</w:t>
            </w:r>
          </w:p>
        </w:tc>
        <w:tc>
          <w:tcPr>
            <w:tcW w:w="101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961"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87.3</w:t>
            </w:r>
          </w:p>
        </w:tc>
        <w:tc>
          <w:tcPr>
            <w:tcW w:w="1003" w:type="dxa"/>
            <w:tcBorders>
              <w:top w:val="single" w:color="auto" w:sz="4" w:space="0"/>
              <w:bottom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3638</w:t>
            </w:r>
            <w:r>
              <w:rPr>
                <w:rStyle w:val="63"/>
                <w:rFonts w:hint="eastAsia"/>
                <w:color w:val="000000" w:themeColor="text1"/>
                <w14:textFill>
                  <w14:solidFill>
                    <w14:schemeClr w14:val="tx1"/>
                  </w14:solidFill>
                </w14:textFill>
              </w:rPr>
              <w:t xml:space="preserve"> </w:t>
            </w:r>
          </w:p>
        </w:tc>
        <w:tc>
          <w:tcPr>
            <w:tcW w:w="721" w:type="dxa"/>
            <w:tcBorders>
              <w:top w:val="single" w:color="auto" w:sz="4" w:space="0"/>
              <w:bottom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876" w:type="dxa"/>
            <w:tcBorders>
              <w:top w:val="single" w:color="auto" w:sz="4" w:space="0"/>
              <w:bottom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.65</w:t>
            </w:r>
            <w:r>
              <w:rPr>
                <w:rStyle w:val="63"/>
                <w:rFonts w:hint="eastAsia"/>
                <w:color w:val="000000" w:themeColor="text1"/>
                <w14:textFill>
                  <w14:solidFill>
                    <w14:schemeClr w14:val="tx1"/>
                  </w14:solidFill>
                </w14:textFill>
              </w:rPr>
              <w:t xml:space="preserve"> </w:t>
            </w:r>
          </w:p>
        </w:tc>
        <w:tc>
          <w:tcPr>
            <w:tcW w:w="961" w:type="dxa"/>
            <w:tcBorders>
              <w:top w:val="single" w:color="auto" w:sz="4" w:space="0"/>
              <w:bottom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13.095</w:t>
            </w:r>
          </w:p>
        </w:tc>
        <w:tc>
          <w:tcPr>
            <w:tcW w:w="972" w:type="dxa"/>
            <w:tcBorders>
              <w:top w:val="single" w:color="auto" w:sz="4" w:space="0"/>
              <w:bottom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05466</w:t>
            </w:r>
          </w:p>
        </w:tc>
        <w:tc>
          <w:tcPr>
            <w:tcW w:w="876" w:type="dxa"/>
            <w:tcBorders>
              <w:top w:val="single" w:color="auto" w:sz="4" w:space="0"/>
              <w:bottom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248</w:t>
            </w:r>
            <w:r>
              <w:rPr>
                <w:rStyle w:val="63"/>
                <w:rFonts w:hint="eastAsia"/>
                <w:color w:val="000000" w:themeColor="text1"/>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7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处理前</w:t>
            </w:r>
            <w:r>
              <w:rPr>
                <w:rStyle w:val="63"/>
                <w:color w:val="000000" w:themeColor="text1"/>
                <w14:textFill>
                  <w14:solidFill>
                    <w14:schemeClr w14:val="tx1"/>
                  </w14:solidFill>
                </w14:textFill>
              </w:rPr>
              <w:t>实测数据折算</w:t>
            </w:r>
          </w:p>
        </w:tc>
        <w:tc>
          <w:tcPr>
            <w:tcW w:w="101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96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3.</w:t>
            </w:r>
            <w:r>
              <w:rPr>
                <w:rStyle w:val="63"/>
                <w:color w:val="000000" w:themeColor="text1"/>
                <w14:textFill>
                  <w14:solidFill>
                    <w14:schemeClr w14:val="tx1"/>
                  </w14:solidFill>
                </w14:textFill>
              </w:rPr>
              <w:t>3</w:t>
            </w:r>
          </w:p>
        </w:tc>
        <w:tc>
          <w:tcPr>
            <w:tcW w:w="1003" w:type="dxa"/>
            <w:tcBorders>
              <w:top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w:t>
            </w:r>
            <w:r>
              <w:rPr>
                <w:rStyle w:val="63"/>
                <w:color w:val="000000" w:themeColor="text1"/>
                <w14:textFill>
                  <w14:solidFill>
                    <w14:schemeClr w14:val="tx1"/>
                  </w14:solidFill>
                </w14:textFill>
              </w:rPr>
              <w:t>375</w:t>
            </w:r>
            <w:r>
              <w:rPr>
                <w:rStyle w:val="63"/>
                <w:rFonts w:hint="eastAsia"/>
                <w:color w:val="000000" w:themeColor="text1"/>
                <w14:textFill>
                  <w14:solidFill>
                    <w14:schemeClr w14:val="tx1"/>
                  </w14:solidFill>
                </w14:textFill>
              </w:rPr>
              <w:t xml:space="preserve"> </w:t>
            </w:r>
          </w:p>
        </w:tc>
        <w:tc>
          <w:tcPr>
            <w:tcW w:w="721" w:type="dxa"/>
            <w:tcBorders>
              <w:top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876" w:type="dxa"/>
            <w:tcBorders>
              <w:top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625</w:t>
            </w:r>
          </w:p>
        </w:tc>
        <w:tc>
          <w:tcPr>
            <w:tcW w:w="961" w:type="dxa"/>
            <w:tcBorders>
              <w:top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495</w:t>
            </w:r>
            <w:r>
              <w:rPr>
                <w:rStyle w:val="63"/>
                <w:rFonts w:hint="eastAsia"/>
                <w:color w:val="000000" w:themeColor="text1"/>
                <w14:textFill>
                  <w14:solidFill>
                    <w14:schemeClr w14:val="tx1"/>
                  </w14:solidFill>
                </w14:textFill>
              </w:rPr>
              <w:t xml:space="preserve"> </w:t>
            </w:r>
          </w:p>
        </w:tc>
        <w:tc>
          <w:tcPr>
            <w:tcW w:w="972" w:type="dxa"/>
            <w:tcBorders>
              <w:top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w:t>
            </w:r>
            <w:r>
              <w:rPr>
                <w:rStyle w:val="63"/>
                <w:color w:val="000000" w:themeColor="text1"/>
                <w14:textFill>
                  <w14:solidFill>
                    <w14:schemeClr w14:val="tx1"/>
                  </w14:solidFill>
                </w14:textFill>
              </w:rPr>
              <w:t>0206</w:t>
            </w:r>
          </w:p>
        </w:tc>
        <w:tc>
          <w:tcPr>
            <w:tcW w:w="876" w:type="dxa"/>
            <w:tcBorders>
              <w:top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0936</w:t>
            </w:r>
          </w:p>
        </w:tc>
      </w:tr>
    </w:tbl>
    <w:p>
      <w:pPr>
        <w:pStyle w:val="162"/>
        <w:numPr>
          <w:ilvl w:val="0"/>
          <w:numId w:val="0"/>
        </w:numPr>
      </w:pPr>
      <w:r>
        <w:t>拟采取的措施</w:t>
      </w:r>
    </w:p>
    <w:p>
      <w:pPr>
        <w:ind w:firstLine="480"/>
        <w:rPr>
          <w:color w:val="000000" w:themeColor="text1"/>
          <w14:textFill>
            <w14:solidFill>
              <w14:schemeClr w14:val="tx1"/>
            </w14:solidFill>
          </w14:textFill>
        </w:rPr>
      </w:pPr>
      <w:r>
        <w:rPr>
          <w:rFonts w:hint="eastAsia" w:eastAsiaTheme="minorEastAsia"/>
        </w:rPr>
        <w:t>硫化机数量（</w:t>
      </w:r>
      <w:r>
        <w:rPr>
          <w:rFonts w:eastAsiaTheme="minorEastAsia"/>
        </w:rPr>
        <w:t>1</w:t>
      </w:r>
      <w:r>
        <w:rPr>
          <w:rFonts w:hint="eastAsia" w:eastAsiaTheme="minorEastAsia"/>
        </w:rPr>
        <w:t>0台），在硫化车间硫化机组侧上方设集气罩，对硫化机组打开瞬间的废气进行收集，</w:t>
      </w:r>
      <w:r>
        <w:rPr>
          <w:rStyle w:val="63"/>
          <w:color w:val="000000" w:themeColor="text1"/>
          <w14:textFill>
            <w14:solidFill>
              <w14:schemeClr w14:val="tx1"/>
            </w14:solidFill>
          </w14:textFill>
        </w:rPr>
        <w:t>加强硫化车间密闭</w:t>
      </w:r>
      <w:r>
        <w:rPr>
          <w:rStyle w:val="63"/>
          <w:rFonts w:hint="eastAsia"/>
          <w:color w:val="000000" w:themeColor="text1"/>
          <w14:textFill>
            <w14:solidFill>
              <w14:schemeClr w14:val="tx1"/>
            </w14:solidFill>
          </w14:textFill>
        </w:rPr>
        <w:t>状态，生产时应关闭大门、窗户，在硫化机原有集气罩四周配备P</w:t>
      </w:r>
      <w:r>
        <w:rPr>
          <w:rStyle w:val="63"/>
          <w:color w:val="000000" w:themeColor="text1"/>
          <w14:textFill>
            <w14:solidFill>
              <w14:schemeClr w14:val="tx1"/>
            </w14:solidFill>
          </w14:textFill>
        </w:rPr>
        <w:t>VC软帘，</w:t>
      </w:r>
      <w:r>
        <w:rPr>
          <w:rStyle w:val="63"/>
          <w:rFonts w:hint="eastAsia"/>
          <w:color w:val="000000" w:themeColor="text1"/>
          <w14:textFill>
            <w14:solidFill>
              <w14:schemeClr w14:val="tx1"/>
            </w14:solidFill>
          </w14:textFill>
        </w:rPr>
        <w:t>进行局部围合，收集效率为9</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%左右，硫化废气收集后与其他废气一起进入“喷淋塔+</w:t>
      </w:r>
      <w:r>
        <w:rPr>
          <w:rStyle w:val="63"/>
          <w:color w:val="000000" w:themeColor="text1"/>
          <w14:textFill>
            <w14:solidFill>
              <w14:schemeClr w14:val="tx1"/>
            </w14:solidFill>
          </w14:textFill>
        </w:rPr>
        <w:t>UV</w:t>
      </w:r>
      <w:r>
        <w:rPr>
          <w:rStyle w:val="63"/>
          <w:rFonts w:hint="eastAsia"/>
          <w:color w:val="000000" w:themeColor="text1"/>
          <w14:textFill>
            <w14:solidFill>
              <w14:schemeClr w14:val="tx1"/>
            </w14:solidFill>
          </w14:textFill>
        </w:rPr>
        <w:t>光解+活性炭吸附”处理系统净化，最终由1</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m高的排气筒（P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）排放。总处理风量为</w:t>
      </w: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r>
        <w:rPr>
          <w:rStyle w:val="63"/>
          <w:color w:val="000000" w:themeColor="text1"/>
          <w14:textFill>
            <w14:solidFill>
              <w14:schemeClr w14:val="tx1"/>
            </w14:solidFill>
          </w14:textFill>
        </w:rPr>
        <w:t xml:space="preserve"> m³/h</w:t>
      </w:r>
      <w:r>
        <w:rPr>
          <w:rStyle w:val="63"/>
          <w:rFonts w:hint="eastAsia"/>
          <w:color w:val="000000" w:themeColor="text1"/>
          <w14:textFill>
            <w14:solidFill>
              <w14:schemeClr w14:val="tx1"/>
            </w14:solidFill>
          </w14:textFill>
        </w:rPr>
        <w:t xml:space="preserve"> 。</w:t>
      </w:r>
    </w:p>
    <w:p>
      <w:pPr>
        <w:pStyle w:val="162"/>
        <w:numPr>
          <w:ilvl w:val="0"/>
          <w:numId w:val="0"/>
        </w:numPr>
        <w:rPr>
          <w:rStyle w:val="63"/>
          <w:color w:val="000000" w:themeColor="text1"/>
          <w14:textFill>
            <w14:solidFill>
              <w14:schemeClr w14:val="tx1"/>
            </w14:solidFill>
          </w14:textFill>
        </w:rPr>
      </w:pPr>
      <w:r>
        <w:rPr>
          <w:rStyle w:val="63"/>
          <w:color w:val="000000" w:themeColor="text1"/>
          <w14:textFill>
            <w14:solidFill>
              <w14:schemeClr w14:val="tx1"/>
            </w14:solidFill>
          </w14:textFill>
        </w:rPr>
        <w:t>整改后排放情况</w:t>
      </w:r>
    </w:p>
    <w:p>
      <w:pPr>
        <w:pStyle w:val="126"/>
        <w:numPr>
          <w:ilvl w:val="0"/>
          <w:numId w:val="30"/>
        </w:numPr>
        <w:ind w:firstLine="482" w:firstLineChars="20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有组织排放</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本次评价水喷淋对有机废气的去除效率取2</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，UV光解去除效率取4</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，活性吸附去除效率取8</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%，计算得出“水喷淋+UV光解+活性炭吸附装置”对有机废气的综合处理效率为</w:t>
      </w:r>
      <w:r>
        <w:rPr>
          <w:rStyle w:val="63"/>
          <w:color w:val="000000" w:themeColor="text1"/>
          <w14:textFill>
            <w14:solidFill>
              <w14:schemeClr w14:val="tx1"/>
            </w14:solidFill>
          </w14:textFill>
        </w:rPr>
        <w:t>92</w:t>
      </w:r>
      <w:r>
        <w:rPr>
          <w:rStyle w:val="63"/>
          <w:rFonts w:hint="eastAsia"/>
          <w:color w:val="000000" w:themeColor="text1"/>
          <w14:textFill>
            <w14:solidFill>
              <w14:schemeClr w14:val="tx1"/>
            </w14:solidFill>
          </w14:textFill>
        </w:rPr>
        <w:t>%左右。则项目硫化过程中的污染源强及排放情况见下表。</w:t>
      </w:r>
    </w:p>
    <w:p>
      <w:pPr>
        <w:pStyle w:val="18"/>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11</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整改后硫化过程中有组织排放的废气的污染源强及排放情况</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7"/>
        <w:gridCol w:w="1121"/>
        <w:gridCol w:w="890"/>
        <w:gridCol w:w="900"/>
        <w:gridCol w:w="673"/>
        <w:gridCol w:w="813"/>
        <w:gridCol w:w="890"/>
        <w:gridCol w:w="900"/>
        <w:gridCol w:w="8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blHeader/>
        </w:trPr>
        <w:tc>
          <w:tcPr>
            <w:tcW w:w="2117"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计算方法</w:t>
            </w:r>
          </w:p>
        </w:tc>
        <w:tc>
          <w:tcPr>
            <w:tcW w:w="1121"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污染物</w:t>
            </w:r>
          </w:p>
        </w:tc>
        <w:tc>
          <w:tcPr>
            <w:tcW w:w="3276" w:type="dxa"/>
            <w:gridSpan w:val="4"/>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有组织产生情况</w:t>
            </w:r>
          </w:p>
        </w:tc>
        <w:tc>
          <w:tcPr>
            <w:tcW w:w="2603" w:type="dxa"/>
            <w:gridSpan w:val="3"/>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blHeader/>
        </w:trPr>
        <w:tc>
          <w:tcPr>
            <w:tcW w:w="2117" w:type="dxa"/>
            <w:vMerge w:val="continue"/>
            <w:shd w:val="clear" w:color="auto" w:fill="auto"/>
            <w:vAlign w:val="center"/>
          </w:tcPr>
          <w:p>
            <w:pPr>
              <w:pStyle w:val="107"/>
              <w:rPr>
                <w:rStyle w:val="63"/>
                <w:color w:val="000000" w:themeColor="text1"/>
                <w14:textFill>
                  <w14:solidFill>
                    <w14:schemeClr w14:val="tx1"/>
                  </w14:solidFill>
                </w14:textFill>
              </w:rPr>
            </w:pPr>
          </w:p>
        </w:tc>
        <w:tc>
          <w:tcPr>
            <w:tcW w:w="1121" w:type="dxa"/>
            <w:vMerge w:val="continue"/>
            <w:shd w:val="clear" w:color="auto" w:fill="auto"/>
            <w:vAlign w:val="center"/>
          </w:tcPr>
          <w:p>
            <w:pPr>
              <w:pStyle w:val="107"/>
              <w:rPr>
                <w:rStyle w:val="63"/>
                <w:color w:val="000000" w:themeColor="text1"/>
                <w14:textFill>
                  <w14:solidFill>
                    <w14:schemeClr w14:val="tx1"/>
                  </w14:solidFill>
                </w14:textFill>
              </w:rPr>
            </w:pPr>
          </w:p>
        </w:tc>
        <w:tc>
          <w:tcPr>
            <w:tcW w:w="890"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收集量（kg/a）</w:t>
            </w:r>
          </w:p>
        </w:tc>
        <w:tc>
          <w:tcPr>
            <w:tcW w:w="900"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6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收集风量</w:t>
            </w:r>
            <w:r>
              <w:rPr>
                <w:rStyle w:val="63"/>
                <w:color w:val="000000" w:themeColor="text1"/>
                <w14:textFill>
                  <w14:solidFill>
                    <w14:schemeClr w14:val="tx1"/>
                  </w14:solidFill>
                </w14:textFill>
              </w:rPr>
              <w:t>(m³/h)</w:t>
            </w:r>
          </w:p>
        </w:tc>
        <w:tc>
          <w:tcPr>
            <w:tcW w:w="813"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产生浓度</w:t>
            </w:r>
            <w:r>
              <w:rPr>
                <w:rStyle w:val="63"/>
                <w:color w:val="000000" w:themeColor="text1"/>
                <w14:textFill>
                  <w14:solidFill>
                    <w14:schemeClr w14:val="tx1"/>
                  </w14:solidFill>
                </w14:textFill>
              </w:rPr>
              <w:t>(mg/m³)</w:t>
            </w:r>
          </w:p>
        </w:tc>
        <w:tc>
          <w:tcPr>
            <w:tcW w:w="890"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排放量（kg/a）</w:t>
            </w:r>
          </w:p>
        </w:tc>
        <w:tc>
          <w:tcPr>
            <w:tcW w:w="900"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813"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排放浓度</w:t>
            </w:r>
            <w:r>
              <w:rPr>
                <w:rStyle w:val="63"/>
                <w:color w:val="000000" w:themeColor="text1"/>
                <w14:textFill>
                  <w14:solidFill>
                    <w14:schemeClr w14:val="tx1"/>
                  </w14:solidFill>
                </w14:textFill>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11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瞬时浓度计算（2</w:t>
            </w:r>
            <w:r>
              <w:rPr>
                <w:rStyle w:val="63"/>
                <w:color w:val="000000" w:themeColor="text1"/>
                <w14:textFill>
                  <w14:solidFill>
                    <w14:schemeClr w14:val="tx1"/>
                  </w14:solidFill>
                </w14:textFill>
              </w:rPr>
              <w:t>00h</w:t>
            </w:r>
            <w:r>
              <w:rPr>
                <w:rStyle w:val="63"/>
                <w:rFonts w:hint="eastAsia"/>
                <w:color w:val="000000" w:themeColor="text1"/>
                <w14:textFill>
                  <w14:solidFill>
                    <w14:schemeClr w14:val="tx1"/>
                  </w14:solidFill>
                </w14:textFill>
              </w:rPr>
              <w:t>）</w:t>
            </w:r>
          </w:p>
        </w:tc>
        <w:tc>
          <w:tcPr>
            <w:tcW w:w="112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89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10</w:t>
            </w:r>
            <w:r>
              <w:rPr>
                <w:rStyle w:val="63"/>
                <w:color w:val="000000" w:themeColor="text1"/>
                <w14:textFill>
                  <w14:solidFill>
                    <w14:schemeClr w14:val="tx1"/>
                  </w14:solidFill>
                </w14:textFill>
              </w:rPr>
              <w:t>4.76</w:t>
            </w:r>
            <w:r>
              <w:rPr>
                <w:rStyle w:val="63"/>
                <w:rFonts w:hint="eastAsia"/>
                <w:color w:val="000000" w:themeColor="text1"/>
                <w14:textFill>
                  <w14:solidFill>
                    <w14:schemeClr w14:val="tx1"/>
                  </w14:solidFill>
                </w14:textFill>
              </w:rPr>
              <w:t xml:space="preserve"> </w:t>
            </w:r>
          </w:p>
        </w:tc>
        <w:tc>
          <w:tcPr>
            <w:tcW w:w="90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5238</w:t>
            </w:r>
            <w:r>
              <w:rPr>
                <w:rStyle w:val="63"/>
                <w:rFonts w:hint="eastAsia"/>
                <w:color w:val="000000" w:themeColor="text1"/>
                <w14:textFill>
                  <w14:solidFill>
                    <w14:schemeClr w14:val="tx1"/>
                  </w14:solidFill>
                </w14:textFill>
              </w:rPr>
              <w:t xml:space="preserve"> </w:t>
            </w:r>
          </w:p>
        </w:tc>
        <w:tc>
          <w:tcPr>
            <w:tcW w:w="673"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813"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23.81</w:t>
            </w:r>
            <w:r>
              <w:rPr>
                <w:rStyle w:val="63"/>
                <w:rFonts w:hint="eastAsia"/>
                <w:color w:val="000000" w:themeColor="text1"/>
                <w14:textFill>
                  <w14:solidFill>
                    <w14:schemeClr w14:val="tx1"/>
                  </w14:solidFill>
                </w14:textFill>
              </w:rPr>
              <w:t xml:space="preserve"> </w:t>
            </w:r>
          </w:p>
        </w:tc>
        <w:tc>
          <w:tcPr>
            <w:tcW w:w="890"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8.381</w:t>
            </w:r>
            <w:r>
              <w:rPr>
                <w:rStyle w:val="63"/>
                <w:rFonts w:hint="eastAsia"/>
                <w:color w:val="000000" w:themeColor="text1"/>
                <w14:textFill>
                  <w14:solidFill>
                    <w14:schemeClr w14:val="tx1"/>
                  </w14:solidFill>
                </w14:textFill>
              </w:rPr>
              <w:t xml:space="preserve"> </w:t>
            </w:r>
          </w:p>
        </w:tc>
        <w:tc>
          <w:tcPr>
            <w:tcW w:w="90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419</w:t>
            </w:r>
            <w:r>
              <w:rPr>
                <w:rStyle w:val="63"/>
                <w:rFonts w:hint="eastAsia"/>
                <w:color w:val="000000" w:themeColor="text1"/>
                <w14:textFill>
                  <w14:solidFill>
                    <w14:schemeClr w14:val="tx1"/>
                  </w14:solidFill>
                </w14:textFill>
              </w:rPr>
              <w:t xml:space="preserve"> </w:t>
            </w:r>
          </w:p>
        </w:tc>
        <w:tc>
          <w:tcPr>
            <w:tcW w:w="813"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90</w:t>
            </w:r>
            <w:r>
              <w:rPr>
                <w:rStyle w:val="63"/>
                <w:rFonts w:hint="eastAsia"/>
                <w:color w:val="000000" w:themeColor="text1"/>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11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平均浓度计算（</w:t>
            </w:r>
            <w:r>
              <w:rPr>
                <w:rStyle w:val="63"/>
                <w:color w:val="000000" w:themeColor="text1"/>
                <w14:textFill>
                  <w14:solidFill>
                    <w14:schemeClr w14:val="tx1"/>
                  </w14:solidFill>
                </w14:textFill>
              </w:rPr>
              <w:t>2400h</w:t>
            </w:r>
            <w:r>
              <w:rPr>
                <w:rStyle w:val="63"/>
                <w:rFonts w:hint="eastAsia"/>
                <w:color w:val="000000" w:themeColor="text1"/>
                <w14:textFill>
                  <w14:solidFill>
                    <w14:schemeClr w14:val="tx1"/>
                  </w14:solidFill>
                </w14:textFill>
              </w:rPr>
              <w:t>）</w:t>
            </w:r>
          </w:p>
        </w:tc>
        <w:tc>
          <w:tcPr>
            <w:tcW w:w="112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89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10</w:t>
            </w:r>
            <w:r>
              <w:rPr>
                <w:rStyle w:val="63"/>
                <w:color w:val="000000" w:themeColor="text1"/>
                <w14:textFill>
                  <w14:solidFill>
                    <w14:schemeClr w14:val="tx1"/>
                  </w14:solidFill>
                </w14:textFill>
              </w:rPr>
              <w:t>4.76</w:t>
            </w:r>
          </w:p>
        </w:tc>
        <w:tc>
          <w:tcPr>
            <w:tcW w:w="90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4365</w:t>
            </w:r>
            <w:r>
              <w:rPr>
                <w:rStyle w:val="63"/>
                <w:rFonts w:hint="eastAsia"/>
                <w:color w:val="000000" w:themeColor="text1"/>
                <w14:textFill>
                  <w14:solidFill>
                    <w14:schemeClr w14:val="tx1"/>
                  </w14:solidFill>
                </w14:textFill>
              </w:rPr>
              <w:t xml:space="preserve"> </w:t>
            </w:r>
          </w:p>
        </w:tc>
        <w:tc>
          <w:tcPr>
            <w:tcW w:w="673"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813"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98</w:t>
            </w:r>
            <w:r>
              <w:rPr>
                <w:rStyle w:val="63"/>
                <w:rFonts w:hint="eastAsia"/>
                <w:color w:val="000000" w:themeColor="text1"/>
                <w14:textFill>
                  <w14:solidFill>
                    <w14:schemeClr w14:val="tx1"/>
                  </w14:solidFill>
                </w14:textFill>
              </w:rPr>
              <w:t xml:space="preserve"> </w:t>
            </w:r>
          </w:p>
        </w:tc>
        <w:tc>
          <w:tcPr>
            <w:tcW w:w="890"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8.381</w:t>
            </w:r>
          </w:p>
        </w:tc>
        <w:tc>
          <w:tcPr>
            <w:tcW w:w="90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w:t>
            </w:r>
            <w:r>
              <w:rPr>
                <w:rStyle w:val="63"/>
                <w:color w:val="000000" w:themeColor="text1"/>
                <w14:textFill>
                  <w14:solidFill>
                    <w14:schemeClr w14:val="tx1"/>
                  </w14:solidFill>
                </w14:textFill>
              </w:rPr>
              <w:t>35</w:t>
            </w:r>
          </w:p>
        </w:tc>
        <w:tc>
          <w:tcPr>
            <w:tcW w:w="813"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0.1</w:t>
            </w:r>
            <w:r>
              <w:rPr>
                <w:rStyle w:val="63"/>
                <w:color w:val="000000" w:themeColor="text1"/>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11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处理前</w:t>
            </w:r>
            <w:r>
              <w:rPr>
                <w:rStyle w:val="63"/>
                <w:color w:val="000000" w:themeColor="text1"/>
                <w14:textFill>
                  <w14:solidFill>
                    <w14:schemeClr w14:val="tx1"/>
                  </w14:solidFill>
                </w14:textFill>
              </w:rPr>
              <w:t>实测数据折算</w:t>
            </w:r>
          </w:p>
        </w:tc>
        <w:tc>
          <w:tcPr>
            <w:tcW w:w="112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890"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3.96</w:t>
            </w:r>
            <w:r>
              <w:rPr>
                <w:rStyle w:val="63"/>
                <w:rFonts w:hint="eastAsia"/>
                <w:color w:val="000000" w:themeColor="text1"/>
                <w14:textFill>
                  <w14:solidFill>
                    <w14:schemeClr w14:val="tx1"/>
                  </w14:solidFill>
                </w14:textFill>
              </w:rPr>
              <w:t xml:space="preserve"> </w:t>
            </w:r>
          </w:p>
        </w:tc>
        <w:tc>
          <w:tcPr>
            <w:tcW w:w="90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w:t>
            </w:r>
            <w:r>
              <w:rPr>
                <w:rStyle w:val="63"/>
                <w:color w:val="000000" w:themeColor="text1"/>
                <w14:textFill>
                  <w14:solidFill>
                    <w14:schemeClr w14:val="tx1"/>
                  </w14:solidFill>
                </w14:textFill>
              </w:rPr>
              <w:t>165</w:t>
            </w:r>
            <w:r>
              <w:rPr>
                <w:rStyle w:val="63"/>
                <w:rFonts w:hint="eastAsia"/>
                <w:color w:val="000000" w:themeColor="text1"/>
                <w14:textFill>
                  <w14:solidFill>
                    <w14:schemeClr w14:val="tx1"/>
                  </w14:solidFill>
                </w14:textFill>
              </w:rPr>
              <w:t xml:space="preserve"> </w:t>
            </w:r>
          </w:p>
        </w:tc>
        <w:tc>
          <w:tcPr>
            <w:tcW w:w="673"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813"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75</w:t>
            </w:r>
            <w:r>
              <w:rPr>
                <w:rStyle w:val="63"/>
                <w:rFonts w:hint="eastAsia"/>
                <w:color w:val="000000" w:themeColor="text1"/>
                <w14:textFill>
                  <w14:solidFill>
                    <w14:schemeClr w14:val="tx1"/>
                  </w14:solidFill>
                </w14:textFill>
              </w:rPr>
              <w:t xml:space="preserve"> </w:t>
            </w:r>
          </w:p>
        </w:tc>
        <w:tc>
          <w:tcPr>
            <w:tcW w:w="89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0.3</w:t>
            </w:r>
            <w:r>
              <w:rPr>
                <w:rStyle w:val="63"/>
                <w:color w:val="000000" w:themeColor="text1"/>
                <w14:textFill>
                  <w14:solidFill>
                    <w14:schemeClr w14:val="tx1"/>
                  </w14:solidFill>
                </w14:textFill>
              </w:rPr>
              <w:t>168</w:t>
            </w:r>
            <w:r>
              <w:rPr>
                <w:rStyle w:val="63"/>
                <w:rFonts w:hint="eastAsia"/>
                <w:color w:val="000000" w:themeColor="text1"/>
                <w14:textFill>
                  <w14:solidFill>
                    <w14:schemeClr w14:val="tx1"/>
                  </w14:solidFill>
                </w14:textFill>
              </w:rPr>
              <w:t xml:space="preserve"> </w:t>
            </w:r>
          </w:p>
        </w:tc>
        <w:tc>
          <w:tcPr>
            <w:tcW w:w="900"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0.000132</w:t>
            </w:r>
          </w:p>
        </w:tc>
        <w:tc>
          <w:tcPr>
            <w:tcW w:w="813"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0.006</w:t>
            </w:r>
          </w:p>
        </w:tc>
      </w:tr>
    </w:tbl>
    <w:p>
      <w:pPr>
        <w:pStyle w:val="126"/>
        <w:numPr>
          <w:ilvl w:val="0"/>
          <w:numId w:val="30"/>
        </w:numPr>
        <w:ind w:firstLine="482" w:firstLineChars="20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无组织排放</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项目在硫化过程中大约有</w:t>
      </w:r>
      <w:r>
        <w:rPr>
          <w:rStyle w:val="63"/>
          <w:color w:val="000000" w:themeColor="text1"/>
          <w14:textFill>
            <w14:solidFill>
              <w14:schemeClr w14:val="tx1"/>
            </w14:solidFill>
          </w14:textFill>
        </w:rPr>
        <w:t>10</w:t>
      </w:r>
      <w:r>
        <w:rPr>
          <w:rStyle w:val="63"/>
          <w:rFonts w:hint="eastAsia"/>
          <w:color w:val="000000" w:themeColor="text1"/>
          <w14:textFill>
            <w14:solidFill>
              <w14:schemeClr w14:val="tx1"/>
            </w14:solidFill>
          </w14:textFill>
        </w:rPr>
        <w:t>%的废气未被收集到，则硫化过程无组织排放情况见下表。</w:t>
      </w:r>
    </w:p>
    <w:p>
      <w:pPr>
        <w:pStyle w:val="18"/>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12</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整改后正常工况下硫化过程中无组织排放源强及排放参数</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7"/>
        <w:gridCol w:w="1264"/>
        <w:gridCol w:w="992"/>
        <w:gridCol w:w="922"/>
        <w:gridCol w:w="1174"/>
        <w:gridCol w:w="1174"/>
        <w:gridCol w:w="1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blHeader/>
        </w:trPr>
        <w:tc>
          <w:tcPr>
            <w:tcW w:w="2417" w:type="dxa"/>
            <w:vMerge w:val="restart"/>
            <w:shd w:val="clear" w:color="auto" w:fill="auto"/>
            <w:noWrap/>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污染源</w:t>
            </w:r>
          </w:p>
        </w:tc>
        <w:tc>
          <w:tcPr>
            <w:tcW w:w="1264" w:type="dxa"/>
            <w:vMerge w:val="restart"/>
            <w:shd w:val="clear" w:color="auto" w:fill="auto"/>
            <w:noWrap/>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污染物</w:t>
            </w:r>
          </w:p>
        </w:tc>
        <w:tc>
          <w:tcPr>
            <w:tcW w:w="1914" w:type="dxa"/>
            <w:gridSpan w:val="2"/>
            <w:shd w:val="clear" w:color="auto" w:fill="auto"/>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无组织（未收集）</w:t>
            </w:r>
          </w:p>
        </w:tc>
        <w:tc>
          <w:tcPr>
            <w:tcW w:w="1174" w:type="dxa"/>
            <w:shd w:val="clear" w:color="auto" w:fill="auto"/>
            <w:noWrap/>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排放高度</w:t>
            </w:r>
          </w:p>
        </w:tc>
        <w:tc>
          <w:tcPr>
            <w:tcW w:w="1174" w:type="dxa"/>
            <w:shd w:val="clear" w:color="auto" w:fill="auto"/>
            <w:noWrap/>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面源长度</w:t>
            </w:r>
          </w:p>
        </w:tc>
        <w:tc>
          <w:tcPr>
            <w:tcW w:w="1174" w:type="dxa"/>
            <w:shd w:val="clear" w:color="auto" w:fill="auto"/>
            <w:noWrap/>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面源宽度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5" w:hRule="atLeast"/>
          <w:tblHeader/>
        </w:trPr>
        <w:tc>
          <w:tcPr>
            <w:tcW w:w="2417" w:type="dxa"/>
            <w:vMerge w:val="continue"/>
            <w:vAlign w:val="center"/>
          </w:tcPr>
          <w:p>
            <w:pPr>
              <w:spacing w:line="240" w:lineRule="auto"/>
              <w:ind w:firstLine="0" w:firstLineChars="0"/>
              <w:rPr>
                <w:rStyle w:val="63"/>
                <w:color w:val="000000" w:themeColor="text1"/>
                <w:sz w:val="21"/>
                <w:szCs w:val="21"/>
                <w14:textFill>
                  <w14:solidFill>
                    <w14:schemeClr w14:val="tx1"/>
                  </w14:solidFill>
                </w14:textFill>
              </w:rPr>
            </w:pPr>
          </w:p>
        </w:tc>
        <w:tc>
          <w:tcPr>
            <w:tcW w:w="1264" w:type="dxa"/>
            <w:vMerge w:val="continue"/>
            <w:vAlign w:val="center"/>
          </w:tcPr>
          <w:p>
            <w:pPr>
              <w:spacing w:line="240" w:lineRule="auto"/>
              <w:ind w:firstLine="0" w:firstLineChars="0"/>
              <w:rPr>
                <w:rStyle w:val="63"/>
                <w:color w:val="000000" w:themeColor="text1"/>
                <w:sz w:val="21"/>
                <w:szCs w:val="21"/>
                <w14:textFill>
                  <w14:solidFill>
                    <w14:schemeClr w14:val="tx1"/>
                  </w14:solidFill>
                </w14:textFill>
              </w:rPr>
            </w:pPr>
          </w:p>
        </w:tc>
        <w:tc>
          <w:tcPr>
            <w:tcW w:w="992" w:type="dxa"/>
            <w:shd w:val="clear" w:color="auto" w:fill="auto"/>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排放量(kg/a)</w:t>
            </w:r>
          </w:p>
        </w:tc>
        <w:tc>
          <w:tcPr>
            <w:tcW w:w="922" w:type="dxa"/>
            <w:shd w:val="clear" w:color="auto" w:fill="auto"/>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排放速率（</w:t>
            </w:r>
            <w:r>
              <w:rPr>
                <w:rStyle w:val="63"/>
                <w:color w:val="000000" w:themeColor="text1"/>
                <w:sz w:val="21"/>
                <w:szCs w:val="21"/>
                <w14:textFill>
                  <w14:solidFill>
                    <w14:schemeClr w14:val="tx1"/>
                  </w14:solidFill>
                </w14:textFill>
              </w:rPr>
              <w:t>kg/h</w:t>
            </w:r>
            <w:r>
              <w:rPr>
                <w:rStyle w:val="63"/>
                <w:rFonts w:hint="eastAsia"/>
                <w:color w:val="000000" w:themeColor="text1"/>
                <w:sz w:val="21"/>
                <w:szCs w:val="21"/>
                <w14:textFill>
                  <w14:solidFill>
                    <w14:schemeClr w14:val="tx1"/>
                  </w14:solidFill>
                </w14:textFill>
              </w:rPr>
              <w:t>）</w:t>
            </w:r>
          </w:p>
        </w:tc>
        <w:tc>
          <w:tcPr>
            <w:tcW w:w="1174" w:type="dxa"/>
            <w:shd w:val="clear" w:color="auto" w:fill="auto"/>
            <w:noWrap/>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m</w:t>
            </w:r>
          </w:p>
        </w:tc>
        <w:tc>
          <w:tcPr>
            <w:tcW w:w="1174" w:type="dxa"/>
            <w:shd w:val="clear" w:color="auto" w:fill="auto"/>
            <w:noWrap/>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m</w:t>
            </w:r>
          </w:p>
        </w:tc>
        <w:tc>
          <w:tcPr>
            <w:tcW w:w="1174" w:type="dxa"/>
            <w:shd w:val="clear" w:color="auto" w:fill="auto"/>
            <w:noWrap/>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41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瞬时浓度计算（2</w:t>
            </w:r>
            <w:r>
              <w:rPr>
                <w:rStyle w:val="63"/>
                <w:color w:val="000000" w:themeColor="text1"/>
                <w14:textFill>
                  <w14:solidFill>
                    <w14:schemeClr w14:val="tx1"/>
                  </w14:solidFill>
                </w14:textFill>
              </w:rPr>
              <w:t>00h</w:t>
            </w:r>
            <w:r>
              <w:rPr>
                <w:rStyle w:val="63"/>
                <w:rFonts w:hint="eastAsia"/>
                <w:color w:val="000000" w:themeColor="text1"/>
                <w14:textFill>
                  <w14:solidFill>
                    <w14:schemeClr w14:val="tx1"/>
                  </w14:solidFill>
                </w14:textFill>
              </w:rPr>
              <w:t>）</w:t>
            </w:r>
          </w:p>
        </w:tc>
        <w:tc>
          <w:tcPr>
            <w:tcW w:w="12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992"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11.64</w:t>
            </w:r>
            <w:r>
              <w:rPr>
                <w:rStyle w:val="63"/>
                <w:rFonts w:hint="eastAsia"/>
                <w:color w:val="000000" w:themeColor="text1"/>
                <w14:textFill>
                  <w14:solidFill>
                    <w14:schemeClr w14:val="tx1"/>
                  </w14:solidFill>
                </w14:textFill>
              </w:rPr>
              <w:t xml:space="preserve"> </w:t>
            </w:r>
          </w:p>
        </w:tc>
        <w:tc>
          <w:tcPr>
            <w:tcW w:w="92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582</w:t>
            </w:r>
            <w:r>
              <w:rPr>
                <w:rStyle w:val="63"/>
                <w:rFonts w:hint="eastAsia"/>
                <w:color w:val="000000" w:themeColor="text1"/>
                <w14:textFill>
                  <w14:solidFill>
                    <w14:schemeClr w14:val="tx1"/>
                  </w14:solidFill>
                </w14:textFill>
              </w:rPr>
              <w:t xml:space="preserve"> </w:t>
            </w:r>
          </w:p>
        </w:tc>
        <w:tc>
          <w:tcPr>
            <w:tcW w:w="117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6</w:t>
            </w:r>
          </w:p>
        </w:tc>
        <w:tc>
          <w:tcPr>
            <w:tcW w:w="1174"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w:t>
            </w:r>
          </w:p>
        </w:tc>
        <w:tc>
          <w:tcPr>
            <w:tcW w:w="117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41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平均浓度计算（</w:t>
            </w:r>
            <w:r>
              <w:rPr>
                <w:rStyle w:val="63"/>
                <w:color w:val="000000" w:themeColor="text1"/>
                <w14:textFill>
                  <w14:solidFill>
                    <w14:schemeClr w14:val="tx1"/>
                  </w14:solidFill>
                </w14:textFill>
              </w:rPr>
              <w:t>2400h</w:t>
            </w:r>
            <w:r>
              <w:rPr>
                <w:rStyle w:val="63"/>
                <w:rFonts w:hint="eastAsia"/>
                <w:color w:val="000000" w:themeColor="text1"/>
                <w14:textFill>
                  <w14:solidFill>
                    <w14:schemeClr w14:val="tx1"/>
                  </w14:solidFill>
                </w14:textFill>
              </w:rPr>
              <w:t>）</w:t>
            </w:r>
          </w:p>
        </w:tc>
        <w:tc>
          <w:tcPr>
            <w:tcW w:w="12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99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1.64</w:t>
            </w:r>
          </w:p>
        </w:tc>
        <w:tc>
          <w:tcPr>
            <w:tcW w:w="92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w:t>
            </w:r>
            <w:r>
              <w:rPr>
                <w:rStyle w:val="63"/>
                <w:color w:val="000000" w:themeColor="text1"/>
                <w14:textFill>
                  <w14:solidFill>
                    <w14:schemeClr w14:val="tx1"/>
                  </w14:solidFill>
                </w14:textFill>
              </w:rPr>
              <w:t>485</w:t>
            </w:r>
            <w:r>
              <w:rPr>
                <w:rStyle w:val="63"/>
                <w:rFonts w:hint="eastAsia"/>
                <w:color w:val="000000" w:themeColor="text1"/>
                <w14:textFill>
                  <w14:solidFill>
                    <w14:schemeClr w14:val="tx1"/>
                  </w14:solidFill>
                </w14:textFill>
              </w:rPr>
              <w:t xml:space="preserve"> </w:t>
            </w:r>
          </w:p>
        </w:tc>
        <w:tc>
          <w:tcPr>
            <w:tcW w:w="117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6</w:t>
            </w:r>
          </w:p>
        </w:tc>
        <w:tc>
          <w:tcPr>
            <w:tcW w:w="1174"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w:t>
            </w:r>
          </w:p>
        </w:tc>
        <w:tc>
          <w:tcPr>
            <w:tcW w:w="117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41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处理前</w:t>
            </w:r>
            <w:r>
              <w:rPr>
                <w:rStyle w:val="63"/>
                <w:color w:val="000000" w:themeColor="text1"/>
                <w14:textFill>
                  <w14:solidFill>
                    <w14:schemeClr w14:val="tx1"/>
                  </w14:solidFill>
                </w14:textFill>
              </w:rPr>
              <w:t>实测数据折算</w:t>
            </w:r>
          </w:p>
        </w:tc>
        <w:tc>
          <w:tcPr>
            <w:tcW w:w="12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99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44</w:t>
            </w:r>
          </w:p>
        </w:tc>
        <w:tc>
          <w:tcPr>
            <w:tcW w:w="922"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0.000183</w:t>
            </w:r>
          </w:p>
        </w:tc>
        <w:tc>
          <w:tcPr>
            <w:tcW w:w="117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6</w:t>
            </w:r>
          </w:p>
        </w:tc>
        <w:tc>
          <w:tcPr>
            <w:tcW w:w="1174"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w:t>
            </w:r>
          </w:p>
        </w:tc>
        <w:tc>
          <w:tcPr>
            <w:tcW w:w="117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9117" w:type="dxa"/>
            <w:gridSpan w:val="7"/>
            <w:vAlign w:val="center"/>
          </w:tcPr>
          <w:p>
            <w:pPr>
              <w:pStyle w:val="107"/>
              <w:jc w:val="left"/>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厂房高度为</w:t>
            </w:r>
            <w:r>
              <w:rPr>
                <w:rStyle w:val="63"/>
                <w:color w:val="000000" w:themeColor="text1"/>
                <w14:textFill>
                  <w14:solidFill>
                    <w14:schemeClr w14:val="tx1"/>
                  </w14:solidFill>
                </w14:textFill>
              </w:rPr>
              <w:t>6</w:t>
            </w:r>
            <w:r>
              <w:rPr>
                <w:rStyle w:val="63"/>
                <w:rFonts w:hint="eastAsia"/>
                <w:color w:val="000000" w:themeColor="text1"/>
                <w14:textFill>
                  <w14:solidFill>
                    <w14:schemeClr w14:val="tx1"/>
                  </w14:solidFill>
                </w14:textFill>
              </w:rPr>
              <w:t>m，厂房设有一排窗户和通风口，其中窗户高度在1.0~2.5m，通风口高度在</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.5m；厂房不设置强制通排风系统，窗户常年关闭，主要通过通风口进行自然通风，故面源高度取</w:t>
            </w:r>
            <w:r>
              <w:rPr>
                <w:rStyle w:val="63"/>
                <w:color w:val="000000" w:themeColor="text1"/>
                <w14:textFill>
                  <w14:solidFill>
                    <w14:schemeClr w14:val="tx1"/>
                  </w14:solidFill>
                </w14:textFill>
              </w:rPr>
              <w:t>6</w:t>
            </w:r>
            <w:r>
              <w:rPr>
                <w:rStyle w:val="63"/>
                <w:rFonts w:hint="eastAsia"/>
                <w:color w:val="000000" w:themeColor="text1"/>
                <w14:textFill>
                  <w14:solidFill>
                    <w14:schemeClr w14:val="tx1"/>
                  </w14:solidFill>
                </w14:textFill>
              </w:rPr>
              <w:t>m。</w:t>
            </w:r>
          </w:p>
        </w:tc>
      </w:tr>
    </w:tbl>
    <w:p>
      <w:pPr>
        <w:pStyle w:val="6"/>
      </w:pPr>
      <w:bookmarkStart w:id="215" w:name="_Ref530326508"/>
      <w:r>
        <w:rPr>
          <w:rFonts w:hint="eastAsia"/>
        </w:rPr>
        <w:t>废气中恶臭影响</w:t>
      </w:r>
      <w:bookmarkEnd w:id="215"/>
    </w:p>
    <w:p>
      <w:pPr>
        <w:ind w:firstLine="480"/>
        <w:rPr>
          <w:rFonts w:eastAsiaTheme="minorEastAsia"/>
        </w:rPr>
      </w:pPr>
      <w:r>
        <w:rPr>
          <w:rFonts w:eastAsiaTheme="minorEastAsia"/>
        </w:rPr>
        <w:t>根据《橡胶工厂环境保护设计规范》（GB 50469-2016），橡胶厂排放废气的恶臭性质源自于热胶烟气和硫化烟气中的有机成分占大多数。</w:t>
      </w:r>
    </w:p>
    <w:p>
      <w:pPr>
        <w:snapToGrid w:val="0"/>
        <w:ind w:firstLine="480"/>
        <w:rPr>
          <w:rFonts w:eastAsiaTheme="minorEastAsia"/>
        </w:rPr>
      </w:pPr>
      <w:r>
        <w:rPr>
          <w:rFonts w:hint="eastAsia" w:eastAsiaTheme="minorEastAsia"/>
        </w:rPr>
        <w:t>根据《恶臭污染物排放标准》（GB 14554-93）定义，恶臭气体是指：一切刺激嗅觉引起人们不愉快及损害生活环境的其他物质；臭气浓度是指，恶臭气体（包括异味）用无臭气体进行稀释，稀释到刚好无臭时，所需的稀释倍数。臭气浓度是恶臭污染物影响的综合性指标，因此用本项目用臭气浓度指标来衡量项目生产过程产生的恶臭污染程度。</w:t>
      </w:r>
    </w:p>
    <w:p>
      <w:pPr>
        <w:snapToGrid w:val="0"/>
        <w:ind w:firstLine="480"/>
        <w:rPr>
          <w:rFonts w:eastAsiaTheme="minorEastAsia"/>
        </w:rPr>
      </w:pPr>
      <w:r>
        <w:rPr>
          <w:rFonts w:eastAsiaTheme="minorEastAsia"/>
        </w:rPr>
        <w:t>本项目炼胶</w:t>
      </w:r>
      <w:r>
        <w:rPr>
          <w:rFonts w:hint="eastAsia" w:eastAsiaTheme="minorEastAsia"/>
        </w:rPr>
        <w:t>（密炼、开炼）</w:t>
      </w:r>
      <w:r>
        <w:rPr>
          <w:rFonts w:eastAsiaTheme="minorEastAsia"/>
        </w:rPr>
        <w:t>、硫化工序产生废气因含有非甲烷总烃、微量的硫化氢等，具有一定程度的异味，综合感官表征为恶臭气体</w:t>
      </w:r>
      <w:r>
        <w:rPr>
          <w:rFonts w:hint="eastAsia" w:eastAsiaTheme="minorEastAsia"/>
        </w:rPr>
        <w:t>，</w:t>
      </w:r>
      <w:r>
        <w:rPr>
          <w:rFonts w:eastAsiaTheme="minorEastAsia"/>
        </w:rPr>
        <w:t>通过废气收集系统引至</w:t>
      </w:r>
      <w:r>
        <w:rPr>
          <w:rFonts w:hint="eastAsia" w:eastAsiaTheme="minorEastAsia"/>
        </w:rPr>
        <w:t>废气</w:t>
      </w:r>
      <w:r>
        <w:rPr>
          <w:rFonts w:eastAsiaTheme="minorEastAsia"/>
        </w:rPr>
        <w:t>处理</w:t>
      </w:r>
      <w:r>
        <w:rPr>
          <w:rFonts w:hint="eastAsia" w:eastAsiaTheme="minorEastAsia"/>
        </w:rPr>
        <w:t>设施处理集</w:t>
      </w:r>
      <w:r>
        <w:rPr>
          <w:rFonts w:eastAsiaTheme="minorEastAsia"/>
        </w:rPr>
        <w:t>中处理，臭气浓度将明显消减，通过</w:t>
      </w:r>
      <w:r>
        <w:rPr>
          <w:rFonts w:hint="eastAsia" w:eastAsiaTheme="minorEastAsia"/>
        </w:rPr>
        <w:t>15m</w:t>
      </w:r>
      <w:r>
        <w:rPr>
          <w:rFonts w:eastAsiaTheme="minorEastAsia"/>
        </w:rPr>
        <w:t>高的排气筒高空排放。</w:t>
      </w:r>
    </w:p>
    <w:p>
      <w:pPr>
        <w:snapToGrid w:val="0"/>
        <w:ind w:firstLine="480"/>
        <w:rPr>
          <w:rStyle w:val="63"/>
        </w:rPr>
      </w:pPr>
      <w:r>
        <w:rPr>
          <w:rStyle w:val="63"/>
          <w:rFonts w:hint="eastAsia"/>
          <w:color w:val="000000" w:themeColor="text1"/>
          <w14:textFill>
            <w14:solidFill>
              <w14:schemeClr w14:val="tx1"/>
            </w14:solidFill>
          </w14:textFill>
        </w:rPr>
        <w:t>根据本项目均为满负荷运行，项目废气污染物的排气筒有组织排放浓度和厂界无组织排放浓度均满足要求，炼胶工序、硫化工序处理前臭气浓度均低于500（无量纲），经处理后有组织排放的臭气排放浓度低于</w:t>
      </w:r>
      <w:r>
        <w:rPr>
          <w:rStyle w:val="63"/>
          <w:color w:val="000000" w:themeColor="text1"/>
          <w14:textFill>
            <w14:solidFill>
              <w14:schemeClr w14:val="tx1"/>
            </w14:solidFill>
          </w14:textFill>
        </w:rPr>
        <w:t>100</w:t>
      </w:r>
      <w:r>
        <w:rPr>
          <w:rStyle w:val="63"/>
          <w:rFonts w:hint="eastAsia"/>
          <w:color w:val="000000" w:themeColor="text1"/>
          <w14:textFill>
            <w14:solidFill>
              <w14:schemeClr w14:val="tx1"/>
            </w14:solidFill>
          </w14:textFill>
        </w:rPr>
        <w:t>（无量纲），厂界臭气浓度低于2</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（无量纲），能够满足《恶臭污染物排放标准》（GB 14554-93）中15m排气筒排放浓度及厂界无组织限值。因此采取措施进一步加强废气收集效果和处理效果后，项目排气筒有组织排放和厂界无组织排放的臭气浓度会进一步减小，可达标排放</w:t>
      </w:r>
      <w:r>
        <w:rPr>
          <w:rStyle w:val="63"/>
          <w:rFonts w:hint="eastAsia"/>
        </w:rPr>
        <w:t>。</w:t>
      </w:r>
    </w:p>
    <w:p>
      <w:pPr>
        <w:pStyle w:val="6"/>
      </w:pPr>
      <w:r>
        <w:rPr>
          <w:rFonts w:hint="eastAsia"/>
        </w:rPr>
        <w:t>污水处理站恶臭</w:t>
      </w:r>
    </w:p>
    <w:p>
      <w:pPr>
        <w:ind w:firstLine="480"/>
        <w:rPr>
          <w:rFonts w:eastAsiaTheme="minorEastAsia"/>
        </w:rPr>
      </w:pPr>
      <w:r>
        <w:rPr>
          <w:rFonts w:hint="eastAsia" w:eastAsiaTheme="minorEastAsia"/>
        </w:rPr>
        <w:t>污水处理站的恶臭来源于污水、污泥中有机物的分解、发酵过程中散发的化学物质，主要种类有：①含硫化合物，如硫化氢、甲基硫、硫醇、硫醚等；②含氮化合物，如氨、酰胺类等；③烃类化合物，如烷烃、烯烃等；④含氧有机物，如醇、醛、有机酸等；⑤微生物气溶胶，由于生化处理过程中曝气导致污水中形成泡沫并发生破裂，在污水的泡沫表面含菌量较大，当泡沫破裂时便可形成微生物气溶胶。</w:t>
      </w:r>
    </w:p>
    <w:p>
      <w:pPr>
        <w:ind w:firstLine="480"/>
        <w:rPr>
          <w:rFonts w:eastAsiaTheme="minorEastAsia"/>
        </w:rPr>
      </w:pPr>
      <w:r>
        <w:rPr>
          <w:rFonts w:hint="eastAsia" w:eastAsiaTheme="minorEastAsia"/>
        </w:rPr>
        <w:t>项目污水处理站</w:t>
      </w:r>
      <w:r>
        <w:rPr>
          <w:rFonts w:hint="eastAsia"/>
        </w:rPr>
        <w:t>拟采用地埋式一体化生活污水处理设备</w:t>
      </w:r>
      <w:r>
        <w:rPr>
          <w:rFonts w:hint="eastAsia" w:eastAsiaTheme="minorEastAsia"/>
        </w:rPr>
        <w:t>，主要的恶臭污染源为缺氧池，由于恶臭物质的逸出和扩散机理比较复杂，废气源强难于计算；且各污水处理构筑物均设密封盖板，排放的臭气较少，本评价不做定量核算。同时项目污水处理站所在地较空旷，大气扩散条件较好，对周围环境影响较小。</w:t>
      </w:r>
    </w:p>
    <w:p>
      <w:pPr>
        <w:pStyle w:val="6"/>
      </w:pPr>
      <w:r>
        <w:rPr>
          <w:rFonts w:hint="eastAsia"/>
        </w:rPr>
        <w:t>抛丸废气</w:t>
      </w:r>
    </w:p>
    <w:p>
      <w:pPr>
        <w:pStyle w:val="2"/>
        <w:spacing w:line="360" w:lineRule="auto"/>
        <w:ind w:firstLine="720" w:firstLineChars="300"/>
        <w:rPr>
          <w:rFonts w:ascii="Times New Roman" w:cs="Times New Roman"/>
        </w:rPr>
      </w:pPr>
      <w:r>
        <w:rPr>
          <w:rFonts w:hint="eastAsia" w:ascii="Times New Roman" w:cs="Times New Roman"/>
        </w:rPr>
        <w:t>本项目抛丸在包装车间内进行。</w:t>
      </w:r>
      <w:r>
        <w:rPr>
          <w:rFonts w:ascii="Times New Roman" w:cs="Times New Roman"/>
        </w:rPr>
        <w:t>项目在橡胶部件完成后将与外购的成品铁芯进行组装，铁芯表面有少量锈迹，需要进行抛丸除锈后使用，根据业主提供的资料，抛丸粉尘产生量为原料使用量的1%，本项目铁芯使用量为200t，粉尘产生量为2t/a</w:t>
      </w:r>
      <w:r>
        <w:rPr>
          <w:rFonts w:hint="eastAsia" w:ascii="Times New Roman" w:cs="Times New Roman"/>
        </w:rPr>
        <w:t>，</w:t>
      </w:r>
      <w:bookmarkStart w:id="216" w:name="_Hlk12276431"/>
      <w:r>
        <w:rPr>
          <w:rFonts w:ascii="Times New Roman" w:cs="Times New Roman"/>
        </w:rPr>
        <w:t>抛丸机自带粉尘收集装置和粉尘处理装置</w:t>
      </w:r>
      <w:bookmarkEnd w:id="216"/>
      <w:r>
        <w:rPr>
          <w:rFonts w:ascii="Times New Roman" w:cs="Times New Roman"/>
        </w:rPr>
        <w:t>，粉尘收集效率为100%，粉尘处理效率为90%，废气经处理后由引风机引至一根15m排气筒排放</w:t>
      </w:r>
      <w:r>
        <w:rPr>
          <w:rFonts w:hint="eastAsia" w:ascii="Times New Roman" w:cs="Times New Roman"/>
        </w:rPr>
        <w:t>（P</w:t>
      </w:r>
      <w:r>
        <w:rPr>
          <w:rFonts w:ascii="Times New Roman" w:cs="Times New Roman"/>
        </w:rPr>
        <w:t>2</w:t>
      </w:r>
      <w:r>
        <w:rPr>
          <w:rFonts w:hint="eastAsia" w:ascii="Times New Roman" w:cs="Times New Roman"/>
        </w:rPr>
        <w:t>），风量为6</w:t>
      </w:r>
      <w:r>
        <w:rPr>
          <w:rFonts w:ascii="Times New Roman" w:cs="Times New Roman"/>
        </w:rPr>
        <w:t>000m</w:t>
      </w:r>
      <w:r>
        <w:rPr>
          <w:rFonts w:ascii="Times New Roman" w:cs="Times New Roman"/>
          <w:vertAlign w:val="superscript"/>
        </w:rPr>
        <w:t>3</w:t>
      </w:r>
      <w:r>
        <w:rPr>
          <w:rFonts w:hint="eastAsia" w:ascii="Times New Roman" w:cs="Times New Roman"/>
        </w:rPr>
        <w:t>/</w:t>
      </w:r>
      <w:r>
        <w:rPr>
          <w:rFonts w:ascii="Times New Roman" w:cs="Times New Roman"/>
        </w:rPr>
        <w:t>h。</w:t>
      </w:r>
      <w:r>
        <w:rPr>
          <w:rFonts w:hint="eastAsia" w:ascii="Times New Roman" w:cs="Times New Roman"/>
        </w:rPr>
        <w:t>废气经处理后排放量为0</w:t>
      </w:r>
      <w:r>
        <w:rPr>
          <w:rFonts w:ascii="Times New Roman" w:cs="Times New Roman"/>
        </w:rPr>
        <w:t>.2</w:t>
      </w:r>
      <w:r>
        <w:rPr>
          <w:rFonts w:hint="eastAsia" w:ascii="Times New Roman" w:cs="Times New Roman"/>
        </w:rPr>
        <w:t>t/a。抛丸工序每天工作时间为4h，年工作天数为3</w:t>
      </w:r>
      <w:r>
        <w:rPr>
          <w:rFonts w:ascii="Times New Roman" w:cs="Times New Roman"/>
        </w:rPr>
        <w:t>00</w:t>
      </w:r>
      <w:r>
        <w:rPr>
          <w:rFonts w:hint="eastAsia" w:ascii="Times New Roman" w:cs="Times New Roman"/>
        </w:rPr>
        <w:t>天，年总工作时间为1</w:t>
      </w:r>
      <w:r>
        <w:rPr>
          <w:rFonts w:ascii="Times New Roman" w:cs="Times New Roman"/>
        </w:rPr>
        <w:t>200h</w:t>
      </w:r>
      <w:r>
        <w:rPr>
          <w:rFonts w:hint="eastAsia" w:ascii="Times New Roman" w:cs="Times New Roman"/>
        </w:rPr>
        <w:t>。</w:t>
      </w:r>
    </w:p>
    <w:p>
      <w:pPr>
        <w:pStyle w:val="2"/>
        <w:spacing w:line="360" w:lineRule="auto"/>
        <w:ind w:firstLine="480" w:firstLineChars="200"/>
        <w:rPr>
          <w:rFonts w:ascii="Times New Roman" w:cs="Times New Roman"/>
        </w:rPr>
      </w:pPr>
      <w:r>
        <w:rPr>
          <w:rFonts w:hint="eastAsia" w:ascii="Times New Roman" w:cs="Times New Roman"/>
        </w:rPr>
        <w:t>目前抛丸废气处理设施合理，废气能够达标排放，不需要进行整改。</w:t>
      </w:r>
    </w:p>
    <w:p>
      <w:pPr>
        <w:pStyle w:val="18"/>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 xml:space="preserve">13 </w:t>
      </w:r>
      <w:r>
        <w:rPr>
          <w:rStyle w:val="63"/>
          <w:rFonts w:hint="eastAsia"/>
          <w:color w:val="000000" w:themeColor="text1"/>
          <w14:textFill>
            <w14:solidFill>
              <w14:schemeClr w14:val="tx1"/>
            </w14:solidFill>
          </w14:textFill>
        </w:rPr>
        <w:t>抛丸过程中有组织排放的废气的污染源强及排放情况</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1264"/>
        <w:gridCol w:w="998"/>
        <w:gridCol w:w="1010"/>
        <w:gridCol w:w="961"/>
        <w:gridCol w:w="910"/>
        <w:gridCol w:w="998"/>
        <w:gridCol w:w="1010"/>
        <w:gridCol w:w="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1056"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污染源</w:t>
            </w:r>
          </w:p>
        </w:tc>
        <w:tc>
          <w:tcPr>
            <w:tcW w:w="1264"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污染物</w:t>
            </w:r>
          </w:p>
        </w:tc>
        <w:tc>
          <w:tcPr>
            <w:tcW w:w="3879" w:type="dxa"/>
            <w:gridSpan w:val="4"/>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有组织产生情况</w:t>
            </w:r>
          </w:p>
        </w:tc>
        <w:tc>
          <w:tcPr>
            <w:tcW w:w="2918" w:type="dxa"/>
            <w:gridSpan w:val="3"/>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1056" w:type="dxa"/>
            <w:vMerge w:val="continue"/>
            <w:shd w:val="clear" w:color="auto" w:fill="auto"/>
            <w:vAlign w:val="center"/>
          </w:tcPr>
          <w:p>
            <w:pPr>
              <w:pStyle w:val="107"/>
              <w:rPr>
                <w:rStyle w:val="63"/>
                <w:color w:val="000000" w:themeColor="text1"/>
                <w14:textFill>
                  <w14:solidFill>
                    <w14:schemeClr w14:val="tx1"/>
                  </w14:solidFill>
                </w14:textFill>
              </w:rPr>
            </w:pPr>
          </w:p>
        </w:tc>
        <w:tc>
          <w:tcPr>
            <w:tcW w:w="1264" w:type="dxa"/>
            <w:vMerge w:val="continue"/>
            <w:shd w:val="clear" w:color="auto" w:fill="auto"/>
            <w:vAlign w:val="center"/>
          </w:tcPr>
          <w:p>
            <w:pPr>
              <w:pStyle w:val="107"/>
              <w:rPr>
                <w:rStyle w:val="63"/>
                <w:color w:val="000000" w:themeColor="text1"/>
                <w14:textFill>
                  <w14:solidFill>
                    <w14:schemeClr w14:val="tx1"/>
                  </w14:solidFill>
                </w14:textFill>
              </w:rPr>
            </w:pPr>
          </w:p>
        </w:tc>
        <w:tc>
          <w:tcPr>
            <w:tcW w:w="998"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收集量（kg/a）</w:t>
            </w:r>
          </w:p>
        </w:tc>
        <w:tc>
          <w:tcPr>
            <w:tcW w:w="1010"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961"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收集风量</w:t>
            </w:r>
            <w:r>
              <w:rPr>
                <w:rStyle w:val="63"/>
                <w:color w:val="000000" w:themeColor="text1"/>
                <w14:textFill>
                  <w14:solidFill>
                    <w14:schemeClr w14:val="tx1"/>
                  </w14:solidFill>
                </w14:textFill>
              </w:rPr>
              <w:t>(m³/h)</w:t>
            </w:r>
          </w:p>
        </w:tc>
        <w:tc>
          <w:tcPr>
            <w:tcW w:w="910"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产生浓度</w:t>
            </w:r>
            <w:r>
              <w:rPr>
                <w:rStyle w:val="63"/>
                <w:color w:val="000000" w:themeColor="text1"/>
                <w14:textFill>
                  <w14:solidFill>
                    <w14:schemeClr w14:val="tx1"/>
                  </w14:solidFill>
                </w14:textFill>
              </w:rPr>
              <w:t>(mg/m³)</w:t>
            </w:r>
          </w:p>
        </w:tc>
        <w:tc>
          <w:tcPr>
            <w:tcW w:w="998"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排放量（kg/a）</w:t>
            </w:r>
          </w:p>
        </w:tc>
        <w:tc>
          <w:tcPr>
            <w:tcW w:w="1010"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910" w:type="dxa"/>
            <w:tcBorders>
              <w:bottom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排放浓度</w:t>
            </w:r>
            <w:r>
              <w:rPr>
                <w:rStyle w:val="63"/>
                <w:color w:val="000000" w:themeColor="text1"/>
                <w14:textFill>
                  <w14:solidFill>
                    <w14:schemeClr w14:val="tx1"/>
                  </w14:solidFill>
                </w14:textFill>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05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正常工况</w:t>
            </w:r>
          </w:p>
        </w:tc>
        <w:tc>
          <w:tcPr>
            <w:tcW w:w="1264" w:type="dxa"/>
            <w:tcBorders>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99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w:t>
            </w:r>
          </w:p>
        </w:tc>
        <w:tc>
          <w:tcPr>
            <w:tcW w:w="101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1.667</w:t>
            </w:r>
            <w:r>
              <w:rPr>
                <w:rStyle w:val="63"/>
                <w:rFonts w:hint="eastAsia"/>
                <w:color w:val="000000" w:themeColor="text1"/>
                <w14:textFill>
                  <w14:solidFill>
                    <w14:schemeClr w14:val="tx1"/>
                  </w14:solidFill>
                </w14:textFill>
              </w:rPr>
              <w:t xml:space="preserve"> </w:t>
            </w:r>
          </w:p>
        </w:tc>
        <w:tc>
          <w:tcPr>
            <w:tcW w:w="961"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w:t>
            </w:r>
            <w:r>
              <w:rPr>
                <w:rStyle w:val="63"/>
                <w:rFonts w:hint="eastAsia"/>
                <w:color w:val="000000" w:themeColor="text1"/>
                <w14:textFill>
                  <w14:solidFill>
                    <w14:schemeClr w14:val="tx1"/>
                  </w14:solidFill>
                </w14:textFill>
              </w:rPr>
              <w:t>000</w:t>
            </w:r>
          </w:p>
        </w:tc>
        <w:tc>
          <w:tcPr>
            <w:tcW w:w="910" w:type="dxa"/>
            <w:tcBorders>
              <w:top w:val="single" w:color="auto" w:sz="4" w:space="0"/>
              <w:left w:val="nil"/>
              <w:bottom w:val="single" w:color="auto" w:sz="4" w:space="0"/>
              <w:right w:val="nil"/>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277.8</w:t>
            </w:r>
          </w:p>
        </w:tc>
        <w:tc>
          <w:tcPr>
            <w:tcW w:w="99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0.2</w:t>
            </w:r>
            <w:r>
              <w:rPr>
                <w:rStyle w:val="63"/>
                <w:rFonts w:hint="eastAsia"/>
                <w:color w:val="000000" w:themeColor="text1"/>
                <w14:textFill>
                  <w14:solidFill>
                    <w14:schemeClr w14:val="tx1"/>
                  </w14:solidFill>
                </w14:textFill>
              </w:rPr>
              <w:t xml:space="preserve"> </w:t>
            </w:r>
          </w:p>
        </w:tc>
        <w:tc>
          <w:tcPr>
            <w:tcW w:w="101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1667</w:t>
            </w:r>
            <w:r>
              <w:rPr>
                <w:rStyle w:val="63"/>
                <w:rFonts w:hint="eastAsia"/>
                <w:color w:val="000000" w:themeColor="text1"/>
                <w14:textFill>
                  <w14:solidFill>
                    <w14:schemeClr w14:val="tx1"/>
                  </w14:solidFill>
                </w14:textFill>
              </w:rPr>
              <w:t xml:space="preserve"> </w:t>
            </w:r>
          </w:p>
        </w:tc>
        <w:tc>
          <w:tcPr>
            <w:tcW w:w="910"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27.78</w:t>
            </w:r>
          </w:p>
        </w:tc>
      </w:tr>
    </w:tbl>
    <w:p>
      <w:pPr>
        <w:pStyle w:val="2"/>
      </w:pPr>
    </w:p>
    <w:p>
      <w:pPr>
        <w:pStyle w:val="6"/>
      </w:pPr>
      <w:r>
        <w:rPr>
          <w:rFonts w:hint="eastAsia"/>
        </w:rPr>
        <w:t>粘胶废气</w:t>
      </w:r>
    </w:p>
    <w:p>
      <w:pPr>
        <w:pStyle w:val="2"/>
        <w:spacing w:line="360" w:lineRule="auto"/>
        <w:ind w:firstLine="480" w:firstLineChars="200"/>
      </w:pPr>
      <w:r>
        <w:rPr>
          <w:rFonts w:hint="eastAsia" w:ascii="Times New Roman" w:cs="Times New Roman"/>
        </w:rPr>
        <w:t>本项目粘结工序在包装车间内进行，</w:t>
      </w:r>
      <w:r>
        <w:rPr>
          <w:rFonts w:ascii="Times New Roman" w:cs="Times New Roman"/>
        </w:rPr>
        <w:t>项目在组装过程使用胶水80公斤，胶水挥发少量的VOCs，VOCs挥发量为原料的1%</w:t>
      </w:r>
      <w:r>
        <w:rPr>
          <w:rFonts w:hint="eastAsia"/>
        </w:rPr>
        <w:t>，黏胶</w:t>
      </w:r>
      <w:r>
        <w:rPr>
          <w:rFonts w:ascii="Times New Roman" w:cs="Times New Roman"/>
        </w:rPr>
        <w:t>VOCs</w:t>
      </w:r>
      <w:r>
        <w:rPr>
          <w:rFonts w:hint="eastAsia" w:ascii="Times New Roman" w:cs="Times New Roman"/>
        </w:rPr>
        <w:t>的挥发量为8kg</w:t>
      </w:r>
      <w:r>
        <w:rPr>
          <w:rFonts w:ascii="Times New Roman" w:cs="Times New Roman"/>
        </w:rPr>
        <w:t>/a, VOCs</w:t>
      </w:r>
      <w:r>
        <w:rPr>
          <w:rFonts w:hint="eastAsia" w:ascii="Times New Roman" w:cs="Times New Roman"/>
        </w:rPr>
        <w:t>产生量很少，在裁切车间内无组织排放。</w:t>
      </w:r>
    </w:p>
    <w:p>
      <w:pPr>
        <w:pStyle w:val="18"/>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14</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正常工况下黏胶过程中无组织排放源强及排放参数</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418"/>
        <w:gridCol w:w="1417"/>
        <w:gridCol w:w="1489"/>
        <w:gridCol w:w="1174"/>
        <w:gridCol w:w="1174"/>
        <w:gridCol w:w="1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blHeader/>
        </w:trPr>
        <w:tc>
          <w:tcPr>
            <w:tcW w:w="1271" w:type="dxa"/>
            <w:vMerge w:val="restart"/>
            <w:shd w:val="clear" w:color="auto" w:fill="auto"/>
            <w:noWrap/>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污染源</w:t>
            </w:r>
          </w:p>
        </w:tc>
        <w:tc>
          <w:tcPr>
            <w:tcW w:w="1418" w:type="dxa"/>
            <w:vMerge w:val="restart"/>
            <w:shd w:val="clear" w:color="auto" w:fill="auto"/>
            <w:noWrap/>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污染物</w:t>
            </w:r>
          </w:p>
        </w:tc>
        <w:tc>
          <w:tcPr>
            <w:tcW w:w="2906" w:type="dxa"/>
            <w:gridSpan w:val="2"/>
            <w:shd w:val="clear" w:color="auto" w:fill="auto"/>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无组织</w:t>
            </w:r>
          </w:p>
        </w:tc>
        <w:tc>
          <w:tcPr>
            <w:tcW w:w="1174" w:type="dxa"/>
            <w:shd w:val="clear" w:color="auto" w:fill="auto"/>
            <w:noWrap/>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排放高度</w:t>
            </w:r>
          </w:p>
        </w:tc>
        <w:tc>
          <w:tcPr>
            <w:tcW w:w="1174" w:type="dxa"/>
            <w:shd w:val="clear" w:color="auto" w:fill="auto"/>
            <w:noWrap/>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面源长度</w:t>
            </w:r>
          </w:p>
        </w:tc>
        <w:tc>
          <w:tcPr>
            <w:tcW w:w="1174" w:type="dxa"/>
            <w:shd w:val="clear" w:color="auto" w:fill="auto"/>
            <w:noWrap/>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面源宽度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5" w:hRule="atLeast"/>
          <w:tblHeader/>
        </w:trPr>
        <w:tc>
          <w:tcPr>
            <w:tcW w:w="1271" w:type="dxa"/>
            <w:vMerge w:val="continue"/>
            <w:vAlign w:val="center"/>
          </w:tcPr>
          <w:p>
            <w:pPr>
              <w:spacing w:line="240" w:lineRule="auto"/>
              <w:ind w:firstLine="0" w:firstLineChars="0"/>
              <w:rPr>
                <w:rStyle w:val="63"/>
                <w:color w:val="000000" w:themeColor="text1"/>
                <w:sz w:val="21"/>
                <w:szCs w:val="21"/>
                <w14:textFill>
                  <w14:solidFill>
                    <w14:schemeClr w14:val="tx1"/>
                  </w14:solidFill>
                </w14:textFill>
              </w:rPr>
            </w:pPr>
          </w:p>
        </w:tc>
        <w:tc>
          <w:tcPr>
            <w:tcW w:w="1418" w:type="dxa"/>
            <w:vMerge w:val="continue"/>
            <w:vAlign w:val="center"/>
          </w:tcPr>
          <w:p>
            <w:pPr>
              <w:spacing w:line="240" w:lineRule="auto"/>
              <w:ind w:firstLine="0" w:firstLineChars="0"/>
              <w:rPr>
                <w:rStyle w:val="63"/>
                <w:color w:val="000000" w:themeColor="text1"/>
                <w:sz w:val="21"/>
                <w:szCs w:val="21"/>
                <w14:textFill>
                  <w14:solidFill>
                    <w14:schemeClr w14:val="tx1"/>
                  </w14:solidFill>
                </w14:textFill>
              </w:rPr>
            </w:pPr>
          </w:p>
        </w:tc>
        <w:tc>
          <w:tcPr>
            <w:tcW w:w="1417" w:type="dxa"/>
            <w:shd w:val="clear" w:color="auto" w:fill="auto"/>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排放量(kg/a)</w:t>
            </w:r>
          </w:p>
        </w:tc>
        <w:tc>
          <w:tcPr>
            <w:tcW w:w="1489" w:type="dxa"/>
            <w:shd w:val="clear" w:color="auto" w:fill="auto"/>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排放速率（</w:t>
            </w:r>
            <w:r>
              <w:rPr>
                <w:rStyle w:val="63"/>
                <w:color w:val="000000" w:themeColor="text1"/>
                <w:sz w:val="21"/>
                <w:szCs w:val="21"/>
                <w14:textFill>
                  <w14:solidFill>
                    <w14:schemeClr w14:val="tx1"/>
                  </w14:solidFill>
                </w14:textFill>
              </w:rPr>
              <w:t>kg/h</w:t>
            </w:r>
            <w:r>
              <w:rPr>
                <w:rStyle w:val="63"/>
                <w:rFonts w:hint="eastAsia"/>
                <w:color w:val="000000" w:themeColor="text1"/>
                <w:sz w:val="21"/>
                <w:szCs w:val="21"/>
                <w14:textFill>
                  <w14:solidFill>
                    <w14:schemeClr w14:val="tx1"/>
                  </w14:solidFill>
                </w14:textFill>
              </w:rPr>
              <w:t>）</w:t>
            </w:r>
          </w:p>
        </w:tc>
        <w:tc>
          <w:tcPr>
            <w:tcW w:w="1174" w:type="dxa"/>
            <w:shd w:val="clear" w:color="auto" w:fill="auto"/>
            <w:noWrap/>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m</w:t>
            </w:r>
          </w:p>
        </w:tc>
        <w:tc>
          <w:tcPr>
            <w:tcW w:w="1174" w:type="dxa"/>
            <w:shd w:val="clear" w:color="auto" w:fill="auto"/>
            <w:noWrap/>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m</w:t>
            </w:r>
          </w:p>
        </w:tc>
        <w:tc>
          <w:tcPr>
            <w:tcW w:w="1174" w:type="dxa"/>
            <w:shd w:val="clear" w:color="auto" w:fill="auto"/>
            <w:noWrap/>
            <w:vAlign w:val="center"/>
          </w:tcPr>
          <w:p>
            <w:pPr>
              <w:spacing w:line="240" w:lineRule="auto"/>
              <w:ind w:firstLine="0" w:firstLineChars="0"/>
              <w:jc w:val="center"/>
              <w:rPr>
                <w:rStyle w:val="63"/>
                <w:color w:val="000000" w:themeColor="text1"/>
                <w:sz w:val="21"/>
                <w:szCs w:val="21"/>
                <w14:textFill>
                  <w14:solidFill>
                    <w14:schemeClr w14:val="tx1"/>
                  </w14:solidFill>
                </w14:textFill>
              </w:rPr>
            </w:pPr>
            <w:r>
              <w:rPr>
                <w:rStyle w:val="63"/>
                <w:rFonts w:hint="eastAsia"/>
                <w:color w:val="000000" w:themeColor="text1"/>
                <w:sz w:val="21"/>
                <w:szCs w:val="21"/>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127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粘胶</w:t>
            </w:r>
          </w:p>
        </w:tc>
        <w:tc>
          <w:tcPr>
            <w:tcW w:w="1418" w:type="dxa"/>
            <w:shd w:val="clear" w:color="auto" w:fill="auto"/>
            <w:noWrap/>
            <w:vAlign w:val="center"/>
          </w:tcPr>
          <w:p>
            <w:pPr>
              <w:pStyle w:val="107"/>
              <w:rPr>
                <w:rStyle w:val="63"/>
                <w:color w:val="000000" w:themeColor="text1"/>
                <w14:textFill>
                  <w14:solidFill>
                    <w14:schemeClr w14:val="tx1"/>
                  </w14:solidFill>
                </w14:textFill>
              </w:rPr>
            </w:pPr>
            <w:r>
              <w:rPr>
                <w:rFonts w:ascii="Times New Roman" w:hAnsi="Times New Roman" w:cs="Times New Roman"/>
              </w:rPr>
              <w:t>VOCs</w:t>
            </w:r>
          </w:p>
        </w:tc>
        <w:tc>
          <w:tcPr>
            <w:tcW w:w="141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w:t>
            </w:r>
            <w:r>
              <w:rPr>
                <w:rStyle w:val="63"/>
                <w:rFonts w:hint="eastAsia"/>
                <w:color w:val="000000" w:themeColor="text1"/>
                <w14:textFill>
                  <w14:solidFill>
                    <w14:schemeClr w14:val="tx1"/>
                  </w14:solidFill>
                </w14:textFill>
              </w:rPr>
              <w:t xml:space="preserve"> </w:t>
            </w:r>
          </w:p>
        </w:tc>
        <w:tc>
          <w:tcPr>
            <w:tcW w:w="1489"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0333</w:t>
            </w:r>
          </w:p>
        </w:tc>
        <w:tc>
          <w:tcPr>
            <w:tcW w:w="117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6</w:t>
            </w:r>
          </w:p>
        </w:tc>
        <w:tc>
          <w:tcPr>
            <w:tcW w:w="1174"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14</w:t>
            </w:r>
          </w:p>
        </w:tc>
        <w:tc>
          <w:tcPr>
            <w:tcW w:w="117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0</w:t>
            </w:r>
          </w:p>
        </w:tc>
      </w:tr>
    </w:tbl>
    <w:p>
      <w:pPr>
        <w:pStyle w:val="2"/>
      </w:pPr>
    </w:p>
    <w:p>
      <w:pPr>
        <w:pStyle w:val="6"/>
      </w:pPr>
      <w:bookmarkStart w:id="217" w:name="_Hlk3508586"/>
      <w:r>
        <w:rPr>
          <w:rFonts w:hint="eastAsia"/>
        </w:rPr>
        <w:t>废气防治措施及其达标情况分析</w:t>
      </w:r>
    </w:p>
    <w:bookmarkEnd w:id="217"/>
    <w:p>
      <w:pPr>
        <w:ind w:firstLine="480"/>
      </w:pPr>
      <w:r>
        <w:rPr>
          <w:rFonts w:hint="eastAsia"/>
          <w:color w:val="000000" w:themeColor="text1"/>
          <w14:textFill>
            <w14:solidFill>
              <w14:schemeClr w14:val="tx1"/>
            </w14:solidFill>
          </w14:textFill>
        </w:rPr>
        <w:t>根据工艺流程分析可知，生产过程的工艺废气主要来源于</w:t>
      </w:r>
      <w:r>
        <w:rPr>
          <w:rStyle w:val="63"/>
          <w:rFonts w:hint="eastAsia"/>
          <w:color w:val="000000" w:themeColor="text1"/>
          <w14:textFill>
            <w14:solidFill>
              <w14:schemeClr w14:val="tx1"/>
            </w14:solidFill>
          </w14:textFill>
        </w:rPr>
        <w:t>配料、投料工序产生的颗粒物，</w:t>
      </w:r>
      <w:r>
        <w:rPr>
          <w:rFonts w:hint="eastAsia"/>
          <w:color w:val="000000" w:themeColor="text1"/>
          <w14:textFill>
            <w14:solidFill>
              <w14:schemeClr w14:val="tx1"/>
            </w14:solidFill>
          </w14:textFill>
        </w:rPr>
        <w:t>密炼</w:t>
      </w:r>
      <w:r>
        <w:rPr>
          <w:rFonts w:hint="eastAsia"/>
        </w:rPr>
        <w:t>工序产生的非甲烷总烃、颗粒物、硫化氢；开炼工序产生的非甲烷总烃和硫化氢；硫化成型工序产生的非甲烷总烃和硫化氢，抛丸产生的抛丸粉尘，粘胶产生的少量V</w:t>
      </w:r>
      <w:r>
        <w:t>OC</w:t>
      </w:r>
      <w:r>
        <w:rPr>
          <w:rFonts w:hint="eastAsia"/>
        </w:rPr>
        <w:t>s。各工序废气普遍通过在生产设备废气产生源上方设置集气罩收集。</w:t>
      </w:r>
    </w:p>
    <w:p>
      <w:pPr>
        <w:pStyle w:val="162"/>
        <w:numPr>
          <w:ilvl w:val="0"/>
          <w:numId w:val="0"/>
        </w:numPr>
      </w:pPr>
      <w:r>
        <w:rPr>
          <w:rFonts w:hint="eastAsia"/>
        </w:rPr>
        <w:t>现有废气防治措施</w:t>
      </w:r>
    </w:p>
    <w:p>
      <w:pPr>
        <w:ind w:firstLine="480"/>
        <w:rPr>
          <w:rFonts w:eastAsiaTheme="minorEastAsia"/>
        </w:rPr>
      </w:pPr>
      <w:r>
        <w:rPr>
          <w:rFonts w:hint="eastAsia" w:eastAsiaTheme="minorEastAsia"/>
        </w:rPr>
        <w:t>密炼废气经布袋除尘处理后与开炼废气、硫化废气一起采用活性炭吸附装置处理后经排气筒（编号P</w:t>
      </w:r>
      <w:r>
        <w:rPr>
          <w:rFonts w:eastAsiaTheme="minorEastAsia"/>
        </w:rPr>
        <w:t>1</w:t>
      </w:r>
      <w:r>
        <w:rPr>
          <w:rFonts w:hint="eastAsia" w:eastAsiaTheme="minorEastAsia"/>
        </w:rPr>
        <w:t>）排放；抛丸废气经抛丸机自带</w:t>
      </w:r>
      <w:r>
        <w:rPr>
          <w:rFonts w:hint="eastAsia" w:hAnsi="宋体"/>
        </w:rPr>
        <w:t>粉尘收集装置和除尘器进行处理，经</w:t>
      </w:r>
      <w:r>
        <w:rPr>
          <w:rFonts w:hint="eastAsia" w:eastAsiaTheme="minorEastAsia"/>
        </w:rPr>
        <w:t>排气筒（编号P</w:t>
      </w:r>
      <w:r>
        <w:rPr>
          <w:rFonts w:eastAsiaTheme="minorEastAsia"/>
        </w:rPr>
        <w:t>2</w:t>
      </w:r>
      <w:r>
        <w:rPr>
          <w:rFonts w:hint="eastAsia" w:eastAsiaTheme="minorEastAsia"/>
        </w:rPr>
        <w:t>）排放；本项目工艺废气收集处理措施详见下表。</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2.8</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14</w:t>
      </w:r>
      <w:r>
        <w:fldChar w:fldCharType="end"/>
      </w:r>
      <w:r>
        <w:t xml:space="preserve"> </w:t>
      </w:r>
      <w:r>
        <w:rPr>
          <w:rFonts w:hint="eastAsia"/>
        </w:rPr>
        <w:t>现状工艺废气收集处理情况表</w:t>
      </w:r>
    </w:p>
    <w:tbl>
      <w:tblPr>
        <w:tblStyle w:val="56"/>
        <w:tblW w:w="911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8"/>
        <w:gridCol w:w="2093"/>
        <w:gridCol w:w="2713"/>
        <w:gridCol w:w="2075"/>
        <w:gridCol w:w="12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938" w:type="dxa"/>
            <w:shd w:val="clear" w:color="auto" w:fill="auto"/>
            <w:vAlign w:val="center"/>
          </w:tcPr>
          <w:p>
            <w:pPr>
              <w:spacing w:line="240" w:lineRule="auto"/>
              <w:ind w:firstLine="0" w:firstLineChars="0"/>
              <w:jc w:val="center"/>
              <w:rPr>
                <w:rFonts w:cs="Times New Roman" w:eastAsiaTheme="minorEastAsia"/>
                <w:b/>
                <w:bCs/>
                <w:sz w:val="21"/>
                <w:szCs w:val="21"/>
              </w:rPr>
            </w:pPr>
            <w:r>
              <w:rPr>
                <w:rFonts w:cs="Times New Roman" w:eastAsiaTheme="minorEastAsia"/>
                <w:b/>
                <w:bCs/>
                <w:sz w:val="21"/>
                <w:szCs w:val="21"/>
              </w:rPr>
              <w:t>工序</w:t>
            </w:r>
          </w:p>
        </w:tc>
        <w:tc>
          <w:tcPr>
            <w:tcW w:w="2093" w:type="dxa"/>
            <w:shd w:val="clear" w:color="auto" w:fill="auto"/>
            <w:vAlign w:val="center"/>
          </w:tcPr>
          <w:p>
            <w:pPr>
              <w:spacing w:line="240" w:lineRule="auto"/>
              <w:ind w:firstLine="0" w:firstLineChars="0"/>
              <w:jc w:val="center"/>
              <w:rPr>
                <w:rFonts w:cs="Times New Roman" w:eastAsiaTheme="minorEastAsia"/>
                <w:b/>
                <w:bCs/>
                <w:sz w:val="21"/>
                <w:szCs w:val="21"/>
              </w:rPr>
            </w:pPr>
            <w:r>
              <w:rPr>
                <w:rFonts w:cs="Times New Roman" w:eastAsiaTheme="minorEastAsia"/>
                <w:b/>
                <w:bCs/>
                <w:sz w:val="21"/>
                <w:szCs w:val="21"/>
              </w:rPr>
              <w:t>主要污染物</w:t>
            </w:r>
          </w:p>
        </w:tc>
        <w:tc>
          <w:tcPr>
            <w:tcW w:w="2713" w:type="dxa"/>
            <w:shd w:val="clear" w:color="auto" w:fill="auto"/>
            <w:vAlign w:val="center"/>
          </w:tcPr>
          <w:p>
            <w:pPr>
              <w:spacing w:line="240" w:lineRule="auto"/>
              <w:ind w:firstLine="0" w:firstLineChars="0"/>
              <w:jc w:val="center"/>
              <w:rPr>
                <w:rFonts w:cs="Times New Roman" w:eastAsiaTheme="minorEastAsia"/>
                <w:b/>
                <w:bCs/>
                <w:sz w:val="21"/>
                <w:szCs w:val="21"/>
              </w:rPr>
            </w:pPr>
            <w:r>
              <w:rPr>
                <w:rFonts w:cs="Times New Roman" w:eastAsiaTheme="minorEastAsia"/>
                <w:b/>
                <w:bCs/>
                <w:sz w:val="21"/>
                <w:szCs w:val="21"/>
              </w:rPr>
              <w:t>收集方式</w:t>
            </w:r>
          </w:p>
        </w:tc>
        <w:tc>
          <w:tcPr>
            <w:tcW w:w="2075" w:type="dxa"/>
            <w:shd w:val="clear" w:color="auto" w:fill="auto"/>
            <w:vAlign w:val="center"/>
          </w:tcPr>
          <w:p>
            <w:pPr>
              <w:spacing w:line="240" w:lineRule="auto"/>
              <w:ind w:firstLine="0" w:firstLineChars="0"/>
              <w:jc w:val="center"/>
              <w:rPr>
                <w:rFonts w:cs="Times New Roman" w:eastAsiaTheme="minorEastAsia"/>
                <w:b/>
                <w:bCs/>
                <w:sz w:val="21"/>
                <w:szCs w:val="21"/>
              </w:rPr>
            </w:pPr>
            <w:r>
              <w:rPr>
                <w:rFonts w:cs="Times New Roman" w:eastAsiaTheme="minorEastAsia"/>
                <w:b/>
                <w:bCs/>
                <w:sz w:val="21"/>
                <w:szCs w:val="21"/>
              </w:rPr>
              <w:t>处理工艺</w:t>
            </w:r>
          </w:p>
        </w:tc>
        <w:tc>
          <w:tcPr>
            <w:tcW w:w="1298" w:type="dxa"/>
            <w:shd w:val="clear" w:color="auto" w:fill="auto"/>
            <w:vAlign w:val="center"/>
          </w:tcPr>
          <w:p>
            <w:pPr>
              <w:spacing w:line="240" w:lineRule="auto"/>
              <w:ind w:firstLine="0" w:firstLineChars="0"/>
              <w:jc w:val="center"/>
              <w:rPr>
                <w:rFonts w:cs="Times New Roman" w:eastAsiaTheme="minorEastAsia"/>
                <w:b/>
                <w:bCs/>
                <w:sz w:val="21"/>
                <w:szCs w:val="21"/>
              </w:rPr>
            </w:pPr>
            <w:r>
              <w:rPr>
                <w:rFonts w:hint="eastAsia" w:cs="Times New Roman" w:eastAsiaTheme="minorEastAsia"/>
                <w:b/>
                <w:bCs/>
                <w:sz w:val="21"/>
                <w:szCs w:val="21"/>
              </w:rPr>
              <w:t>工作机制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938" w:type="dxa"/>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配料</w:t>
            </w:r>
          </w:p>
        </w:tc>
        <w:tc>
          <w:tcPr>
            <w:tcW w:w="2093" w:type="dxa"/>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粉尘（颗粒物）</w:t>
            </w:r>
          </w:p>
        </w:tc>
        <w:tc>
          <w:tcPr>
            <w:tcW w:w="4788" w:type="dxa"/>
            <w:gridSpan w:val="2"/>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无收集、处理措施</w:t>
            </w:r>
          </w:p>
        </w:tc>
        <w:tc>
          <w:tcPr>
            <w:tcW w:w="1298" w:type="dxa"/>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年工作</w:t>
            </w:r>
            <w:r>
              <w:rPr>
                <w:rStyle w:val="63"/>
                <w:color w:val="000000" w:themeColor="text1"/>
                <w14:textFill>
                  <w14:solidFill>
                    <w14:schemeClr w14:val="tx1"/>
                  </w14:solidFill>
                </w14:textFill>
              </w:rPr>
              <w:t>168</w:t>
            </w:r>
            <w:r>
              <w:rPr>
                <w:rStyle w:val="63"/>
                <w:rFonts w:hint="eastAsia"/>
                <w:color w:val="000000" w:themeColor="text1"/>
                <w14:textFill>
                  <w14:solidFill>
                    <w14:schemeClr w14:val="tx1"/>
                  </w14:solidFill>
                </w14:textFill>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938" w:type="dxa"/>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密炼</w:t>
            </w:r>
          </w:p>
        </w:tc>
        <w:tc>
          <w:tcPr>
            <w:tcW w:w="2093" w:type="dxa"/>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粉尘（颗粒物）、</w:t>
            </w:r>
            <w:r>
              <w:rPr>
                <w:rFonts w:cs="Times New Roman" w:eastAsiaTheme="minorEastAsia"/>
                <w:sz w:val="21"/>
                <w:szCs w:val="21"/>
              </w:rPr>
              <w:t>H</w:t>
            </w:r>
            <w:r>
              <w:rPr>
                <w:rFonts w:cs="Times New Roman" w:eastAsiaTheme="minorEastAsia"/>
                <w:sz w:val="21"/>
                <w:szCs w:val="21"/>
                <w:vertAlign w:val="subscript"/>
              </w:rPr>
              <w:t>2</w:t>
            </w:r>
            <w:r>
              <w:rPr>
                <w:rFonts w:cs="Times New Roman" w:eastAsiaTheme="minorEastAsia"/>
                <w:sz w:val="21"/>
                <w:szCs w:val="21"/>
              </w:rPr>
              <w:t>S、非甲烷总烃、臭气浓度</w:t>
            </w:r>
          </w:p>
        </w:tc>
        <w:tc>
          <w:tcPr>
            <w:tcW w:w="2713" w:type="dxa"/>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密炼机顶部排气管收集</w:t>
            </w:r>
          </w:p>
        </w:tc>
        <w:tc>
          <w:tcPr>
            <w:tcW w:w="2075" w:type="dxa"/>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布袋除尘处理后与开炼废气、硫化废气经活性炭吸附处理</w:t>
            </w:r>
          </w:p>
        </w:tc>
        <w:tc>
          <w:tcPr>
            <w:tcW w:w="1298" w:type="dxa"/>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年工作</w:t>
            </w:r>
            <w:r>
              <w:rPr>
                <w:rFonts w:cs="Times New Roman" w:eastAsiaTheme="minorEastAsia"/>
                <w:sz w:val="21"/>
                <w:szCs w:val="21"/>
              </w:rPr>
              <w:t>2400</w:t>
            </w:r>
            <w:r>
              <w:rPr>
                <w:rFonts w:hint="eastAsia" w:cs="Times New Roman" w:eastAsiaTheme="minorEastAsia"/>
                <w:sz w:val="21"/>
                <w:szCs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938" w:type="dxa"/>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开炼</w:t>
            </w:r>
          </w:p>
        </w:tc>
        <w:tc>
          <w:tcPr>
            <w:tcW w:w="2093" w:type="dxa"/>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H</w:t>
            </w:r>
            <w:r>
              <w:rPr>
                <w:rFonts w:cs="Times New Roman" w:eastAsiaTheme="minorEastAsia"/>
                <w:sz w:val="21"/>
                <w:szCs w:val="21"/>
                <w:vertAlign w:val="subscript"/>
              </w:rPr>
              <w:t>2</w:t>
            </w:r>
            <w:r>
              <w:rPr>
                <w:rFonts w:cs="Times New Roman" w:eastAsiaTheme="minorEastAsia"/>
                <w:sz w:val="21"/>
                <w:szCs w:val="21"/>
              </w:rPr>
              <w:t>S、非甲烷总烃、臭气浓度</w:t>
            </w:r>
          </w:p>
        </w:tc>
        <w:tc>
          <w:tcPr>
            <w:tcW w:w="2713" w:type="dxa"/>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开炼机上方集气罩收集</w:t>
            </w:r>
          </w:p>
        </w:tc>
        <w:tc>
          <w:tcPr>
            <w:tcW w:w="2075" w:type="dxa"/>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与密炼废气、硫化废气一起经</w:t>
            </w:r>
            <w:r>
              <w:rPr>
                <w:rFonts w:cs="Times New Roman" w:eastAsiaTheme="minorEastAsia"/>
                <w:sz w:val="21"/>
                <w:szCs w:val="21"/>
              </w:rPr>
              <w:t>活性炭吸附</w:t>
            </w:r>
          </w:p>
        </w:tc>
        <w:tc>
          <w:tcPr>
            <w:tcW w:w="1298" w:type="dxa"/>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年工作</w:t>
            </w:r>
            <w:r>
              <w:rPr>
                <w:rFonts w:cs="Times New Roman" w:eastAsiaTheme="minorEastAsia"/>
                <w:sz w:val="21"/>
                <w:szCs w:val="21"/>
              </w:rPr>
              <w:t>2400</w:t>
            </w:r>
            <w:r>
              <w:rPr>
                <w:rFonts w:hint="eastAsia" w:cs="Times New Roman" w:eastAsiaTheme="minorEastAsia"/>
                <w:sz w:val="21"/>
                <w:szCs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938" w:type="dxa"/>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硫化</w:t>
            </w:r>
          </w:p>
        </w:tc>
        <w:tc>
          <w:tcPr>
            <w:tcW w:w="2093" w:type="dxa"/>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H</w:t>
            </w:r>
            <w:r>
              <w:rPr>
                <w:rFonts w:cs="Times New Roman" w:eastAsiaTheme="minorEastAsia"/>
                <w:sz w:val="21"/>
                <w:szCs w:val="21"/>
                <w:vertAlign w:val="subscript"/>
              </w:rPr>
              <w:t>2</w:t>
            </w:r>
            <w:r>
              <w:rPr>
                <w:rFonts w:cs="Times New Roman" w:eastAsiaTheme="minorEastAsia"/>
                <w:sz w:val="21"/>
                <w:szCs w:val="21"/>
              </w:rPr>
              <w:t>S、非甲烷总烃、臭气浓度</w:t>
            </w:r>
          </w:p>
        </w:tc>
        <w:tc>
          <w:tcPr>
            <w:tcW w:w="2713" w:type="dxa"/>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硫化机组上方设集气罩，对硫化机组打开瞬间的废气进行收集</w:t>
            </w:r>
          </w:p>
        </w:tc>
        <w:tc>
          <w:tcPr>
            <w:tcW w:w="2075" w:type="dxa"/>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与</w:t>
            </w:r>
            <w:r>
              <w:rPr>
                <w:rFonts w:hint="eastAsia" w:cs="Times New Roman" w:eastAsiaTheme="minorEastAsia"/>
                <w:sz w:val="21"/>
                <w:szCs w:val="21"/>
              </w:rPr>
              <w:t>密炼废气、开炼</w:t>
            </w:r>
            <w:r>
              <w:rPr>
                <w:rFonts w:cs="Times New Roman" w:eastAsiaTheme="minorEastAsia"/>
                <w:sz w:val="21"/>
                <w:szCs w:val="21"/>
              </w:rPr>
              <w:t>废气一起经活性炭吸附</w:t>
            </w:r>
            <w:r>
              <w:rPr>
                <w:rFonts w:hint="eastAsia" w:cs="Times New Roman" w:eastAsiaTheme="minorEastAsia"/>
                <w:sz w:val="21"/>
                <w:szCs w:val="21"/>
              </w:rPr>
              <w:t>处理</w:t>
            </w:r>
          </w:p>
        </w:tc>
        <w:tc>
          <w:tcPr>
            <w:tcW w:w="1298" w:type="dxa"/>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年工作</w:t>
            </w:r>
            <w:r>
              <w:rPr>
                <w:rFonts w:cs="Times New Roman" w:eastAsiaTheme="minorEastAsia"/>
                <w:sz w:val="21"/>
                <w:szCs w:val="21"/>
              </w:rPr>
              <w:t>2400</w:t>
            </w:r>
            <w:r>
              <w:rPr>
                <w:rFonts w:hint="eastAsia" w:cs="Times New Roman" w:eastAsiaTheme="minorEastAsia"/>
                <w:sz w:val="21"/>
                <w:szCs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938" w:type="dxa"/>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抛丸</w:t>
            </w:r>
          </w:p>
        </w:tc>
        <w:tc>
          <w:tcPr>
            <w:tcW w:w="2093" w:type="dxa"/>
            <w:vAlign w:val="center"/>
          </w:tcPr>
          <w:p>
            <w:pPr>
              <w:spacing w:line="240" w:lineRule="auto"/>
              <w:ind w:firstLine="0" w:firstLineChars="0"/>
              <w:jc w:val="center"/>
              <w:rPr>
                <w:rFonts w:cs="Times New Roman" w:eastAsiaTheme="minorEastAsia"/>
                <w:sz w:val="21"/>
                <w:szCs w:val="21"/>
              </w:rPr>
            </w:pPr>
            <w:r>
              <w:rPr>
                <w:rStyle w:val="63"/>
                <w:rFonts w:hint="eastAsia"/>
                <w:color w:val="000000" w:themeColor="text1"/>
                <w:sz w:val="21"/>
                <w:szCs w:val="21"/>
                <w14:textFill>
                  <w14:solidFill>
                    <w14:schemeClr w14:val="tx1"/>
                  </w14:solidFill>
                </w14:textFill>
              </w:rPr>
              <w:t>粉尘（颗粒物）</w:t>
            </w:r>
          </w:p>
        </w:tc>
        <w:tc>
          <w:tcPr>
            <w:tcW w:w="2713" w:type="dxa"/>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自带粉尘收集装置</w:t>
            </w:r>
          </w:p>
        </w:tc>
        <w:tc>
          <w:tcPr>
            <w:tcW w:w="2075" w:type="dxa"/>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自带除尘器</w:t>
            </w:r>
          </w:p>
        </w:tc>
        <w:tc>
          <w:tcPr>
            <w:tcW w:w="1298" w:type="dxa"/>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年工作</w:t>
            </w:r>
            <w:r>
              <w:rPr>
                <w:rFonts w:cs="Times New Roman" w:eastAsiaTheme="minorEastAsia"/>
                <w:sz w:val="21"/>
                <w:szCs w:val="21"/>
              </w:rPr>
              <w:t>1200</w:t>
            </w:r>
            <w:r>
              <w:rPr>
                <w:rFonts w:hint="eastAsia" w:cs="Times New Roman" w:eastAsiaTheme="minorEastAsia"/>
                <w:sz w:val="21"/>
                <w:szCs w:val="21"/>
              </w:rPr>
              <w:t>h</w:t>
            </w:r>
          </w:p>
        </w:tc>
      </w:tr>
    </w:tbl>
    <w:p>
      <w:pPr>
        <w:spacing w:line="240" w:lineRule="auto"/>
        <w:ind w:firstLine="0" w:firstLineChars="0"/>
        <w:rPr>
          <w:rFonts w:cs="Times New Roman" w:eastAsiaTheme="minorEastAsia"/>
          <w:b/>
          <w:bCs/>
          <w:sz w:val="21"/>
          <w:szCs w:val="21"/>
        </w:rPr>
      </w:pPr>
      <w:r>
        <w:rPr>
          <w:rFonts w:cs="Times New Roman" w:eastAsiaTheme="minorEastAsia"/>
          <w:b/>
          <w:bCs/>
          <w:sz w:val="21"/>
          <w:szCs w:val="21"/>
        </w:rPr>
        <w:t>注：</w:t>
      </w:r>
      <w:r>
        <w:rPr>
          <w:rFonts w:hint="eastAsia" w:cs="Times New Roman" w:eastAsiaTheme="minorEastAsia"/>
          <w:b/>
          <w:bCs/>
          <w:sz w:val="21"/>
          <w:szCs w:val="21"/>
        </w:rPr>
        <w:t>项目正常生产为一班制，每班8小时，年生产时间约</w:t>
      </w:r>
      <w:r>
        <w:rPr>
          <w:rFonts w:cs="Times New Roman" w:eastAsiaTheme="minorEastAsia"/>
          <w:b/>
          <w:bCs/>
          <w:sz w:val="21"/>
          <w:szCs w:val="21"/>
        </w:rPr>
        <w:t>30</w:t>
      </w:r>
      <w:r>
        <w:rPr>
          <w:rFonts w:hint="eastAsia" w:cs="Times New Roman" w:eastAsiaTheme="minorEastAsia"/>
          <w:b/>
          <w:bCs/>
          <w:sz w:val="21"/>
          <w:szCs w:val="21"/>
        </w:rPr>
        <w:t>0天（</w:t>
      </w:r>
      <w:r>
        <w:rPr>
          <w:rFonts w:cs="Times New Roman" w:eastAsiaTheme="minorEastAsia"/>
          <w:b/>
          <w:bCs/>
          <w:sz w:val="21"/>
          <w:szCs w:val="21"/>
        </w:rPr>
        <w:t>240</w:t>
      </w:r>
      <w:r>
        <w:rPr>
          <w:rFonts w:hint="eastAsia" w:cs="Times New Roman" w:eastAsiaTheme="minorEastAsia"/>
          <w:b/>
          <w:bCs/>
          <w:sz w:val="21"/>
          <w:szCs w:val="21"/>
        </w:rPr>
        <w:t>0小时）。</w:t>
      </w:r>
    </w:p>
    <w:p>
      <w:pPr>
        <w:pStyle w:val="162"/>
        <w:numPr>
          <w:ilvl w:val="0"/>
          <w:numId w:val="0"/>
        </w:numPr>
      </w:pPr>
      <w:r>
        <w:rPr>
          <w:rFonts w:hint="eastAsia"/>
        </w:rPr>
        <w:t>项目工艺废气产排情况现状汇总</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通过物料平衡和产排污系数法计算得出的项目废气中各污染物现状排气筒有组织排放情况汇总见下表。</w:t>
      </w:r>
    </w:p>
    <w:p>
      <w:pPr>
        <w:pStyle w:val="18"/>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15</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项目废气现状排气筒有组织排放情况</w:t>
      </w:r>
    </w:p>
    <w:tbl>
      <w:tblPr>
        <w:tblStyle w:val="56"/>
        <w:tblW w:w="93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82"/>
        <w:gridCol w:w="1267"/>
        <w:gridCol w:w="1232"/>
        <w:gridCol w:w="968"/>
        <w:gridCol w:w="1131"/>
        <w:gridCol w:w="1232"/>
        <w:gridCol w:w="1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2382"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污染源</w:t>
            </w:r>
          </w:p>
        </w:tc>
        <w:tc>
          <w:tcPr>
            <w:tcW w:w="1267"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污染物</w:t>
            </w:r>
          </w:p>
        </w:tc>
        <w:tc>
          <w:tcPr>
            <w:tcW w:w="3331" w:type="dxa"/>
            <w:gridSpan w:val="3"/>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有组织产生情况</w:t>
            </w:r>
          </w:p>
        </w:tc>
        <w:tc>
          <w:tcPr>
            <w:tcW w:w="2363" w:type="dxa"/>
            <w:gridSpan w:val="2"/>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2382" w:type="dxa"/>
            <w:vMerge w:val="continue"/>
            <w:shd w:val="clear" w:color="auto" w:fill="auto"/>
            <w:vAlign w:val="center"/>
          </w:tcPr>
          <w:p>
            <w:pPr>
              <w:pStyle w:val="107"/>
              <w:rPr>
                <w:rStyle w:val="63"/>
                <w:color w:val="000000" w:themeColor="text1"/>
                <w14:textFill>
                  <w14:solidFill>
                    <w14:schemeClr w14:val="tx1"/>
                  </w14:solidFill>
                </w14:textFill>
              </w:rPr>
            </w:pPr>
          </w:p>
        </w:tc>
        <w:tc>
          <w:tcPr>
            <w:tcW w:w="1267" w:type="dxa"/>
            <w:vMerge w:val="continue"/>
            <w:shd w:val="clear" w:color="auto" w:fill="auto"/>
            <w:vAlign w:val="center"/>
          </w:tcPr>
          <w:p>
            <w:pPr>
              <w:pStyle w:val="107"/>
              <w:rPr>
                <w:rStyle w:val="63"/>
                <w:color w:val="000000" w:themeColor="text1"/>
                <w14:textFill>
                  <w14:solidFill>
                    <w14:schemeClr w14:val="tx1"/>
                  </w14:solidFill>
                </w14:textFill>
              </w:rPr>
            </w:pPr>
          </w:p>
        </w:tc>
        <w:tc>
          <w:tcPr>
            <w:tcW w:w="123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968"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收集风量</w:t>
            </w:r>
            <w:r>
              <w:rPr>
                <w:rStyle w:val="63"/>
                <w:color w:val="000000" w:themeColor="text1"/>
                <w14:textFill>
                  <w14:solidFill>
                    <w14:schemeClr w14:val="tx1"/>
                  </w14:solidFill>
                </w14:textFill>
              </w:rPr>
              <w:t>(m³/h)</w:t>
            </w:r>
          </w:p>
        </w:tc>
        <w:tc>
          <w:tcPr>
            <w:tcW w:w="1131"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产生浓度</w:t>
            </w:r>
            <w:r>
              <w:rPr>
                <w:rStyle w:val="63"/>
                <w:color w:val="000000" w:themeColor="text1"/>
                <w14:textFill>
                  <w14:solidFill>
                    <w14:schemeClr w14:val="tx1"/>
                  </w14:solidFill>
                </w14:textFill>
              </w:rPr>
              <w:t>(mg/m³)</w:t>
            </w:r>
          </w:p>
        </w:tc>
        <w:tc>
          <w:tcPr>
            <w:tcW w:w="123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1131"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排放浓度</w:t>
            </w:r>
            <w:r>
              <w:rPr>
                <w:rStyle w:val="63"/>
                <w:color w:val="000000" w:themeColor="text1"/>
                <w14:textFill>
                  <w14:solidFill>
                    <w14:schemeClr w14:val="tx1"/>
                  </w14:solidFill>
                </w14:textFill>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382"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排气筒P1（正常工况）</w:t>
            </w:r>
          </w:p>
        </w:tc>
        <w:tc>
          <w:tcPr>
            <w:tcW w:w="126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0.1</w:t>
            </w:r>
            <w:r>
              <w:rPr>
                <w:rStyle w:val="63"/>
                <w:color w:val="000000" w:themeColor="text1"/>
                <w14:textFill>
                  <w14:solidFill>
                    <w14:schemeClr w14:val="tx1"/>
                  </w14:solidFill>
                </w14:textFill>
              </w:rPr>
              <w:t>319</w:t>
            </w:r>
          </w:p>
        </w:tc>
        <w:tc>
          <w:tcPr>
            <w:tcW w:w="968"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w:t>
            </w:r>
            <w:r>
              <w:rPr>
                <w:rStyle w:val="63"/>
                <w:color w:val="000000" w:themeColor="text1"/>
                <w14:textFill>
                  <w14:solidFill>
                    <w14:schemeClr w14:val="tx1"/>
                  </w14:solidFill>
                </w14:textFill>
              </w:rPr>
              <w:t>319</w:t>
            </w:r>
            <w:r>
              <w:rPr>
                <w:rStyle w:val="63"/>
                <w:rFonts w:hint="eastAsia"/>
                <w:color w:val="000000" w:themeColor="text1"/>
                <w14:textFill>
                  <w14:solidFill>
                    <w14:schemeClr w14:val="tx1"/>
                  </w14:solidFill>
                </w14:textFill>
              </w:rPr>
              <w:t xml:space="preserve"> </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382" w:type="dxa"/>
            <w:vMerge w:val="continue"/>
            <w:shd w:val="clear" w:color="auto" w:fill="auto"/>
            <w:noWrap/>
            <w:vAlign w:val="center"/>
          </w:tcPr>
          <w:p>
            <w:pPr>
              <w:pStyle w:val="107"/>
              <w:rPr>
                <w:rStyle w:val="63"/>
                <w:color w:val="000000" w:themeColor="text1"/>
                <w14:textFill>
                  <w14:solidFill>
                    <w14:schemeClr w14:val="tx1"/>
                  </w14:solidFill>
                </w14:textFill>
              </w:rPr>
            </w:pPr>
          </w:p>
        </w:tc>
        <w:tc>
          <w:tcPr>
            <w:tcW w:w="126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0981</w:t>
            </w:r>
          </w:p>
        </w:tc>
        <w:tc>
          <w:tcPr>
            <w:tcW w:w="968"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4.46</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1472</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0.669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382" w:type="dxa"/>
            <w:vMerge w:val="continue"/>
            <w:shd w:val="clear" w:color="auto" w:fill="auto"/>
            <w:vAlign w:val="center"/>
          </w:tcPr>
          <w:p>
            <w:pPr>
              <w:pStyle w:val="107"/>
              <w:rPr>
                <w:rStyle w:val="63"/>
                <w:color w:val="000000" w:themeColor="text1"/>
                <w14:textFill>
                  <w14:solidFill>
                    <w14:schemeClr w14:val="tx1"/>
                  </w14:solidFill>
                </w14:textFill>
              </w:rPr>
            </w:pPr>
          </w:p>
        </w:tc>
        <w:tc>
          <w:tcPr>
            <w:tcW w:w="126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w:t>
            </w:r>
            <w:r>
              <w:rPr>
                <w:rStyle w:val="63"/>
                <w:color w:val="000000" w:themeColor="text1"/>
                <w14:textFill>
                  <w14:solidFill>
                    <w14:schemeClr w14:val="tx1"/>
                  </w14:solidFill>
                </w14:textFill>
              </w:rPr>
              <w:t>36</w:t>
            </w:r>
          </w:p>
        </w:tc>
        <w:tc>
          <w:tcPr>
            <w:tcW w:w="968"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0.1</w:t>
            </w:r>
            <w:r>
              <w:rPr>
                <w:rStyle w:val="63"/>
                <w:color w:val="000000" w:themeColor="text1"/>
                <w14:textFill>
                  <w14:solidFill>
                    <w14:schemeClr w14:val="tx1"/>
                  </w14:solidFill>
                </w14:textFill>
              </w:rPr>
              <w:t>6</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0.000</w:t>
            </w:r>
            <w:r>
              <w:rPr>
                <w:rStyle w:val="63"/>
                <w:color w:val="000000" w:themeColor="text1"/>
                <w14:textFill>
                  <w14:solidFill>
                    <w14:schemeClr w14:val="tx1"/>
                  </w14:solidFill>
                </w14:textFill>
              </w:rPr>
              <w:t>54</w:t>
            </w:r>
            <w:r>
              <w:rPr>
                <w:rStyle w:val="63"/>
                <w:rFonts w:hint="eastAsia"/>
                <w:color w:val="000000" w:themeColor="text1"/>
                <w14:textFill>
                  <w14:solidFill>
                    <w14:schemeClr w14:val="tx1"/>
                  </w14:solidFill>
                </w14:textFill>
              </w:rPr>
              <w:t xml:space="preserve"> </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0245</w:t>
            </w:r>
            <w:r>
              <w:rPr>
                <w:rStyle w:val="63"/>
                <w:rFonts w:hint="eastAsia"/>
                <w:color w:val="000000" w:themeColor="text1"/>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382" w:type="dxa"/>
            <w:vMerge w:val="restart"/>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排气筒P1（最大工况）</w:t>
            </w:r>
          </w:p>
        </w:tc>
        <w:tc>
          <w:tcPr>
            <w:tcW w:w="126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0.2166 </w:t>
            </w:r>
          </w:p>
        </w:tc>
        <w:tc>
          <w:tcPr>
            <w:tcW w:w="968"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30.94 </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0.0022 </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0.32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382" w:type="dxa"/>
            <w:vMerge w:val="continue"/>
            <w:shd w:val="clear" w:color="auto" w:fill="auto"/>
            <w:vAlign w:val="center"/>
          </w:tcPr>
          <w:p>
            <w:pPr>
              <w:pStyle w:val="107"/>
              <w:rPr>
                <w:rStyle w:val="63"/>
                <w:color w:val="000000" w:themeColor="text1"/>
                <w14:textFill>
                  <w14:solidFill>
                    <w14:schemeClr w14:val="tx1"/>
                  </w14:solidFill>
                </w14:textFill>
              </w:rPr>
            </w:pPr>
          </w:p>
        </w:tc>
        <w:tc>
          <w:tcPr>
            <w:tcW w:w="126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0.0696 </w:t>
            </w:r>
          </w:p>
        </w:tc>
        <w:tc>
          <w:tcPr>
            <w:tcW w:w="968"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9.94 </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0.0696 </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9.94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382" w:type="dxa"/>
            <w:vMerge w:val="continue"/>
            <w:shd w:val="clear" w:color="auto" w:fill="auto"/>
            <w:vAlign w:val="center"/>
          </w:tcPr>
          <w:p>
            <w:pPr>
              <w:pStyle w:val="107"/>
              <w:rPr>
                <w:rStyle w:val="63"/>
                <w:color w:val="000000" w:themeColor="text1"/>
                <w14:textFill>
                  <w14:solidFill>
                    <w14:schemeClr w14:val="tx1"/>
                  </w14:solidFill>
                </w14:textFill>
              </w:rPr>
            </w:pPr>
          </w:p>
        </w:tc>
        <w:tc>
          <w:tcPr>
            <w:tcW w:w="126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0.0014 </w:t>
            </w:r>
          </w:p>
        </w:tc>
        <w:tc>
          <w:tcPr>
            <w:tcW w:w="968"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0.20 </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0.0014 </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382" w:type="dxa"/>
            <w:shd w:val="clear" w:color="auto" w:fill="auto"/>
            <w:vAlign w:val="center"/>
          </w:tcPr>
          <w:p>
            <w:pPr>
              <w:pStyle w:val="107"/>
              <w:rPr>
                <w:rStyle w:val="63"/>
              </w:rPr>
            </w:pPr>
            <w:r>
              <w:rPr>
                <w:rStyle w:val="63"/>
                <w:rFonts w:hint="eastAsia"/>
                <w:color w:val="000000" w:themeColor="text1"/>
                <w14:textFill>
                  <w14:solidFill>
                    <w14:schemeClr w14:val="tx1"/>
                  </w14:solidFill>
                </w14:textFill>
              </w:rPr>
              <w:t>排气筒P</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（正常工况）</w:t>
            </w:r>
          </w:p>
        </w:tc>
        <w:tc>
          <w:tcPr>
            <w:tcW w:w="1267" w:type="dxa"/>
            <w:shd w:val="clear" w:color="auto" w:fill="auto"/>
            <w:noWrap/>
            <w:vAlign w:val="center"/>
          </w:tcPr>
          <w:p>
            <w:pPr>
              <w:pStyle w:val="107"/>
              <w:rPr>
                <w:rStyle w:val="63"/>
              </w:rPr>
            </w:pPr>
            <w:r>
              <w:rPr>
                <w:rStyle w:val="63"/>
                <w:rFonts w:hint="eastAsia"/>
                <w:color w:val="000000" w:themeColor="text1"/>
                <w14:textFill>
                  <w14:solidFill>
                    <w14:schemeClr w14:val="tx1"/>
                  </w14:solidFill>
                </w14:textFill>
              </w:rPr>
              <w:t>颗粒物</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.667</w:t>
            </w:r>
          </w:p>
        </w:tc>
        <w:tc>
          <w:tcPr>
            <w:tcW w:w="968"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6</w:t>
            </w:r>
            <w:r>
              <w:rPr>
                <w:rStyle w:val="63"/>
                <w:color w:val="000000" w:themeColor="text1"/>
                <w14:textFill>
                  <w14:solidFill>
                    <w14:schemeClr w14:val="tx1"/>
                  </w14:solidFill>
                </w14:textFill>
              </w:rPr>
              <w:t>000</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77.8</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.1667</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7.78</w:t>
            </w:r>
          </w:p>
        </w:tc>
      </w:tr>
    </w:tbl>
    <w:p>
      <w:pPr>
        <w:ind w:firstLine="480"/>
        <w:rPr>
          <w:rStyle w:val="63"/>
          <w:color w:val="000000" w:themeColor="text1"/>
          <w14:textFill>
            <w14:solidFill>
              <w14:schemeClr w14:val="tx1"/>
            </w14:solidFill>
          </w14:textFill>
        </w:rPr>
      </w:pPr>
      <w:r>
        <w:rPr>
          <w:rStyle w:val="63"/>
          <w:color w:val="000000" w:themeColor="text1"/>
          <w14:textFill>
            <w14:solidFill>
              <w14:schemeClr w14:val="tx1"/>
            </w14:solidFill>
          </w14:textFill>
        </w:rPr>
        <w:t>为了解工程项目污染源排放</w:t>
      </w:r>
      <w:r>
        <w:rPr>
          <w:rStyle w:val="63"/>
          <w:rFonts w:hint="eastAsia"/>
          <w:color w:val="000000" w:themeColor="text1"/>
          <w14:textFill>
            <w14:solidFill>
              <w14:schemeClr w14:val="tx1"/>
            </w14:solidFill>
          </w14:textFill>
        </w:rPr>
        <w:t>现状，本次评价委托广州市二轻系统环境监测站于2019年01月21日-2018年01月22日对项目废气污染物的排气筒密炼废气处理前，开炼、硫化废气处理前的有组织排放浓度进行了实际监测，监测期间项目生产线处于满负荷生产状态（即最大工况状态）。根据监测结果统计得项目废气处理前的有组织实测排放浓度平均值见下表。</w:t>
      </w:r>
    </w:p>
    <w:p>
      <w:pPr>
        <w:pStyle w:val="18"/>
        <w:rPr>
          <w:rStyle w:val="63"/>
          <w:color w:val="000000" w:themeColor="text1"/>
          <w14:textFill>
            <w14:solidFill>
              <w14:schemeClr w14:val="tx1"/>
            </w14:solidFill>
          </w14:textFill>
        </w:rPr>
      </w:pPr>
      <w:bookmarkStart w:id="218" w:name="_Ref3330911"/>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16</w:t>
      </w:r>
      <w:r>
        <w:rPr>
          <w:rStyle w:val="63"/>
          <w:color w:val="000000" w:themeColor="text1"/>
          <w14:textFill>
            <w14:solidFill>
              <w14:schemeClr w14:val="tx1"/>
            </w14:solidFill>
          </w14:textFill>
        </w:rPr>
        <w:fldChar w:fldCharType="end"/>
      </w:r>
      <w:bookmarkEnd w:id="218"/>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废气处理前实测排放平均值</w:t>
      </w:r>
    </w:p>
    <w:tbl>
      <w:tblPr>
        <w:tblStyle w:val="56"/>
        <w:tblW w:w="9254" w:type="dxa"/>
        <w:tblInd w:w="0" w:type="dxa"/>
        <w:tblLayout w:type="fixed"/>
        <w:tblCellMar>
          <w:top w:w="0" w:type="dxa"/>
          <w:left w:w="108" w:type="dxa"/>
          <w:bottom w:w="0" w:type="dxa"/>
          <w:right w:w="108" w:type="dxa"/>
        </w:tblCellMar>
      </w:tblPr>
      <w:tblGrid>
        <w:gridCol w:w="1327"/>
        <w:gridCol w:w="1004"/>
        <w:gridCol w:w="1110"/>
        <w:gridCol w:w="828"/>
        <w:gridCol w:w="1104"/>
        <w:gridCol w:w="967"/>
        <w:gridCol w:w="1100"/>
        <w:gridCol w:w="969"/>
        <w:gridCol w:w="845"/>
      </w:tblGrid>
      <w:tr>
        <w:tblPrEx>
          <w:tblLayout w:type="fixed"/>
          <w:tblCellMar>
            <w:top w:w="0" w:type="dxa"/>
            <w:left w:w="108" w:type="dxa"/>
            <w:bottom w:w="0" w:type="dxa"/>
            <w:right w:w="108" w:type="dxa"/>
          </w:tblCellMar>
        </w:tblPrEx>
        <w:trPr>
          <w:trHeight w:val="285" w:hRule="atLeast"/>
        </w:trPr>
        <w:tc>
          <w:tcPr>
            <w:tcW w:w="132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w:t>
            </w:r>
          </w:p>
        </w:tc>
        <w:tc>
          <w:tcPr>
            <w:tcW w:w="100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标干流量</w:t>
            </w:r>
            <w:r>
              <w:rPr>
                <w:rStyle w:val="63"/>
                <w:color w:val="000000" w:themeColor="text1"/>
                <w14:textFill>
                  <w14:solidFill>
                    <w14:schemeClr w14:val="tx1"/>
                  </w14:solidFill>
                </w14:textFill>
              </w:rPr>
              <w:t>m</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/h</w:t>
            </w:r>
          </w:p>
        </w:tc>
        <w:tc>
          <w:tcPr>
            <w:tcW w:w="1938" w:type="dxa"/>
            <w:gridSpan w:val="2"/>
            <w:tcBorders>
              <w:top w:val="single" w:color="auto" w:sz="4" w:space="0"/>
              <w:left w:val="nil"/>
              <w:bottom w:val="single" w:color="auto" w:sz="4" w:space="0"/>
              <w:right w:val="single" w:color="000000"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2071" w:type="dxa"/>
            <w:gridSpan w:val="2"/>
            <w:tcBorders>
              <w:top w:val="single" w:color="auto" w:sz="4" w:space="0"/>
              <w:left w:val="nil"/>
              <w:bottom w:val="single" w:color="auto" w:sz="4" w:space="0"/>
              <w:right w:val="single" w:color="000000"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2069" w:type="dxa"/>
            <w:gridSpan w:val="2"/>
            <w:tcBorders>
              <w:top w:val="single" w:color="auto" w:sz="4" w:space="0"/>
              <w:left w:val="nil"/>
              <w:bottom w:val="single" w:color="auto" w:sz="4" w:space="0"/>
              <w:right w:val="single" w:color="000000"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845"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臭气浓度（无量纲）</w:t>
            </w:r>
          </w:p>
        </w:tc>
      </w:tr>
      <w:tr>
        <w:tblPrEx>
          <w:tblLayout w:type="fixed"/>
          <w:tblCellMar>
            <w:top w:w="0" w:type="dxa"/>
            <w:left w:w="108" w:type="dxa"/>
            <w:bottom w:w="0" w:type="dxa"/>
            <w:right w:w="108" w:type="dxa"/>
          </w:tblCellMar>
        </w:tblPrEx>
        <w:trPr>
          <w:trHeight w:val="570" w:hRule="atLeast"/>
        </w:trPr>
        <w:tc>
          <w:tcPr>
            <w:tcW w:w="1327" w:type="dxa"/>
            <w:vMerge w:val="continue"/>
            <w:tcBorders>
              <w:top w:val="single" w:color="auto" w:sz="4" w:space="0"/>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004" w:type="dxa"/>
            <w:vMerge w:val="continue"/>
            <w:tcBorders>
              <w:top w:val="single" w:color="auto" w:sz="4" w:space="0"/>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110"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排放浓度</w:t>
            </w:r>
            <w:r>
              <w:rPr>
                <w:rStyle w:val="63"/>
                <w:color w:val="000000" w:themeColor="text1"/>
                <w14:textFill>
                  <w14:solidFill>
                    <w14:schemeClr w14:val="tx1"/>
                  </w14:solidFill>
                </w14:textFill>
              </w:rPr>
              <w:t>mg/m</w:t>
            </w:r>
            <w:r>
              <w:rPr>
                <w:rStyle w:val="63"/>
                <w:color w:val="000000" w:themeColor="text1"/>
                <w:vertAlign w:val="superscript"/>
                <w14:textFill>
                  <w14:solidFill>
                    <w14:schemeClr w14:val="tx1"/>
                  </w14:solidFill>
                </w14:textFill>
              </w:rPr>
              <w:t>3</w:t>
            </w:r>
          </w:p>
        </w:tc>
        <w:tc>
          <w:tcPr>
            <w:tcW w:w="828"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p>
        </w:tc>
        <w:tc>
          <w:tcPr>
            <w:tcW w:w="1104"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排放浓度</w:t>
            </w:r>
            <w:r>
              <w:rPr>
                <w:rStyle w:val="63"/>
                <w:color w:val="000000" w:themeColor="text1"/>
                <w14:textFill>
                  <w14:solidFill>
                    <w14:schemeClr w14:val="tx1"/>
                  </w14:solidFill>
                </w14:textFill>
              </w:rPr>
              <w:t>mg/m</w:t>
            </w:r>
            <w:r>
              <w:rPr>
                <w:rStyle w:val="63"/>
                <w:color w:val="000000" w:themeColor="text1"/>
                <w:vertAlign w:val="superscript"/>
                <w14:textFill>
                  <w14:solidFill>
                    <w14:schemeClr w14:val="tx1"/>
                  </w14:solidFill>
                </w14:textFill>
              </w:rPr>
              <w:t>3</w:t>
            </w:r>
          </w:p>
        </w:tc>
        <w:tc>
          <w:tcPr>
            <w:tcW w:w="967"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p>
        </w:tc>
        <w:tc>
          <w:tcPr>
            <w:tcW w:w="1100"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排放浓度</w:t>
            </w:r>
            <w:r>
              <w:rPr>
                <w:rStyle w:val="63"/>
                <w:color w:val="000000" w:themeColor="text1"/>
                <w14:textFill>
                  <w14:solidFill>
                    <w14:schemeClr w14:val="tx1"/>
                  </w14:solidFill>
                </w14:textFill>
              </w:rPr>
              <w:t>mg/m</w:t>
            </w:r>
            <w:r>
              <w:rPr>
                <w:rStyle w:val="63"/>
                <w:color w:val="000000" w:themeColor="text1"/>
                <w:vertAlign w:val="superscript"/>
                <w14:textFill>
                  <w14:solidFill>
                    <w14:schemeClr w14:val="tx1"/>
                  </w14:solidFill>
                </w14:textFill>
              </w:rPr>
              <w:t>3</w:t>
            </w:r>
          </w:p>
        </w:tc>
        <w:tc>
          <w:tcPr>
            <w:tcW w:w="96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p>
        </w:tc>
        <w:tc>
          <w:tcPr>
            <w:tcW w:w="845" w:type="dxa"/>
            <w:vMerge w:val="continue"/>
            <w:tcBorders>
              <w:top w:val="single" w:color="auto" w:sz="4" w:space="0"/>
              <w:left w:val="single" w:color="auto" w:sz="4" w:space="0"/>
              <w:bottom w:val="single" w:color="000000" w:sz="4" w:space="0"/>
              <w:right w:val="single" w:color="auto" w:sz="4" w:space="0"/>
            </w:tcBorders>
            <w:vAlign w:val="center"/>
          </w:tcPr>
          <w:p>
            <w:pPr>
              <w:pStyle w:val="107"/>
              <w:rPr>
                <w:rStyle w:val="63"/>
                <w:color w:val="000000" w:themeColor="text1"/>
                <w14:textFill>
                  <w14:solidFill>
                    <w14:schemeClr w14:val="tx1"/>
                  </w14:solidFill>
                </w14:textFill>
              </w:rPr>
            </w:pPr>
          </w:p>
        </w:tc>
      </w:tr>
      <w:tr>
        <w:tblPrEx>
          <w:tblLayout w:type="fixed"/>
          <w:tblCellMar>
            <w:top w:w="0" w:type="dxa"/>
            <w:left w:w="108" w:type="dxa"/>
            <w:bottom w:w="0" w:type="dxa"/>
            <w:right w:w="108" w:type="dxa"/>
          </w:tblCellMar>
        </w:tblPrEx>
        <w:trPr>
          <w:trHeight w:val="285" w:hRule="atLeast"/>
        </w:trPr>
        <w:tc>
          <w:tcPr>
            <w:tcW w:w="1327" w:type="dxa"/>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密炼废气处理前</w:t>
            </w:r>
          </w:p>
        </w:tc>
        <w:tc>
          <w:tcPr>
            <w:tcW w:w="1004"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5464.17 </w:t>
            </w:r>
          </w:p>
        </w:tc>
        <w:tc>
          <w:tcPr>
            <w:tcW w:w="1110"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9.33 </w:t>
            </w:r>
          </w:p>
        </w:tc>
        <w:tc>
          <w:tcPr>
            <w:tcW w:w="82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0.05 </w:t>
            </w:r>
          </w:p>
        </w:tc>
        <w:tc>
          <w:tcPr>
            <w:tcW w:w="1104"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31.68 </w:t>
            </w:r>
          </w:p>
        </w:tc>
        <w:tc>
          <w:tcPr>
            <w:tcW w:w="967"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0.17 </w:t>
            </w:r>
          </w:p>
        </w:tc>
        <w:tc>
          <w:tcPr>
            <w:tcW w:w="1100"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0.28 </w:t>
            </w:r>
          </w:p>
        </w:tc>
        <w:tc>
          <w:tcPr>
            <w:tcW w:w="96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0.0015</w:t>
            </w:r>
          </w:p>
        </w:tc>
        <w:tc>
          <w:tcPr>
            <w:tcW w:w="845"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330.5</w:t>
            </w:r>
          </w:p>
        </w:tc>
      </w:tr>
      <w:tr>
        <w:tblPrEx>
          <w:tblLayout w:type="fixed"/>
          <w:tblCellMar>
            <w:top w:w="0" w:type="dxa"/>
            <w:left w:w="108" w:type="dxa"/>
            <w:bottom w:w="0" w:type="dxa"/>
            <w:right w:w="108" w:type="dxa"/>
          </w:tblCellMar>
        </w:tblPrEx>
        <w:trPr>
          <w:trHeight w:val="285" w:hRule="atLeast"/>
        </w:trPr>
        <w:tc>
          <w:tcPr>
            <w:tcW w:w="1327" w:type="dxa"/>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开炼、硫化废气处理前</w:t>
            </w:r>
          </w:p>
        </w:tc>
        <w:tc>
          <w:tcPr>
            <w:tcW w:w="1004"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27749.83 </w:t>
            </w:r>
          </w:p>
        </w:tc>
        <w:tc>
          <w:tcPr>
            <w:tcW w:w="1110"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4.31 </w:t>
            </w:r>
          </w:p>
        </w:tc>
        <w:tc>
          <w:tcPr>
            <w:tcW w:w="82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0.12 </w:t>
            </w:r>
          </w:p>
        </w:tc>
        <w:tc>
          <w:tcPr>
            <w:tcW w:w="1104"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967"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100"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0.21 </w:t>
            </w:r>
          </w:p>
        </w:tc>
        <w:tc>
          <w:tcPr>
            <w:tcW w:w="96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0.0058</w:t>
            </w:r>
          </w:p>
        </w:tc>
        <w:tc>
          <w:tcPr>
            <w:tcW w:w="845"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33</w:t>
            </w:r>
            <w:r>
              <w:rPr>
                <w:rStyle w:val="63"/>
                <w:color w:val="000000" w:themeColor="text1"/>
                <w14:textFill>
                  <w14:solidFill>
                    <w14:schemeClr w14:val="tx1"/>
                  </w14:solidFill>
                </w14:textFill>
              </w:rPr>
              <w:t>4.8</w:t>
            </w:r>
          </w:p>
        </w:tc>
      </w:tr>
      <w:tr>
        <w:tblPrEx>
          <w:tblLayout w:type="fixed"/>
          <w:tblCellMar>
            <w:top w:w="0" w:type="dxa"/>
            <w:left w:w="108" w:type="dxa"/>
            <w:bottom w:w="0" w:type="dxa"/>
            <w:right w:w="108" w:type="dxa"/>
          </w:tblCellMar>
        </w:tblPrEx>
        <w:trPr>
          <w:trHeight w:val="285" w:hRule="atLeast"/>
        </w:trPr>
        <w:tc>
          <w:tcPr>
            <w:tcW w:w="9254" w:type="dxa"/>
            <w:gridSpan w:val="9"/>
            <w:tcBorders>
              <w:top w:val="single" w:color="auto" w:sz="4" w:space="0"/>
              <w:left w:val="single" w:color="auto" w:sz="4" w:space="0"/>
              <w:bottom w:val="single" w:color="auto" w:sz="4" w:space="0"/>
              <w:right w:val="single" w:color="auto" w:sz="4" w:space="0"/>
            </w:tcBorders>
            <w:shd w:val="clear" w:color="auto" w:fill="auto"/>
            <w:vAlign w:val="center"/>
          </w:tcPr>
          <w:p>
            <w:pPr>
              <w:pStyle w:val="107"/>
              <w:jc w:val="left"/>
            </w:pP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台密炼机同时运行时橡胶加工总量约</w:t>
            </w:r>
            <w:r>
              <w:rPr>
                <w:rStyle w:val="63"/>
                <w:color w:val="000000" w:themeColor="text1"/>
                <w14:textFill>
                  <w14:solidFill>
                    <w14:schemeClr w14:val="tx1"/>
                  </w14:solidFill>
                </w14:textFill>
              </w:rPr>
              <w:t>1.333 t/d</w:t>
            </w:r>
            <w:r>
              <w:rPr>
                <w:rStyle w:val="63"/>
                <w:rFonts w:hint="eastAsia"/>
                <w:color w:val="000000" w:themeColor="text1"/>
                <w14:textFill>
                  <w14:solidFill>
                    <w14:schemeClr w14:val="tx1"/>
                  </w14:solidFill>
                </w14:textFill>
              </w:rPr>
              <w:t>；</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台开炼机同时运行时橡胶加工总量约</w:t>
            </w:r>
            <w:r>
              <w:rPr>
                <w:rStyle w:val="63"/>
                <w:color w:val="000000" w:themeColor="text1"/>
                <w14:textFill>
                  <w14:solidFill>
                    <w14:schemeClr w14:val="tx1"/>
                  </w14:solidFill>
                </w14:textFill>
              </w:rPr>
              <w:t>2.666t/d</w:t>
            </w:r>
            <w:r>
              <w:rPr>
                <w:rStyle w:val="63"/>
                <w:rFonts w:hint="eastAsia"/>
                <w:color w:val="000000" w:themeColor="text1"/>
                <w14:textFill>
                  <w14:solidFill>
                    <w14:schemeClr w14:val="tx1"/>
                  </w14:solidFill>
                </w14:textFill>
              </w:rPr>
              <w:t>；硫化工序正常生产满负荷运行，橡胶加工量约</w:t>
            </w:r>
            <w:r>
              <w:rPr>
                <w:rStyle w:val="63"/>
                <w:color w:val="000000" w:themeColor="text1"/>
                <w14:textFill>
                  <w14:solidFill>
                    <w14:schemeClr w14:val="tx1"/>
                  </w14:solidFill>
                </w14:textFill>
              </w:rPr>
              <w:t>1.333 t/d</w:t>
            </w:r>
            <w:r>
              <w:rPr>
                <w:rStyle w:val="63"/>
                <w:rFonts w:hint="eastAsia"/>
                <w:color w:val="000000" w:themeColor="text1"/>
                <w14:textFill>
                  <w14:solidFill>
                    <w14:schemeClr w14:val="tx1"/>
                  </w14:solidFill>
                </w14:textFill>
              </w:rPr>
              <w:t>。</w:t>
            </w:r>
          </w:p>
        </w:tc>
      </w:tr>
    </w:tbl>
    <w:p>
      <w:pPr>
        <w:ind w:firstLine="480"/>
        <w:rPr>
          <w:rStyle w:val="63"/>
          <w:color w:val="000000" w:themeColor="text1"/>
          <w14:textFill>
            <w14:solidFill>
              <w14:schemeClr w14:val="tx1"/>
            </w14:solidFill>
          </w14:textFill>
        </w:rPr>
      </w:pPr>
      <w:r>
        <w:rPr>
          <w:rStyle w:val="63"/>
          <w:color w:val="000000" w:themeColor="text1"/>
          <w14:textFill>
            <w14:solidFill>
              <w14:schemeClr w14:val="tx1"/>
            </w14:solidFill>
          </w14:textFill>
        </w:rPr>
        <w:t>总体</w:t>
      </w:r>
      <w:r>
        <w:rPr>
          <w:rStyle w:val="63"/>
          <w:rFonts w:hint="eastAsia"/>
          <w:color w:val="000000" w:themeColor="text1"/>
          <w14:textFill>
            <w14:solidFill>
              <w14:schemeClr w14:val="tx1"/>
            </w14:solidFill>
          </w14:textFill>
        </w:rPr>
        <w:t>上</w:t>
      </w:r>
      <w:r>
        <w:rPr>
          <w:rStyle w:val="63"/>
          <w:color w:val="000000" w:themeColor="text1"/>
          <w14:textFill>
            <w14:solidFill>
              <w14:schemeClr w14:val="tx1"/>
            </w14:solidFill>
          </w14:textFill>
        </w:rPr>
        <w:t>来</w:t>
      </w:r>
      <w:r>
        <w:rPr>
          <w:rStyle w:val="63"/>
          <w:rFonts w:hint="eastAsia"/>
          <w:color w:val="000000" w:themeColor="text1"/>
          <w14:textFill>
            <w14:solidFill>
              <w14:schemeClr w14:val="tx1"/>
            </w14:solidFill>
          </w14:textFill>
        </w:rPr>
        <w:t>看，最大工况下理论排放情况与实测排放情况较为接近，总体偏大一些，故本次评价认为从物料平衡和产排污系数估算各工序废气产生源强是较为合理的。</w:t>
      </w:r>
    </w:p>
    <w:p>
      <w:pPr>
        <w:pStyle w:val="162"/>
        <w:numPr>
          <w:ilvl w:val="0"/>
          <w:numId w:val="0"/>
        </w:numPr>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现有废气污染源监测及达标情况分析</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本项目已建成运行，本次环评为补办手续。</w:t>
      </w:r>
      <w:r>
        <w:rPr>
          <w:rStyle w:val="63"/>
          <w:color w:val="000000" w:themeColor="text1"/>
          <w14:textFill>
            <w14:solidFill>
              <w14:schemeClr w14:val="tx1"/>
            </w14:solidFill>
          </w14:textFill>
        </w:rPr>
        <w:t>为了解工程项目污染源排放</w:t>
      </w:r>
      <w:r>
        <w:rPr>
          <w:rStyle w:val="63"/>
          <w:rFonts w:hint="eastAsia"/>
          <w:color w:val="000000" w:themeColor="text1"/>
          <w14:textFill>
            <w14:solidFill>
              <w14:schemeClr w14:val="tx1"/>
            </w14:solidFill>
          </w14:textFill>
        </w:rPr>
        <w:t>现状，本次评价委托广州市二轻系统环境监测站于2019年01月21日-2018年01月22日对项目废气污染物的排气筒有组织排放浓度和厂界无组织排放浓度进行了实际监测，监测期间项目生产线处于满负荷生产状态（即最大工况状态），环保设施正常运行，监测结果能够反映项目实际运行状态。</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根据生产工艺流程及产污环节分析，本次环评对工艺废气进行了全面监测，其监测结果如下。</w:t>
      </w:r>
    </w:p>
    <w:p>
      <w:pPr>
        <w:pStyle w:val="126"/>
        <w:numPr>
          <w:ilvl w:val="0"/>
          <w:numId w:val="0"/>
        </w:numPr>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（1）有组织废气监测</w:t>
      </w:r>
    </w:p>
    <w:p>
      <w:pPr>
        <w:pStyle w:val="12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密炼废气排气筒P</w:t>
      </w:r>
      <w:r>
        <w:rPr>
          <w:rStyle w:val="63"/>
          <w:color w:val="000000" w:themeColor="text1"/>
          <w14:textFill>
            <w14:solidFill>
              <w14:schemeClr w14:val="tx1"/>
            </w14:solidFill>
          </w14:textFill>
        </w:rPr>
        <w:t>1</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密炼工序运行过程中产生的废气，经布袋除尘器收集处理后，经排气筒P1排放，根据以下监测结果，</w:t>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密炼废气中非甲烷总烃实测排放浓度最大值不能满足《橡胶制品工业污染物排放标准》（GB</w:t>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27632-2011）相应标准，原因是只经过了除尘处理，其中的有机废气未能得到去除；密炼废气中颗粒物，开炼、硫化废气中非甲烷总烃可以满足《橡胶制品工业污染物排放标准》（GB</w:t>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27632-2011）相应标准；硫化氢、臭气浓度可满足《恶臭污染物排放标准》（</w:t>
      </w:r>
      <w:r>
        <w:rPr>
          <w:rStyle w:val="63"/>
          <w:color w:val="000000" w:themeColor="text1"/>
          <w14:textFill>
            <w14:solidFill>
              <w14:schemeClr w14:val="tx1"/>
            </w14:solidFill>
          </w14:textFill>
        </w:rPr>
        <w:t>GB 14554-93</w:t>
      </w:r>
      <w:r>
        <w:rPr>
          <w:rStyle w:val="63"/>
          <w:rFonts w:hint="eastAsia"/>
          <w:color w:val="000000" w:themeColor="text1"/>
          <w14:textFill>
            <w14:solidFill>
              <w14:schemeClr w14:val="tx1"/>
            </w14:solidFill>
          </w14:textFill>
        </w:rPr>
        <w:t>）相应标准。</w:t>
      </w:r>
    </w:p>
    <w:p>
      <w:pPr>
        <w:pStyle w:val="18"/>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17</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 xml:space="preserve"> 密炼废气达标情况分析表</w:t>
      </w:r>
    </w:p>
    <w:tbl>
      <w:tblPr>
        <w:tblStyle w:val="56"/>
        <w:tblW w:w="91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4"/>
        <w:gridCol w:w="1021"/>
        <w:gridCol w:w="1632"/>
        <w:gridCol w:w="1273"/>
        <w:gridCol w:w="1076"/>
        <w:gridCol w:w="1464"/>
        <w:gridCol w:w="19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blHeader/>
        </w:trPr>
        <w:tc>
          <w:tcPr>
            <w:tcW w:w="744"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监测点位</w:t>
            </w:r>
          </w:p>
        </w:tc>
        <w:tc>
          <w:tcPr>
            <w:tcW w:w="1021"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监测因子</w:t>
            </w:r>
          </w:p>
        </w:tc>
        <w:tc>
          <w:tcPr>
            <w:tcW w:w="2905" w:type="dxa"/>
            <w:gridSpan w:val="2"/>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采样时间</w:t>
            </w:r>
          </w:p>
        </w:tc>
        <w:tc>
          <w:tcPr>
            <w:tcW w:w="107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标干流量</w:t>
            </w:r>
            <w:r>
              <w:rPr>
                <w:rStyle w:val="63"/>
                <w:color w:val="000000" w:themeColor="text1"/>
                <w14:textFill>
                  <w14:solidFill>
                    <w14:schemeClr w14:val="tx1"/>
                  </w14:solidFill>
                </w14:textFill>
              </w:rPr>
              <w:t>m</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/h</w:t>
            </w:r>
          </w:p>
        </w:tc>
        <w:tc>
          <w:tcPr>
            <w:tcW w:w="1464"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排放浓度</w:t>
            </w:r>
            <w:r>
              <w:rPr>
                <w:rStyle w:val="63"/>
                <w:color w:val="000000" w:themeColor="text1"/>
                <w14:textFill>
                  <w14:solidFill>
                    <w14:schemeClr w14:val="tx1"/>
                  </w14:solidFill>
                </w14:textFill>
              </w:rPr>
              <w:t>mg/m</w:t>
            </w:r>
            <w:r>
              <w:rPr>
                <w:rStyle w:val="63"/>
                <w:color w:val="000000" w:themeColor="text1"/>
                <w:vertAlign w:val="superscript"/>
                <w14:textFill>
                  <w14:solidFill>
                    <w14:schemeClr w14:val="tx1"/>
                  </w14:solidFill>
                </w14:textFill>
              </w:rPr>
              <w:t>3</w:t>
            </w:r>
          </w:p>
        </w:tc>
        <w:tc>
          <w:tcPr>
            <w:tcW w:w="190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restart"/>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密炼废气处理后采样口</w:t>
            </w:r>
          </w:p>
        </w:tc>
        <w:tc>
          <w:tcPr>
            <w:tcW w:w="1021" w:type="dxa"/>
            <w:vMerge w:val="restart"/>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1632" w:type="dxa"/>
            <w:vMerge w:val="restart"/>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1月21日</w:t>
            </w: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次</w:t>
            </w:r>
          </w:p>
        </w:tc>
        <w:tc>
          <w:tcPr>
            <w:tcW w:w="107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5029</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9.32</w:t>
            </w:r>
          </w:p>
        </w:tc>
        <w:tc>
          <w:tcPr>
            <w:tcW w:w="190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continue"/>
            <w:vAlign w:val="center"/>
          </w:tcPr>
          <w:p>
            <w:pPr>
              <w:pStyle w:val="107"/>
              <w:rPr>
                <w:rStyle w:val="63"/>
                <w:color w:val="000000" w:themeColor="text1"/>
                <w14:textFill>
                  <w14:solidFill>
                    <w14:schemeClr w14:val="tx1"/>
                  </w14:solidFill>
                </w14:textFill>
              </w:rPr>
            </w:pP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次</w:t>
            </w:r>
          </w:p>
        </w:tc>
        <w:tc>
          <w:tcPr>
            <w:tcW w:w="107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5114</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8.87</w:t>
            </w:r>
          </w:p>
        </w:tc>
        <w:tc>
          <w:tcPr>
            <w:tcW w:w="190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continue"/>
            <w:vAlign w:val="center"/>
          </w:tcPr>
          <w:p>
            <w:pPr>
              <w:pStyle w:val="107"/>
              <w:rPr>
                <w:rStyle w:val="63"/>
                <w:color w:val="000000" w:themeColor="text1"/>
                <w14:textFill>
                  <w14:solidFill>
                    <w14:schemeClr w14:val="tx1"/>
                  </w14:solidFill>
                </w14:textFill>
              </w:rPr>
            </w:pP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次</w:t>
            </w:r>
          </w:p>
        </w:tc>
        <w:tc>
          <w:tcPr>
            <w:tcW w:w="107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5061</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10.31</w:t>
            </w:r>
          </w:p>
        </w:tc>
        <w:tc>
          <w:tcPr>
            <w:tcW w:w="190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restart"/>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1月22日</w:t>
            </w: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次</w:t>
            </w:r>
          </w:p>
        </w:tc>
        <w:tc>
          <w:tcPr>
            <w:tcW w:w="107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5015</w:t>
            </w:r>
          </w:p>
        </w:tc>
        <w:tc>
          <w:tcPr>
            <w:tcW w:w="1464" w:type="dxa"/>
            <w:shd w:val="clear" w:color="000000" w:fill="FFC7CE"/>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11.65</w:t>
            </w:r>
          </w:p>
        </w:tc>
        <w:tc>
          <w:tcPr>
            <w:tcW w:w="190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continue"/>
            <w:vAlign w:val="center"/>
          </w:tcPr>
          <w:p>
            <w:pPr>
              <w:pStyle w:val="107"/>
              <w:rPr>
                <w:rStyle w:val="63"/>
                <w:color w:val="000000" w:themeColor="text1"/>
                <w14:textFill>
                  <w14:solidFill>
                    <w14:schemeClr w14:val="tx1"/>
                  </w14:solidFill>
                </w14:textFill>
              </w:rPr>
            </w:pP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次</w:t>
            </w:r>
          </w:p>
        </w:tc>
        <w:tc>
          <w:tcPr>
            <w:tcW w:w="107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5198</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9.71</w:t>
            </w:r>
          </w:p>
        </w:tc>
        <w:tc>
          <w:tcPr>
            <w:tcW w:w="190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continue"/>
            <w:vAlign w:val="center"/>
          </w:tcPr>
          <w:p>
            <w:pPr>
              <w:pStyle w:val="107"/>
              <w:rPr>
                <w:rStyle w:val="63"/>
                <w:color w:val="000000" w:themeColor="text1"/>
                <w14:textFill>
                  <w14:solidFill>
                    <w14:schemeClr w14:val="tx1"/>
                  </w14:solidFill>
                </w14:textFill>
              </w:rPr>
            </w:pP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次</w:t>
            </w:r>
          </w:p>
        </w:tc>
        <w:tc>
          <w:tcPr>
            <w:tcW w:w="107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5091</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9.36</w:t>
            </w:r>
          </w:p>
        </w:tc>
        <w:tc>
          <w:tcPr>
            <w:tcW w:w="190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2905" w:type="dxa"/>
            <w:gridSpan w:val="2"/>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实测排放浓度最大值</w:t>
            </w:r>
          </w:p>
        </w:tc>
        <w:tc>
          <w:tcPr>
            <w:tcW w:w="107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5015</w:t>
            </w:r>
          </w:p>
        </w:tc>
        <w:tc>
          <w:tcPr>
            <w:tcW w:w="1464"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11.65</w:t>
            </w:r>
          </w:p>
        </w:tc>
        <w:tc>
          <w:tcPr>
            <w:tcW w:w="190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2905" w:type="dxa"/>
            <w:gridSpan w:val="2"/>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基准排气量排放浓度最大值*</w:t>
            </w:r>
          </w:p>
        </w:tc>
        <w:tc>
          <w:tcPr>
            <w:tcW w:w="107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106.71</w:t>
            </w:r>
          </w:p>
        </w:tc>
        <w:tc>
          <w:tcPr>
            <w:tcW w:w="190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2905" w:type="dxa"/>
            <w:gridSpan w:val="2"/>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标准限值</w:t>
            </w:r>
          </w:p>
        </w:tc>
        <w:tc>
          <w:tcPr>
            <w:tcW w:w="107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10</w:t>
            </w:r>
          </w:p>
        </w:tc>
        <w:tc>
          <w:tcPr>
            <w:tcW w:w="190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2905" w:type="dxa"/>
            <w:gridSpan w:val="2"/>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是否达标</w:t>
            </w:r>
          </w:p>
        </w:tc>
        <w:tc>
          <w:tcPr>
            <w:tcW w:w="4447" w:type="dxa"/>
            <w:gridSpan w:val="3"/>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restart"/>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1632" w:type="dxa"/>
            <w:vMerge w:val="restart"/>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1月21日</w:t>
            </w: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次</w:t>
            </w:r>
          </w:p>
        </w:tc>
        <w:tc>
          <w:tcPr>
            <w:tcW w:w="107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5029</w:t>
            </w:r>
          </w:p>
        </w:tc>
        <w:tc>
          <w:tcPr>
            <w:tcW w:w="1464"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1.19 </w:t>
            </w:r>
          </w:p>
        </w:tc>
        <w:tc>
          <w:tcPr>
            <w:tcW w:w="1907"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continue"/>
            <w:vAlign w:val="center"/>
          </w:tcPr>
          <w:p>
            <w:pPr>
              <w:pStyle w:val="107"/>
              <w:rPr>
                <w:rStyle w:val="63"/>
                <w:color w:val="000000" w:themeColor="text1"/>
                <w14:textFill>
                  <w14:solidFill>
                    <w14:schemeClr w14:val="tx1"/>
                  </w14:solidFill>
                </w14:textFill>
              </w:rPr>
            </w:pP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次</w:t>
            </w:r>
          </w:p>
        </w:tc>
        <w:tc>
          <w:tcPr>
            <w:tcW w:w="1076"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5114</w:t>
            </w:r>
          </w:p>
        </w:tc>
        <w:tc>
          <w:tcPr>
            <w:tcW w:w="1464"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1.13</w:t>
            </w:r>
          </w:p>
        </w:tc>
        <w:tc>
          <w:tcPr>
            <w:tcW w:w="1907"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continue"/>
            <w:vAlign w:val="center"/>
          </w:tcPr>
          <w:p>
            <w:pPr>
              <w:pStyle w:val="107"/>
              <w:rPr>
                <w:rStyle w:val="63"/>
                <w:color w:val="000000" w:themeColor="text1"/>
                <w14:textFill>
                  <w14:solidFill>
                    <w14:schemeClr w14:val="tx1"/>
                  </w14:solidFill>
                </w14:textFill>
              </w:rPr>
            </w:pP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次</w:t>
            </w:r>
          </w:p>
        </w:tc>
        <w:tc>
          <w:tcPr>
            <w:tcW w:w="1076"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5061</w:t>
            </w:r>
          </w:p>
        </w:tc>
        <w:tc>
          <w:tcPr>
            <w:tcW w:w="1464"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1.24</w:t>
            </w:r>
          </w:p>
        </w:tc>
        <w:tc>
          <w:tcPr>
            <w:tcW w:w="1907"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restart"/>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1月22日</w:t>
            </w: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次</w:t>
            </w:r>
          </w:p>
        </w:tc>
        <w:tc>
          <w:tcPr>
            <w:tcW w:w="1076"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5015</w:t>
            </w:r>
          </w:p>
        </w:tc>
        <w:tc>
          <w:tcPr>
            <w:tcW w:w="1464" w:type="dxa"/>
            <w:tcBorders>
              <w:top w:val="single" w:color="auto" w:sz="4" w:space="0"/>
              <w:left w:val="single" w:color="auto" w:sz="4" w:space="0"/>
              <w:bottom w:val="single" w:color="auto" w:sz="4" w:space="0"/>
              <w:right w:val="single" w:color="auto" w:sz="4" w:space="0"/>
            </w:tcBorders>
            <w:shd w:val="clear" w:color="000000" w:fill="FFC7CE"/>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1.26</w:t>
            </w:r>
          </w:p>
        </w:tc>
        <w:tc>
          <w:tcPr>
            <w:tcW w:w="1907"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continue"/>
            <w:vAlign w:val="center"/>
          </w:tcPr>
          <w:p>
            <w:pPr>
              <w:pStyle w:val="107"/>
              <w:rPr>
                <w:rStyle w:val="63"/>
                <w:color w:val="000000" w:themeColor="text1"/>
                <w14:textFill>
                  <w14:solidFill>
                    <w14:schemeClr w14:val="tx1"/>
                  </w14:solidFill>
                </w14:textFill>
              </w:rPr>
            </w:pP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次</w:t>
            </w:r>
          </w:p>
        </w:tc>
        <w:tc>
          <w:tcPr>
            <w:tcW w:w="1076"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5198</w:t>
            </w:r>
          </w:p>
        </w:tc>
        <w:tc>
          <w:tcPr>
            <w:tcW w:w="1464"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1.21</w:t>
            </w:r>
          </w:p>
        </w:tc>
        <w:tc>
          <w:tcPr>
            <w:tcW w:w="1907"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continue"/>
            <w:vAlign w:val="center"/>
          </w:tcPr>
          <w:p>
            <w:pPr>
              <w:pStyle w:val="107"/>
              <w:rPr>
                <w:rStyle w:val="63"/>
                <w:color w:val="000000" w:themeColor="text1"/>
                <w14:textFill>
                  <w14:solidFill>
                    <w14:schemeClr w14:val="tx1"/>
                  </w14:solidFill>
                </w14:textFill>
              </w:rPr>
            </w:pP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次</w:t>
            </w:r>
          </w:p>
        </w:tc>
        <w:tc>
          <w:tcPr>
            <w:tcW w:w="1076"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5091</w:t>
            </w:r>
          </w:p>
        </w:tc>
        <w:tc>
          <w:tcPr>
            <w:tcW w:w="1464"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1.18</w:t>
            </w:r>
          </w:p>
        </w:tc>
        <w:tc>
          <w:tcPr>
            <w:tcW w:w="1907"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2905" w:type="dxa"/>
            <w:gridSpan w:val="2"/>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实测排放浓度最大值</w:t>
            </w:r>
          </w:p>
        </w:tc>
        <w:tc>
          <w:tcPr>
            <w:tcW w:w="1076" w:type="dxa"/>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5015</w:t>
            </w:r>
          </w:p>
        </w:tc>
        <w:tc>
          <w:tcPr>
            <w:tcW w:w="146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1.26</w:t>
            </w:r>
          </w:p>
        </w:tc>
        <w:tc>
          <w:tcPr>
            <w:tcW w:w="1907"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2905" w:type="dxa"/>
            <w:gridSpan w:val="2"/>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基准排气量排放浓度最大值*</w:t>
            </w:r>
          </w:p>
        </w:tc>
        <w:tc>
          <w:tcPr>
            <w:tcW w:w="1076" w:type="dxa"/>
            <w:shd w:val="clear" w:color="auto" w:fill="auto"/>
            <w:vAlign w:val="center"/>
          </w:tcPr>
          <w:p>
            <w:pPr>
              <w:pStyle w:val="107"/>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464" w:type="dxa"/>
            <w:shd w:val="clear" w:color="auto" w:fill="auto"/>
            <w:noWrap/>
            <w:vAlign w:val="center"/>
          </w:tcPr>
          <w:p>
            <w:pPr>
              <w:pStyle w:val="107"/>
              <w:ind w:firstLine="480"/>
              <w:rPr>
                <w:rStyle w:val="63"/>
                <w:color w:val="000000" w:themeColor="text1"/>
                <w14:textFill>
                  <w14:solidFill>
                    <w14:schemeClr w14:val="tx1"/>
                  </w14:solidFill>
                </w14:textFill>
              </w:rPr>
            </w:pPr>
            <w:r>
              <w:rPr>
                <w:rStyle w:val="63"/>
                <w:color w:val="000000" w:themeColor="text1"/>
                <w14:textFill>
                  <w14:solidFill>
                    <w14:schemeClr w14:val="tx1"/>
                  </w14:solidFill>
                </w14:textFill>
              </w:rPr>
              <w:t>11.54</w:t>
            </w:r>
          </w:p>
        </w:tc>
        <w:tc>
          <w:tcPr>
            <w:tcW w:w="1907" w:type="dxa"/>
            <w:shd w:val="clear" w:color="auto" w:fill="auto"/>
            <w:vAlign w:val="center"/>
          </w:tcPr>
          <w:p>
            <w:pPr>
              <w:pStyle w:val="107"/>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ind w:firstLine="480"/>
              <w:rPr>
                <w:rStyle w:val="63"/>
                <w:color w:val="000000" w:themeColor="text1"/>
                <w14:textFill>
                  <w14:solidFill>
                    <w14:schemeClr w14:val="tx1"/>
                  </w14:solidFill>
                </w14:textFill>
              </w:rPr>
            </w:pPr>
          </w:p>
        </w:tc>
        <w:tc>
          <w:tcPr>
            <w:tcW w:w="1021" w:type="dxa"/>
            <w:vMerge w:val="continue"/>
            <w:vAlign w:val="center"/>
          </w:tcPr>
          <w:p>
            <w:pPr>
              <w:pStyle w:val="107"/>
              <w:ind w:firstLine="480"/>
              <w:rPr>
                <w:rStyle w:val="63"/>
                <w:color w:val="000000" w:themeColor="text1"/>
                <w14:textFill>
                  <w14:solidFill>
                    <w14:schemeClr w14:val="tx1"/>
                  </w14:solidFill>
                </w14:textFill>
              </w:rPr>
            </w:pPr>
          </w:p>
        </w:tc>
        <w:tc>
          <w:tcPr>
            <w:tcW w:w="2905" w:type="dxa"/>
            <w:gridSpan w:val="2"/>
            <w:shd w:val="clear" w:color="auto" w:fill="auto"/>
            <w:vAlign w:val="center"/>
          </w:tcPr>
          <w:p>
            <w:pPr>
              <w:pStyle w:val="107"/>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标准限值</w:t>
            </w:r>
          </w:p>
        </w:tc>
        <w:tc>
          <w:tcPr>
            <w:tcW w:w="1076" w:type="dxa"/>
            <w:shd w:val="clear" w:color="auto" w:fill="auto"/>
            <w:vAlign w:val="center"/>
          </w:tcPr>
          <w:p>
            <w:pPr>
              <w:pStyle w:val="107"/>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464" w:type="dxa"/>
            <w:shd w:val="clear" w:color="auto" w:fill="auto"/>
            <w:noWrap/>
            <w:vAlign w:val="center"/>
          </w:tcPr>
          <w:p>
            <w:pPr>
              <w:pStyle w:val="107"/>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12</w:t>
            </w:r>
          </w:p>
        </w:tc>
        <w:tc>
          <w:tcPr>
            <w:tcW w:w="1907" w:type="dxa"/>
            <w:shd w:val="clear" w:color="auto" w:fill="auto"/>
            <w:vAlign w:val="center"/>
          </w:tcPr>
          <w:p>
            <w:pPr>
              <w:pStyle w:val="107"/>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ind w:firstLine="480"/>
              <w:rPr>
                <w:rStyle w:val="63"/>
                <w:color w:val="000000" w:themeColor="text1"/>
                <w14:textFill>
                  <w14:solidFill>
                    <w14:schemeClr w14:val="tx1"/>
                  </w14:solidFill>
                </w14:textFill>
              </w:rPr>
            </w:pPr>
          </w:p>
        </w:tc>
        <w:tc>
          <w:tcPr>
            <w:tcW w:w="1021" w:type="dxa"/>
            <w:vMerge w:val="continue"/>
            <w:vAlign w:val="center"/>
          </w:tcPr>
          <w:p>
            <w:pPr>
              <w:pStyle w:val="107"/>
              <w:ind w:firstLine="480"/>
              <w:rPr>
                <w:rStyle w:val="63"/>
                <w:color w:val="000000" w:themeColor="text1"/>
                <w14:textFill>
                  <w14:solidFill>
                    <w14:schemeClr w14:val="tx1"/>
                  </w14:solidFill>
                </w14:textFill>
              </w:rPr>
            </w:pPr>
          </w:p>
        </w:tc>
        <w:tc>
          <w:tcPr>
            <w:tcW w:w="2905" w:type="dxa"/>
            <w:gridSpan w:val="2"/>
            <w:shd w:val="clear" w:color="auto" w:fill="auto"/>
            <w:vAlign w:val="center"/>
          </w:tcPr>
          <w:p>
            <w:pPr>
              <w:pStyle w:val="107"/>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是否达标</w:t>
            </w:r>
          </w:p>
        </w:tc>
        <w:tc>
          <w:tcPr>
            <w:tcW w:w="4447" w:type="dxa"/>
            <w:gridSpan w:val="3"/>
            <w:shd w:val="clear" w:color="auto" w:fill="auto"/>
            <w:noWrap/>
            <w:vAlign w:val="center"/>
          </w:tcPr>
          <w:p>
            <w:pPr>
              <w:pStyle w:val="107"/>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ind w:firstLine="480"/>
              <w:rPr>
                <w:rStyle w:val="63"/>
                <w:color w:val="000000" w:themeColor="text1"/>
                <w14:textFill>
                  <w14:solidFill>
                    <w14:schemeClr w14:val="tx1"/>
                  </w14:solidFill>
                </w14:textFill>
              </w:rPr>
            </w:pPr>
          </w:p>
        </w:tc>
        <w:tc>
          <w:tcPr>
            <w:tcW w:w="1021" w:type="dxa"/>
            <w:vMerge w:val="restart"/>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1632" w:type="dxa"/>
            <w:vMerge w:val="restart"/>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1月21日</w:t>
            </w: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次</w:t>
            </w:r>
          </w:p>
        </w:tc>
        <w:tc>
          <w:tcPr>
            <w:tcW w:w="107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5029</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0.35</w:t>
            </w:r>
          </w:p>
        </w:tc>
        <w:tc>
          <w:tcPr>
            <w:tcW w:w="1907" w:type="dxa"/>
            <w:shd w:val="clear" w:color="000000" w:fill="FFC7CE"/>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w:t>
            </w:r>
            <w:r>
              <w:rPr>
                <w:rStyle w:val="63"/>
                <w:color w:val="000000" w:themeColor="text1"/>
                <w14:textFill>
                  <w14:solidFill>
                    <w14:schemeClr w14:val="tx1"/>
                  </w14:solidFill>
                </w14:textFill>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ind w:firstLine="480"/>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continue"/>
            <w:vAlign w:val="center"/>
          </w:tcPr>
          <w:p>
            <w:pPr>
              <w:pStyle w:val="107"/>
              <w:rPr>
                <w:rStyle w:val="63"/>
                <w:color w:val="000000" w:themeColor="text1"/>
                <w14:textFill>
                  <w14:solidFill>
                    <w14:schemeClr w14:val="tx1"/>
                  </w14:solidFill>
                </w14:textFill>
              </w:rPr>
            </w:pP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次</w:t>
            </w:r>
          </w:p>
        </w:tc>
        <w:tc>
          <w:tcPr>
            <w:tcW w:w="107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5114</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0.28</w:t>
            </w:r>
          </w:p>
        </w:tc>
        <w:tc>
          <w:tcPr>
            <w:tcW w:w="190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ind w:firstLine="480"/>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continue"/>
            <w:vAlign w:val="center"/>
          </w:tcPr>
          <w:p>
            <w:pPr>
              <w:pStyle w:val="107"/>
              <w:rPr>
                <w:rStyle w:val="63"/>
                <w:color w:val="000000" w:themeColor="text1"/>
                <w14:textFill>
                  <w14:solidFill>
                    <w14:schemeClr w14:val="tx1"/>
                  </w14:solidFill>
                </w14:textFill>
              </w:rPr>
            </w:pP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次</w:t>
            </w:r>
          </w:p>
        </w:tc>
        <w:tc>
          <w:tcPr>
            <w:tcW w:w="107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5061</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0.22</w:t>
            </w:r>
          </w:p>
        </w:tc>
        <w:tc>
          <w:tcPr>
            <w:tcW w:w="190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ind w:firstLine="480"/>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restart"/>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1月22日</w:t>
            </w: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次</w:t>
            </w:r>
          </w:p>
        </w:tc>
        <w:tc>
          <w:tcPr>
            <w:tcW w:w="107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5015</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0.32</w:t>
            </w:r>
          </w:p>
        </w:tc>
        <w:tc>
          <w:tcPr>
            <w:tcW w:w="190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continue"/>
            <w:vAlign w:val="center"/>
          </w:tcPr>
          <w:p>
            <w:pPr>
              <w:pStyle w:val="107"/>
              <w:rPr>
                <w:rStyle w:val="63"/>
                <w:color w:val="000000" w:themeColor="text1"/>
                <w14:textFill>
                  <w14:solidFill>
                    <w14:schemeClr w14:val="tx1"/>
                  </w14:solidFill>
                </w14:textFill>
              </w:rPr>
            </w:pP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次</w:t>
            </w:r>
          </w:p>
        </w:tc>
        <w:tc>
          <w:tcPr>
            <w:tcW w:w="107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5198</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0.27</w:t>
            </w:r>
          </w:p>
        </w:tc>
        <w:tc>
          <w:tcPr>
            <w:tcW w:w="190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continue"/>
            <w:vAlign w:val="center"/>
          </w:tcPr>
          <w:p>
            <w:pPr>
              <w:pStyle w:val="107"/>
              <w:rPr>
                <w:rStyle w:val="63"/>
                <w:color w:val="000000" w:themeColor="text1"/>
                <w14:textFill>
                  <w14:solidFill>
                    <w14:schemeClr w14:val="tx1"/>
                  </w14:solidFill>
                </w14:textFill>
              </w:rPr>
            </w:pP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次</w:t>
            </w:r>
          </w:p>
        </w:tc>
        <w:tc>
          <w:tcPr>
            <w:tcW w:w="107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5091</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0.22</w:t>
            </w:r>
          </w:p>
        </w:tc>
        <w:tc>
          <w:tcPr>
            <w:tcW w:w="190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2905" w:type="dxa"/>
            <w:gridSpan w:val="2"/>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实测排放速率最大值</w:t>
            </w:r>
          </w:p>
        </w:tc>
        <w:tc>
          <w:tcPr>
            <w:tcW w:w="107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90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w:t>
            </w:r>
            <w:r>
              <w:rPr>
                <w:rStyle w:val="63"/>
                <w:color w:val="000000" w:themeColor="text1"/>
                <w14:textFill>
                  <w14:solidFill>
                    <w14:schemeClr w14:val="tx1"/>
                  </w14:solidFill>
                </w14:textFill>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2905" w:type="dxa"/>
            <w:gridSpan w:val="2"/>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标准限值</w:t>
            </w:r>
          </w:p>
        </w:tc>
        <w:tc>
          <w:tcPr>
            <w:tcW w:w="1076"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90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2905" w:type="dxa"/>
            <w:gridSpan w:val="2"/>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是否达标</w:t>
            </w:r>
          </w:p>
        </w:tc>
        <w:tc>
          <w:tcPr>
            <w:tcW w:w="4447" w:type="dxa"/>
            <w:gridSpan w:val="3"/>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restart"/>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臭气浓度（无量纲）</w:t>
            </w:r>
          </w:p>
        </w:tc>
        <w:tc>
          <w:tcPr>
            <w:tcW w:w="1632" w:type="dxa"/>
            <w:vMerge w:val="restart"/>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1月21日</w:t>
            </w: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次</w:t>
            </w:r>
          </w:p>
        </w:tc>
        <w:tc>
          <w:tcPr>
            <w:tcW w:w="107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5029</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55</w:t>
            </w:r>
          </w:p>
        </w:tc>
        <w:tc>
          <w:tcPr>
            <w:tcW w:w="190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continue"/>
            <w:vAlign w:val="center"/>
          </w:tcPr>
          <w:p>
            <w:pPr>
              <w:pStyle w:val="107"/>
              <w:rPr>
                <w:rStyle w:val="63"/>
                <w:color w:val="000000" w:themeColor="text1"/>
                <w14:textFill>
                  <w14:solidFill>
                    <w14:schemeClr w14:val="tx1"/>
                  </w14:solidFill>
                </w14:textFill>
              </w:rPr>
            </w:pP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次</w:t>
            </w:r>
          </w:p>
        </w:tc>
        <w:tc>
          <w:tcPr>
            <w:tcW w:w="107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5114</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41</w:t>
            </w:r>
          </w:p>
        </w:tc>
        <w:tc>
          <w:tcPr>
            <w:tcW w:w="190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continue"/>
            <w:vAlign w:val="center"/>
          </w:tcPr>
          <w:p>
            <w:pPr>
              <w:pStyle w:val="107"/>
              <w:rPr>
                <w:rStyle w:val="63"/>
                <w:color w:val="000000" w:themeColor="text1"/>
                <w14:textFill>
                  <w14:solidFill>
                    <w14:schemeClr w14:val="tx1"/>
                  </w14:solidFill>
                </w14:textFill>
              </w:rPr>
            </w:pP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次</w:t>
            </w:r>
          </w:p>
        </w:tc>
        <w:tc>
          <w:tcPr>
            <w:tcW w:w="107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5061</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41</w:t>
            </w:r>
          </w:p>
        </w:tc>
        <w:tc>
          <w:tcPr>
            <w:tcW w:w="190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restart"/>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1月22日</w:t>
            </w: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次</w:t>
            </w:r>
          </w:p>
        </w:tc>
        <w:tc>
          <w:tcPr>
            <w:tcW w:w="107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5015</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31</w:t>
            </w:r>
          </w:p>
        </w:tc>
        <w:tc>
          <w:tcPr>
            <w:tcW w:w="190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continue"/>
            <w:vAlign w:val="center"/>
          </w:tcPr>
          <w:p>
            <w:pPr>
              <w:pStyle w:val="107"/>
              <w:rPr>
                <w:rStyle w:val="63"/>
                <w:color w:val="000000" w:themeColor="text1"/>
                <w14:textFill>
                  <w14:solidFill>
                    <w14:schemeClr w14:val="tx1"/>
                  </w14:solidFill>
                </w14:textFill>
              </w:rPr>
            </w:pP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次</w:t>
            </w:r>
          </w:p>
        </w:tc>
        <w:tc>
          <w:tcPr>
            <w:tcW w:w="107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5198</w:t>
            </w:r>
          </w:p>
        </w:tc>
        <w:tc>
          <w:tcPr>
            <w:tcW w:w="14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55</w:t>
            </w:r>
          </w:p>
        </w:tc>
        <w:tc>
          <w:tcPr>
            <w:tcW w:w="190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1632" w:type="dxa"/>
            <w:vMerge w:val="continue"/>
            <w:vAlign w:val="center"/>
          </w:tcPr>
          <w:p>
            <w:pPr>
              <w:pStyle w:val="107"/>
              <w:rPr>
                <w:rStyle w:val="63"/>
                <w:color w:val="000000" w:themeColor="text1"/>
                <w14:textFill>
                  <w14:solidFill>
                    <w14:schemeClr w14:val="tx1"/>
                  </w14:solidFill>
                </w14:textFill>
              </w:rPr>
            </w:pPr>
          </w:p>
        </w:tc>
        <w:tc>
          <w:tcPr>
            <w:tcW w:w="1273"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次</w:t>
            </w:r>
          </w:p>
        </w:tc>
        <w:tc>
          <w:tcPr>
            <w:tcW w:w="107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5091</w:t>
            </w:r>
          </w:p>
        </w:tc>
        <w:tc>
          <w:tcPr>
            <w:tcW w:w="1464" w:type="dxa"/>
            <w:shd w:val="clear" w:color="000000" w:fill="FFC7CE"/>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73</w:t>
            </w:r>
          </w:p>
        </w:tc>
        <w:tc>
          <w:tcPr>
            <w:tcW w:w="190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2905" w:type="dxa"/>
            <w:gridSpan w:val="2"/>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实测排放浓度最大值</w:t>
            </w:r>
          </w:p>
        </w:tc>
        <w:tc>
          <w:tcPr>
            <w:tcW w:w="107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464"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73</w:t>
            </w:r>
          </w:p>
        </w:tc>
        <w:tc>
          <w:tcPr>
            <w:tcW w:w="190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color w:val="000000" w:themeColor="text1"/>
                <w14:textFill>
                  <w14:solidFill>
                    <w14:schemeClr w14:val="tx1"/>
                  </w14:solidFill>
                </w14:textFill>
              </w:rPr>
            </w:pPr>
          </w:p>
        </w:tc>
        <w:tc>
          <w:tcPr>
            <w:tcW w:w="1021" w:type="dxa"/>
            <w:vMerge w:val="continue"/>
            <w:vAlign w:val="center"/>
          </w:tcPr>
          <w:p>
            <w:pPr>
              <w:pStyle w:val="107"/>
              <w:rPr>
                <w:rStyle w:val="63"/>
                <w:color w:val="000000" w:themeColor="text1"/>
                <w14:textFill>
                  <w14:solidFill>
                    <w14:schemeClr w14:val="tx1"/>
                  </w14:solidFill>
                </w14:textFill>
              </w:rPr>
            </w:pPr>
          </w:p>
        </w:tc>
        <w:tc>
          <w:tcPr>
            <w:tcW w:w="2905" w:type="dxa"/>
            <w:gridSpan w:val="2"/>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标准限值</w:t>
            </w:r>
          </w:p>
        </w:tc>
        <w:tc>
          <w:tcPr>
            <w:tcW w:w="107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464"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2000</w:t>
            </w:r>
          </w:p>
        </w:tc>
        <w:tc>
          <w:tcPr>
            <w:tcW w:w="1907"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44" w:type="dxa"/>
            <w:vMerge w:val="continue"/>
            <w:vAlign w:val="center"/>
          </w:tcPr>
          <w:p>
            <w:pPr>
              <w:pStyle w:val="107"/>
              <w:rPr>
                <w:rStyle w:val="63"/>
              </w:rPr>
            </w:pPr>
          </w:p>
        </w:tc>
        <w:tc>
          <w:tcPr>
            <w:tcW w:w="1021" w:type="dxa"/>
            <w:vMerge w:val="continue"/>
            <w:vAlign w:val="center"/>
          </w:tcPr>
          <w:p>
            <w:pPr>
              <w:pStyle w:val="107"/>
              <w:rPr>
                <w:rStyle w:val="63"/>
              </w:rPr>
            </w:pPr>
          </w:p>
        </w:tc>
        <w:tc>
          <w:tcPr>
            <w:tcW w:w="2905" w:type="dxa"/>
            <w:gridSpan w:val="2"/>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是否达标</w:t>
            </w:r>
          </w:p>
        </w:tc>
        <w:tc>
          <w:tcPr>
            <w:tcW w:w="4447" w:type="dxa"/>
            <w:gridSpan w:val="3"/>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是</w:t>
            </w:r>
          </w:p>
        </w:tc>
      </w:tr>
    </w:tbl>
    <w:p>
      <w:pPr>
        <w:pStyle w:val="107"/>
        <w:jc w:val="left"/>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注：*指根据《橡胶制品工业污染物排放标准》（GB27632-2011）中公式（1）换算到基准排气量下的颗粒物、非甲烷总烃排放浓度最大值。密炼车间排气筒风量为</w:t>
      </w:r>
      <w:r>
        <w:rPr>
          <w:rStyle w:val="63"/>
          <w:color w:val="000000" w:themeColor="text1"/>
          <w14:textFill>
            <w14:solidFill>
              <w14:schemeClr w14:val="tx1"/>
            </w14:solidFill>
          </w14:textFill>
        </w:rPr>
        <w:t>7000m</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/h</w:t>
      </w:r>
      <w:r>
        <w:rPr>
          <w:rStyle w:val="63"/>
          <w:rFonts w:hint="eastAsia"/>
          <w:color w:val="000000" w:themeColor="text1"/>
          <w14:textFill>
            <w14:solidFill>
              <w14:schemeClr w14:val="tx1"/>
            </w14:solidFill>
          </w14:textFill>
        </w:rPr>
        <w:t>，胶料消耗量和排气量统计周期为一个工作日。根据计算项目一个工作日炼胶颗粒物排气量约为</w:t>
      </w:r>
      <w:r>
        <w:rPr>
          <w:rStyle w:val="63"/>
          <w:color w:val="000000" w:themeColor="text1"/>
          <w14:textFill>
            <w14:solidFill>
              <w14:schemeClr w14:val="tx1"/>
            </w14:solidFill>
          </w14:textFill>
        </w:rPr>
        <w:t>56</w:t>
      </w:r>
      <w:r>
        <w:rPr>
          <w:rStyle w:val="63"/>
          <w:rFonts w:hint="eastAsia"/>
          <w:color w:val="000000" w:themeColor="text1"/>
          <w14:textFill>
            <w14:solidFill>
              <w14:schemeClr w14:val="tx1"/>
            </w14:solidFill>
          </w14:textFill>
        </w:rPr>
        <w:t>000m</w:t>
      </w:r>
      <w:r>
        <w:rPr>
          <w:rStyle w:val="63"/>
          <w:rFonts w:hint="eastAsia"/>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/d，满负荷一天的炼胶量约</w:t>
      </w:r>
      <w:r>
        <w:rPr>
          <w:rStyle w:val="63"/>
          <w:color w:val="000000" w:themeColor="text1"/>
          <w14:textFill>
            <w14:solidFill>
              <w14:schemeClr w14:val="tx1"/>
            </w14:solidFill>
          </w14:textFill>
        </w:rPr>
        <w:t>1.333t/d</w:t>
      </w:r>
      <w:r>
        <w:rPr>
          <w:rStyle w:val="63"/>
          <w:rFonts w:hint="eastAsia"/>
          <w:color w:val="000000" w:themeColor="text1"/>
          <w14:textFill>
            <w14:solidFill>
              <w14:schemeClr w14:val="tx1"/>
            </w14:solidFill>
          </w14:textFill>
        </w:rPr>
        <w:t>，换算得基准排气量排放浓度最大值。</w:t>
      </w:r>
    </w:p>
    <w:p>
      <w:pPr>
        <w:pStyle w:val="12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开炼、硫化废气排气筒P</w:t>
      </w:r>
      <w:r>
        <w:rPr>
          <w:rStyle w:val="63"/>
          <w:color w:val="000000" w:themeColor="text1"/>
          <w14:textFill>
            <w14:solidFill>
              <w14:schemeClr w14:val="tx1"/>
            </w14:solidFill>
          </w14:textFill>
        </w:rPr>
        <w:t>2</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开炼、硫化工序运行过程中产生的废气，收集后经活性炭吸附处理，经排气筒P</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排放，根据以下监测结果，</w:t>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废气中非甲烷总烃不能满足《橡胶制品工业污染物排放标准》（GB</w:t>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27632-2011）相应标准；硫化氢、臭气浓度可满足《恶臭污染物排放标准》（</w:t>
      </w:r>
      <w:r>
        <w:rPr>
          <w:rStyle w:val="63"/>
          <w:color w:val="000000" w:themeColor="text1"/>
          <w14:textFill>
            <w14:solidFill>
              <w14:schemeClr w14:val="tx1"/>
            </w14:solidFill>
          </w14:textFill>
        </w:rPr>
        <w:t>GB 14554-93</w:t>
      </w:r>
      <w:r>
        <w:rPr>
          <w:rStyle w:val="63"/>
          <w:rFonts w:hint="eastAsia"/>
          <w:color w:val="000000" w:themeColor="text1"/>
          <w14:textFill>
            <w14:solidFill>
              <w14:schemeClr w14:val="tx1"/>
            </w14:solidFill>
          </w14:textFill>
        </w:rPr>
        <w:t>）相应标准。</w:t>
      </w:r>
    </w:p>
    <w:tbl>
      <w:tblPr>
        <w:tblStyle w:val="56"/>
        <w:tblW w:w="9117" w:type="dxa"/>
        <w:tblInd w:w="0" w:type="dxa"/>
        <w:tblLayout w:type="fixed"/>
        <w:tblCellMar>
          <w:top w:w="0" w:type="dxa"/>
          <w:left w:w="108" w:type="dxa"/>
          <w:bottom w:w="0" w:type="dxa"/>
          <w:right w:w="108" w:type="dxa"/>
        </w:tblCellMar>
      </w:tblPr>
      <w:tblGrid>
        <w:gridCol w:w="1188"/>
        <w:gridCol w:w="1220"/>
        <w:gridCol w:w="1709"/>
        <w:gridCol w:w="1798"/>
        <w:gridCol w:w="1659"/>
        <w:gridCol w:w="1543"/>
      </w:tblGrid>
      <w:tr>
        <w:tblPrEx>
          <w:tblLayout w:type="fixed"/>
          <w:tblCellMar>
            <w:top w:w="0" w:type="dxa"/>
            <w:left w:w="108" w:type="dxa"/>
            <w:bottom w:w="0" w:type="dxa"/>
            <w:right w:w="108" w:type="dxa"/>
          </w:tblCellMar>
        </w:tblPrEx>
        <w:trPr>
          <w:trHeight w:val="570" w:hRule="atLeast"/>
          <w:tblHeader/>
        </w:trPr>
        <w:tc>
          <w:tcPr>
            <w:tcW w:w="118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监测因子</w:t>
            </w:r>
          </w:p>
        </w:tc>
        <w:tc>
          <w:tcPr>
            <w:tcW w:w="2929" w:type="dxa"/>
            <w:gridSpan w:val="2"/>
            <w:tcBorders>
              <w:top w:val="single" w:color="auto" w:sz="4" w:space="0"/>
              <w:left w:val="nil"/>
              <w:bottom w:val="single" w:color="auto" w:sz="4" w:space="0"/>
              <w:right w:val="single" w:color="000000"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采样时间</w:t>
            </w:r>
          </w:p>
        </w:tc>
        <w:tc>
          <w:tcPr>
            <w:tcW w:w="1798" w:type="dxa"/>
            <w:tcBorders>
              <w:top w:val="single" w:color="auto" w:sz="4" w:space="0"/>
              <w:left w:val="nil"/>
              <w:bottom w:val="nil"/>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标干流量</w:t>
            </w:r>
            <w:r>
              <w:rPr>
                <w:rStyle w:val="63"/>
                <w:color w:val="000000" w:themeColor="text1"/>
                <w14:textFill>
                  <w14:solidFill>
                    <w14:schemeClr w14:val="tx1"/>
                  </w14:solidFill>
                </w14:textFill>
              </w:rPr>
              <w:t>m</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/h</w:t>
            </w:r>
          </w:p>
        </w:tc>
        <w:tc>
          <w:tcPr>
            <w:tcW w:w="1659" w:type="dxa"/>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排放浓度</w:t>
            </w:r>
            <w:r>
              <w:rPr>
                <w:rStyle w:val="63"/>
                <w:color w:val="000000" w:themeColor="text1"/>
                <w14:textFill>
                  <w14:solidFill>
                    <w14:schemeClr w14:val="tx1"/>
                  </w14:solidFill>
                </w14:textFill>
              </w:rPr>
              <w:t>mg/m</w:t>
            </w:r>
            <w:r>
              <w:rPr>
                <w:rStyle w:val="63"/>
                <w:color w:val="000000" w:themeColor="text1"/>
                <w:vertAlign w:val="superscript"/>
                <w14:textFill>
                  <w14:solidFill>
                    <w14:schemeClr w14:val="tx1"/>
                  </w14:solidFill>
                </w14:textFill>
              </w:rPr>
              <w:t>3</w:t>
            </w:r>
          </w:p>
        </w:tc>
        <w:tc>
          <w:tcPr>
            <w:tcW w:w="1543" w:type="dxa"/>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p>
        </w:tc>
      </w:tr>
      <w:tr>
        <w:tblPrEx>
          <w:tblLayout w:type="fixed"/>
          <w:tblCellMar>
            <w:top w:w="0" w:type="dxa"/>
            <w:left w:w="108" w:type="dxa"/>
            <w:bottom w:w="0" w:type="dxa"/>
            <w:right w:w="108" w:type="dxa"/>
          </w:tblCellMar>
        </w:tblPrEx>
        <w:trPr>
          <w:trHeight w:val="270" w:hRule="atLeast"/>
        </w:trPr>
        <w:tc>
          <w:tcPr>
            <w:tcW w:w="1188"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122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1月21日</w:t>
            </w:r>
          </w:p>
        </w:tc>
        <w:tc>
          <w:tcPr>
            <w:tcW w:w="170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次</w:t>
            </w:r>
          </w:p>
        </w:tc>
        <w:tc>
          <w:tcPr>
            <w:tcW w:w="1798"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25662</w:t>
            </w:r>
          </w:p>
        </w:tc>
        <w:tc>
          <w:tcPr>
            <w:tcW w:w="1659" w:type="dxa"/>
            <w:tcBorders>
              <w:top w:val="single" w:color="auto" w:sz="4" w:space="0"/>
              <w:left w:val="single" w:color="auto" w:sz="4" w:space="0"/>
              <w:bottom w:val="single" w:color="auto" w:sz="4" w:space="0"/>
              <w:right w:val="single" w:color="auto" w:sz="4" w:space="0"/>
            </w:tcBorders>
            <w:shd w:val="clear" w:color="000000" w:fill="FFC7CE"/>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0.51</w:t>
            </w:r>
          </w:p>
        </w:tc>
        <w:tc>
          <w:tcPr>
            <w:tcW w:w="1543"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1.3E-02</w:t>
            </w:r>
          </w:p>
        </w:tc>
      </w:tr>
      <w:tr>
        <w:tblPrEx>
          <w:tblLayout w:type="fixed"/>
          <w:tblCellMar>
            <w:top w:w="0" w:type="dxa"/>
            <w:left w:w="108" w:type="dxa"/>
            <w:bottom w:w="0" w:type="dxa"/>
            <w:right w:w="108" w:type="dxa"/>
          </w:tblCellMar>
        </w:tblPrEx>
        <w:trPr>
          <w:trHeight w:val="54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22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70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次</w:t>
            </w:r>
          </w:p>
        </w:tc>
        <w:tc>
          <w:tcPr>
            <w:tcW w:w="17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25872</w:t>
            </w:r>
          </w:p>
        </w:tc>
        <w:tc>
          <w:tcPr>
            <w:tcW w:w="1659"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0.37</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9.6E-03</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22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70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次</w:t>
            </w:r>
          </w:p>
        </w:tc>
        <w:tc>
          <w:tcPr>
            <w:tcW w:w="17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25451</w:t>
            </w:r>
          </w:p>
        </w:tc>
        <w:tc>
          <w:tcPr>
            <w:tcW w:w="1659"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0.40 </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1.0E-02</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22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1月22日</w:t>
            </w:r>
          </w:p>
        </w:tc>
        <w:tc>
          <w:tcPr>
            <w:tcW w:w="170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次</w:t>
            </w:r>
          </w:p>
        </w:tc>
        <w:tc>
          <w:tcPr>
            <w:tcW w:w="17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25929</w:t>
            </w:r>
          </w:p>
        </w:tc>
        <w:tc>
          <w:tcPr>
            <w:tcW w:w="1659"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0.34</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8.8E-03</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22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70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次</w:t>
            </w:r>
          </w:p>
        </w:tc>
        <w:tc>
          <w:tcPr>
            <w:tcW w:w="17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25805</w:t>
            </w:r>
          </w:p>
        </w:tc>
        <w:tc>
          <w:tcPr>
            <w:tcW w:w="1659"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0.43</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1.1E-02</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22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70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次</w:t>
            </w:r>
          </w:p>
        </w:tc>
        <w:tc>
          <w:tcPr>
            <w:tcW w:w="17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25736</w:t>
            </w:r>
          </w:p>
        </w:tc>
        <w:tc>
          <w:tcPr>
            <w:tcW w:w="1659"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0.29</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7.5E-03</w:t>
            </w:r>
          </w:p>
        </w:tc>
      </w:tr>
      <w:tr>
        <w:tblPrEx>
          <w:tblLayout w:type="fixed"/>
          <w:tblCellMar>
            <w:top w:w="0" w:type="dxa"/>
            <w:left w:w="108" w:type="dxa"/>
            <w:bottom w:w="0" w:type="dxa"/>
            <w:right w:w="108" w:type="dxa"/>
          </w:tblCellMar>
        </w:tblPrEx>
        <w:trPr>
          <w:trHeight w:val="285"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2929" w:type="dxa"/>
            <w:gridSpan w:val="2"/>
            <w:tcBorders>
              <w:top w:val="single" w:color="auto" w:sz="4" w:space="0"/>
              <w:left w:val="nil"/>
              <w:bottom w:val="single" w:color="auto" w:sz="4" w:space="0"/>
              <w:right w:val="single" w:color="000000"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实测排放浓度最大值</w:t>
            </w:r>
          </w:p>
        </w:tc>
        <w:tc>
          <w:tcPr>
            <w:tcW w:w="17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25662</w:t>
            </w:r>
          </w:p>
        </w:tc>
        <w:tc>
          <w:tcPr>
            <w:tcW w:w="16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0.51</w:t>
            </w:r>
          </w:p>
        </w:tc>
        <w:tc>
          <w:tcPr>
            <w:tcW w:w="1543"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1.3E-02</w:t>
            </w:r>
          </w:p>
        </w:tc>
      </w:tr>
      <w:tr>
        <w:tblPrEx>
          <w:tblLayout w:type="fixed"/>
          <w:tblCellMar>
            <w:top w:w="0" w:type="dxa"/>
            <w:left w:w="108" w:type="dxa"/>
            <w:bottom w:w="0" w:type="dxa"/>
            <w:right w:w="108" w:type="dxa"/>
          </w:tblCellMar>
        </w:tblPrEx>
        <w:trPr>
          <w:trHeight w:val="314"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2929" w:type="dxa"/>
            <w:gridSpan w:val="2"/>
            <w:tcBorders>
              <w:top w:val="single" w:color="auto" w:sz="4" w:space="0"/>
              <w:left w:val="nil"/>
              <w:bottom w:val="single" w:color="auto" w:sz="4" w:space="0"/>
              <w:right w:val="single" w:color="000000"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基准排气量排放浓度最大值*</w:t>
            </w:r>
          </w:p>
        </w:tc>
        <w:tc>
          <w:tcPr>
            <w:tcW w:w="1798"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6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9.56</w:t>
            </w:r>
          </w:p>
        </w:tc>
        <w:tc>
          <w:tcPr>
            <w:tcW w:w="1543" w:type="dxa"/>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33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ind w:firstLine="480"/>
              <w:rPr>
                <w:rStyle w:val="63"/>
                <w:color w:val="000000" w:themeColor="text1"/>
                <w14:textFill>
                  <w14:solidFill>
                    <w14:schemeClr w14:val="tx1"/>
                  </w14:solidFill>
                </w14:textFill>
              </w:rPr>
            </w:pPr>
          </w:p>
        </w:tc>
        <w:tc>
          <w:tcPr>
            <w:tcW w:w="2929" w:type="dxa"/>
            <w:gridSpan w:val="2"/>
            <w:tcBorders>
              <w:top w:val="single" w:color="auto" w:sz="4" w:space="0"/>
              <w:left w:val="nil"/>
              <w:bottom w:val="single" w:color="auto" w:sz="4" w:space="0"/>
              <w:right w:val="single" w:color="000000"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标准限值</w:t>
            </w:r>
          </w:p>
        </w:tc>
        <w:tc>
          <w:tcPr>
            <w:tcW w:w="1798"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6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10</w:t>
            </w:r>
          </w:p>
        </w:tc>
        <w:tc>
          <w:tcPr>
            <w:tcW w:w="1543"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85"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ind w:firstLine="480"/>
              <w:rPr>
                <w:rStyle w:val="63"/>
                <w:color w:val="000000" w:themeColor="text1"/>
                <w14:textFill>
                  <w14:solidFill>
                    <w14:schemeClr w14:val="tx1"/>
                  </w14:solidFill>
                </w14:textFill>
              </w:rPr>
            </w:pPr>
          </w:p>
        </w:tc>
        <w:tc>
          <w:tcPr>
            <w:tcW w:w="2929" w:type="dxa"/>
            <w:gridSpan w:val="2"/>
            <w:tcBorders>
              <w:top w:val="single" w:color="auto" w:sz="4" w:space="0"/>
              <w:left w:val="nil"/>
              <w:bottom w:val="single" w:color="auto" w:sz="4" w:space="0"/>
              <w:right w:val="single" w:color="000000"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是否达标</w:t>
            </w:r>
          </w:p>
        </w:tc>
        <w:tc>
          <w:tcPr>
            <w:tcW w:w="5000" w:type="dxa"/>
            <w:gridSpan w:val="3"/>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是</w:t>
            </w:r>
          </w:p>
        </w:tc>
      </w:tr>
      <w:tr>
        <w:tblPrEx>
          <w:tblLayout w:type="fixed"/>
          <w:tblCellMar>
            <w:top w:w="0" w:type="dxa"/>
            <w:left w:w="108" w:type="dxa"/>
            <w:bottom w:w="0" w:type="dxa"/>
            <w:right w:w="108" w:type="dxa"/>
          </w:tblCellMar>
        </w:tblPrEx>
        <w:trPr>
          <w:trHeight w:val="285" w:hRule="atLeast"/>
        </w:trPr>
        <w:tc>
          <w:tcPr>
            <w:tcW w:w="1188"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122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1月21日</w:t>
            </w:r>
          </w:p>
        </w:tc>
        <w:tc>
          <w:tcPr>
            <w:tcW w:w="170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次</w:t>
            </w:r>
          </w:p>
        </w:tc>
        <w:tc>
          <w:tcPr>
            <w:tcW w:w="17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25662</w:t>
            </w:r>
          </w:p>
        </w:tc>
        <w:tc>
          <w:tcPr>
            <w:tcW w:w="16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ND</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85"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ind w:firstLine="480"/>
              <w:rPr>
                <w:rStyle w:val="63"/>
                <w:color w:val="000000" w:themeColor="text1"/>
                <w14:textFill>
                  <w14:solidFill>
                    <w14:schemeClr w14:val="tx1"/>
                  </w14:solidFill>
                </w14:textFill>
              </w:rPr>
            </w:pPr>
          </w:p>
        </w:tc>
        <w:tc>
          <w:tcPr>
            <w:tcW w:w="122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70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次</w:t>
            </w:r>
          </w:p>
        </w:tc>
        <w:tc>
          <w:tcPr>
            <w:tcW w:w="17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25872</w:t>
            </w:r>
          </w:p>
        </w:tc>
        <w:tc>
          <w:tcPr>
            <w:tcW w:w="16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ND</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85"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ind w:firstLine="480"/>
              <w:rPr>
                <w:rStyle w:val="63"/>
                <w:color w:val="000000" w:themeColor="text1"/>
                <w14:textFill>
                  <w14:solidFill>
                    <w14:schemeClr w14:val="tx1"/>
                  </w14:solidFill>
                </w14:textFill>
              </w:rPr>
            </w:pPr>
          </w:p>
        </w:tc>
        <w:tc>
          <w:tcPr>
            <w:tcW w:w="122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70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次</w:t>
            </w:r>
          </w:p>
        </w:tc>
        <w:tc>
          <w:tcPr>
            <w:tcW w:w="17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25451</w:t>
            </w:r>
          </w:p>
        </w:tc>
        <w:tc>
          <w:tcPr>
            <w:tcW w:w="16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ND</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85"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ind w:firstLine="480"/>
              <w:rPr>
                <w:rStyle w:val="63"/>
                <w:color w:val="000000" w:themeColor="text1"/>
                <w14:textFill>
                  <w14:solidFill>
                    <w14:schemeClr w14:val="tx1"/>
                  </w14:solidFill>
                </w14:textFill>
              </w:rPr>
            </w:pPr>
          </w:p>
        </w:tc>
        <w:tc>
          <w:tcPr>
            <w:tcW w:w="122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1月22日</w:t>
            </w:r>
          </w:p>
        </w:tc>
        <w:tc>
          <w:tcPr>
            <w:tcW w:w="170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次</w:t>
            </w:r>
          </w:p>
        </w:tc>
        <w:tc>
          <w:tcPr>
            <w:tcW w:w="17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25929</w:t>
            </w:r>
          </w:p>
        </w:tc>
        <w:tc>
          <w:tcPr>
            <w:tcW w:w="16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ND</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ind w:firstLine="480"/>
              <w:rPr>
                <w:rStyle w:val="63"/>
                <w:color w:val="000000" w:themeColor="text1"/>
                <w14:textFill>
                  <w14:solidFill>
                    <w14:schemeClr w14:val="tx1"/>
                  </w14:solidFill>
                </w14:textFill>
              </w:rPr>
            </w:pPr>
          </w:p>
        </w:tc>
        <w:tc>
          <w:tcPr>
            <w:tcW w:w="122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70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次</w:t>
            </w:r>
          </w:p>
        </w:tc>
        <w:tc>
          <w:tcPr>
            <w:tcW w:w="17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25805</w:t>
            </w:r>
          </w:p>
        </w:tc>
        <w:tc>
          <w:tcPr>
            <w:tcW w:w="16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ND</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22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70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次</w:t>
            </w:r>
          </w:p>
        </w:tc>
        <w:tc>
          <w:tcPr>
            <w:tcW w:w="1798"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25736</w:t>
            </w:r>
          </w:p>
        </w:tc>
        <w:tc>
          <w:tcPr>
            <w:tcW w:w="16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ND</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2929" w:type="dxa"/>
            <w:gridSpan w:val="2"/>
            <w:tcBorders>
              <w:top w:val="single" w:color="auto" w:sz="4" w:space="0"/>
              <w:left w:val="nil"/>
              <w:bottom w:val="single" w:color="auto" w:sz="4" w:space="0"/>
              <w:right w:val="single" w:color="000000"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实测排放速率最大值</w:t>
            </w:r>
          </w:p>
        </w:tc>
        <w:tc>
          <w:tcPr>
            <w:tcW w:w="17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6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ND</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2929" w:type="dxa"/>
            <w:gridSpan w:val="2"/>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标准限值</w:t>
            </w:r>
          </w:p>
        </w:tc>
        <w:tc>
          <w:tcPr>
            <w:tcW w:w="1798"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659" w:type="dxa"/>
            <w:tcBorders>
              <w:top w:val="single" w:color="auto" w:sz="4" w:space="0"/>
              <w:left w:val="single" w:color="auto" w:sz="4" w:space="0"/>
              <w:bottom w:val="single" w:color="auto" w:sz="4" w:space="0"/>
              <w:right w:val="nil"/>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0.33</w:t>
            </w:r>
          </w:p>
        </w:tc>
        <w:tc>
          <w:tcPr>
            <w:tcW w:w="1543"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2929" w:type="dxa"/>
            <w:gridSpan w:val="2"/>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是否达标</w:t>
            </w:r>
          </w:p>
        </w:tc>
        <w:tc>
          <w:tcPr>
            <w:tcW w:w="5000" w:type="dxa"/>
            <w:gridSpan w:val="3"/>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是</w:t>
            </w:r>
          </w:p>
        </w:tc>
      </w:tr>
      <w:tr>
        <w:tblPrEx>
          <w:tblLayout w:type="fixed"/>
          <w:tblCellMar>
            <w:top w:w="0" w:type="dxa"/>
            <w:left w:w="108" w:type="dxa"/>
            <w:bottom w:w="0" w:type="dxa"/>
            <w:right w:w="108" w:type="dxa"/>
          </w:tblCellMar>
        </w:tblPrEx>
        <w:trPr>
          <w:trHeight w:val="270" w:hRule="atLeast"/>
        </w:trPr>
        <w:tc>
          <w:tcPr>
            <w:tcW w:w="1188"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臭气浓度（无量纲）</w:t>
            </w:r>
          </w:p>
        </w:tc>
        <w:tc>
          <w:tcPr>
            <w:tcW w:w="122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1月21日</w:t>
            </w:r>
          </w:p>
        </w:tc>
        <w:tc>
          <w:tcPr>
            <w:tcW w:w="1709" w:type="dxa"/>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次</w:t>
            </w:r>
          </w:p>
        </w:tc>
        <w:tc>
          <w:tcPr>
            <w:tcW w:w="1798" w:type="dxa"/>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25662</w:t>
            </w:r>
          </w:p>
        </w:tc>
        <w:tc>
          <w:tcPr>
            <w:tcW w:w="1659" w:type="dxa"/>
            <w:tcBorders>
              <w:top w:val="single" w:color="auto" w:sz="4" w:space="0"/>
              <w:left w:val="single" w:color="auto" w:sz="4" w:space="0"/>
              <w:bottom w:val="single" w:color="auto" w:sz="4" w:space="0"/>
              <w:right w:val="single" w:color="auto" w:sz="4" w:space="0"/>
            </w:tcBorders>
            <w:shd w:val="clear" w:color="000000" w:fill="FFC7CE"/>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73</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220" w:type="dxa"/>
            <w:vMerge w:val="continue"/>
            <w:tcBorders>
              <w:top w:val="single" w:color="auto" w:sz="4" w:space="0"/>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709" w:type="dxa"/>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次</w:t>
            </w:r>
          </w:p>
        </w:tc>
        <w:tc>
          <w:tcPr>
            <w:tcW w:w="1798" w:type="dxa"/>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25872</w:t>
            </w:r>
          </w:p>
        </w:tc>
        <w:tc>
          <w:tcPr>
            <w:tcW w:w="1659"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31</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220" w:type="dxa"/>
            <w:vMerge w:val="continue"/>
            <w:tcBorders>
              <w:top w:val="single" w:color="auto" w:sz="4" w:space="0"/>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709" w:type="dxa"/>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次</w:t>
            </w:r>
          </w:p>
        </w:tc>
        <w:tc>
          <w:tcPr>
            <w:tcW w:w="1798" w:type="dxa"/>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25451</w:t>
            </w:r>
          </w:p>
        </w:tc>
        <w:tc>
          <w:tcPr>
            <w:tcW w:w="1659"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41</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22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1月22日</w:t>
            </w:r>
          </w:p>
        </w:tc>
        <w:tc>
          <w:tcPr>
            <w:tcW w:w="1709" w:type="dxa"/>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次</w:t>
            </w:r>
          </w:p>
        </w:tc>
        <w:tc>
          <w:tcPr>
            <w:tcW w:w="1798" w:type="dxa"/>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25929</w:t>
            </w:r>
          </w:p>
        </w:tc>
        <w:tc>
          <w:tcPr>
            <w:tcW w:w="1659"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55</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220" w:type="dxa"/>
            <w:vMerge w:val="continue"/>
            <w:tcBorders>
              <w:top w:val="single" w:color="auto" w:sz="4" w:space="0"/>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709" w:type="dxa"/>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次</w:t>
            </w:r>
          </w:p>
        </w:tc>
        <w:tc>
          <w:tcPr>
            <w:tcW w:w="1798" w:type="dxa"/>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25805</w:t>
            </w:r>
          </w:p>
        </w:tc>
        <w:tc>
          <w:tcPr>
            <w:tcW w:w="1659"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55</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220" w:type="dxa"/>
            <w:vMerge w:val="continue"/>
            <w:tcBorders>
              <w:top w:val="single" w:color="auto" w:sz="4" w:space="0"/>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709" w:type="dxa"/>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次</w:t>
            </w:r>
          </w:p>
        </w:tc>
        <w:tc>
          <w:tcPr>
            <w:tcW w:w="1798" w:type="dxa"/>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25736</w:t>
            </w:r>
          </w:p>
        </w:tc>
        <w:tc>
          <w:tcPr>
            <w:tcW w:w="1659"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31</w:t>
            </w:r>
          </w:p>
        </w:tc>
        <w:tc>
          <w:tcPr>
            <w:tcW w:w="15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2929" w:type="dxa"/>
            <w:gridSpan w:val="2"/>
            <w:tcBorders>
              <w:top w:val="single" w:color="auto" w:sz="4" w:space="0"/>
              <w:left w:val="nil"/>
              <w:bottom w:val="single" w:color="auto" w:sz="4" w:space="0"/>
              <w:right w:val="single" w:color="000000"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实测排放浓度最大值</w:t>
            </w:r>
          </w:p>
        </w:tc>
        <w:tc>
          <w:tcPr>
            <w:tcW w:w="1798"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6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73</w:t>
            </w:r>
          </w:p>
        </w:tc>
        <w:tc>
          <w:tcPr>
            <w:tcW w:w="1543"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2929" w:type="dxa"/>
            <w:gridSpan w:val="2"/>
            <w:tcBorders>
              <w:top w:val="single" w:color="auto" w:sz="4" w:space="0"/>
              <w:left w:val="nil"/>
              <w:bottom w:val="single" w:color="auto" w:sz="4" w:space="0"/>
              <w:right w:val="single" w:color="000000"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标准限值</w:t>
            </w:r>
          </w:p>
        </w:tc>
        <w:tc>
          <w:tcPr>
            <w:tcW w:w="1798"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6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2000</w:t>
            </w:r>
          </w:p>
        </w:tc>
        <w:tc>
          <w:tcPr>
            <w:tcW w:w="1543"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r>
      <w:tr>
        <w:tblPrEx>
          <w:tblLayout w:type="fixed"/>
          <w:tblCellMar>
            <w:top w:w="0" w:type="dxa"/>
            <w:left w:w="108" w:type="dxa"/>
            <w:bottom w:w="0" w:type="dxa"/>
            <w:right w:w="108" w:type="dxa"/>
          </w:tblCellMar>
        </w:tblPrEx>
        <w:trPr>
          <w:trHeight w:val="270" w:hRule="atLeast"/>
        </w:trPr>
        <w:tc>
          <w:tcPr>
            <w:tcW w:w="1188"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2929" w:type="dxa"/>
            <w:gridSpan w:val="2"/>
            <w:tcBorders>
              <w:top w:val="single" w:color="auto" w:sz="4" w:space="0"/>
              <w:left w:val="nil"/>
              <w:bottom w:val="single" w:color="auto" w:sz="4" w:space="0"/>
              <w:right w:val="single" w:color="000000"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是否达标</w:t>
            </w:r>
          </w:p>
        </w:tc>
        <w:tc>
          <w:tcPr>
            <w:tcW w:w="5000" w:type="dxa"/>
            <w:gridSpan w:val="3"/>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是</w:t>
            </w:r>
          </w:p>
        </w:tc>
      </w:tr>
    </w:tbl>
    <w:p>
      <w:pPr>
        <w:pStyle w:val="107"/>
        <w:jc w:val="left"/>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注：*指根据《橡胶制品工业污染物排放标准》（GB27632-2011）中公式（1）换算到基准排气量下的颗粒物、非甲烷总烃排放浓度最大值。开炼及硫化车间风量最大值为</w:t>
      </w:r>
      <w:r>
        <w:rPr>
          <w:rStyle w:val="63"/>
          <w:color w:val="000000" w:themeColor="text1"/>
          <w14:textFill>
            <w14:solidFill>
              <w14:schemeClr w14:val="tx1"/>
            </w14:solidFill>
          </w14:textFill>
        </w:rPr>
        <w:t>29000m</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/h</w:t>
      </w:r>
      <w:r>
        <w:rPr>
          <w:rStyle w:val="63"/>
          <w:rFonts w:hint="eastAsia"/>
          <w:color w:val="000000" w:themeColor="text1"/>
          <w14:textFill>
            <w14:solidFill>
              <w14:schemeClr w14:val="tx1"/>
            </w14:solidFill>
          </w14:textFill>
        </w:rPr>
        <w:t>，胶料消耗量和排气量统计周期为一个工作日。根据计算项目一个工作日炼胶颗粒物排气量约为</w:t>
      </w:r>
      <w:r>
        <w:rPr>
          <w:rStyle w:val="63"/>
          <w:color w:val="000000" w:themeColor="text1"/>
          <w14:textFill>
            <w14:solidFill>
              <w14:schemeClr w14:val="tx1"/>
            </w14:solidFill>
          </w14:textFill>
        </w:rPr>
        <w:t>232</w:t>
      </w:r>
      <w:r>
        <w:rPr>
          <w:rStyle w:val="63"/>
          <w:rFonts w:hint="eastAsia"/>
          <w:color w:val="000000" w:themeColor="text1"/>
          <w14:textFill>
            <w14:solidFill>
              <w14:schemeClr w14:val="tx1"/>
            </w14:solidFill>
          </w14:textFill>
        </w:rPr>
        <w:t>000m</w:t>
      </w:r>
      <w:r>
        <w:rPr>
          <w:rStyle w:val="63"/>
          <w:rFonts w:hint="eastAsia"/>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/d，满负荷一天开炼胶料加工总量约</w:t>
      </w:r>
      <w:r>
        <w:rPr>
          <w:rStyle w:val="63"/>
          <w:color w:val="000000" w:themeColor="text1"/>
          <w14:textFill>
            <w14:solidFill>
              <w14:schemeClr w14:val="tx1"/>
            </w14:solidFill>
          </w14:textFill>
        </w:rPr>
        <w:t>2.666</w:t>
      </w:r>
      <w:r>
        <w:rPr>
          <w:rStyle w:val="63"/>
          <w:rFonts w:hint="eastAsia"/>
          <w:color w:val="000000" w:themeColor="text1"/>
          <w14:textFill>
            <w14:solidFill>
              <w14:schemeClr w14:val="tx1"/>
            </w14:solidFill>
          </w14:textFill>
        </w:rPr>
        <w:t>t/d，硫化工序胶料加工总量约</w:t>
      </w:r>
      <w:r>
        <w:rPr>
          <w:rStyle w:val="63"/>
          <w:color w:val="000000" w:themeColor="text1"/>
          <w14:textFill>
            <w14:solidFill>
              <w14:schemeClr w14:val="tx1"/>
            </w14:solidFill>
          </w14:textFill>
        </w:rPr>
        <w:t>1.333</w:t>
      </w:r>
      <w:r>
        <w:rPr>
          <w:rStyle w:val="63"/>
          <w:rFonts w:hint="eastAsia"/>
          <w:color w:val="000000" w:themeColor="text1"/>
          <w14:textFill>
            <w14:solidFill>
              <w14:schemeClr w14:val="tx1"/>
            </w14:solidFill>
          </w14:textFill>
        </w:rPr>
        <w:t>t/d，则开炼、硫化工序的总橡胶加工量约</w:t>
      </w:r>
      <w:r>
        <w:rPr>
          <w:rStyle w:val="63"/>
          <w:color w:val="000000" w:themeColor="text1"/>
          <w14:textFill>
            <w14:solidFill>
              <w14:schemeClr w14:val="tx1"/>
            </w14:solidFill>
          </w14:textFill>
        </w:rPr>
        <w:t>3.999 t/d</w:t>
      </w:r>
      <w:r>
        <w:rPr>
          <w:rStyle w:val="63"/>
          <w:rFonts w:hint="eastAsia"/>
          <w:color w:val="000000" w:themeColor="text1"/>
          <w14:textFill>
            <w14:solidFill>
              <w14:schemeClr w14:val="tx1"/>
            </w14:solidFill>
          </w14:textFill>
        </w:rPr>
        <w:t>，换算得基准排气量排放浓度最大值。</w:t>
      </w:r>
    </w:p>
    <w:p>
      <w:pPr>
        <w:pStyle w:val="126"/>
        <w:numPr>
          <w:ilvl w:val="0"/>
          <w:numId w:val="0"/>
        </w:numPr>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（2）无组织废气监测</w:t>
      </w:r>
    </w:p>
    <w:p>
      <w:pPr>
        <w:ind w:firstLine="480"/>
        <w:rPr>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无组织废气监测结果见</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REF _Ref536815334 \h</w:instrText>
      </w:r>
      <w:r>
        <w:rPr>
          <w:rStyle w:val="63"/>
          <w:color w:val="000000" w:themeColor="text1"/>
          <w14:textFill>
            <w14:solidFill>
              <w14:schemeClr w14:val="tx1"/>
            </w14:solidFill>
          </w14:textFill>
        </w:rPr>
        <w:instrText xml:space="preserve">  \* MERGEFORMAT </w:instrText>
      </w:r>
      <w:r>
        <w:rPr>
          <w:rStyle w:val="63"/>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18</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，监测点位示意图见</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REF _Ref536815382 \h</w:instrText>
      </w:r>
      <w:r>
        <w:rPr>
          <w:rStyle w:val="63"/>
          <w:color w:val="000000" w:themeColor="text1"/>
          <w14:textFill>
            <w14:solidFill>
              <w14:schemeClr w14:val="tx1"/>
            </w14:solidFill>
          </w14:textFill>
        </w:rPr>
        <w:instrText xml:space="preserve">  \* MERGEFORMAT </w:instrText>
      </w:r>
      <w:r>
        <w:rPr>
          <w:rStyle w:val="63"/>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图 </w:t>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1</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，监测期间气象资料见</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REF _Ref536815368 \h</w:instrText>
      </w:r>
      <w:r>
        <w:rPr>
          <w:rStyle w:val="63"/>
          <w:color w:val="000000" w:themeColor="text1"/>
          <w14:textFill>
            <w14:solidFill>
              <w14:schemeClr w14:val="tx1"/>
            </w14:solidFill>
          </w14:textFill>
        </w:rPr>
        <w:instrText xml:space="preserve">  \* MERGEFORMAT </w:instrText>
      </w:r>
      <w:r>
        <w:rPr>
          <w:rStyle w:val="63"/>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19</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w:t>
      </w:r>
    </w:p>
    <w:p>
      <w:pPr>
        <w:pStyle w:val="18"/>
        <w:rPr>
          <w:rStyle w:val="63"/>
          <w:color w:val="000000" w:themeColor="text1"/>
          <w14:textFill>
            <w14:solidFill>
              <w14:schemeClr w14:val="tx1"/>
            </w14:solidFill>
          </w14:textFill>
        </w:rPr>
      </w:pPr>
      <w:bookmarkStart w:id="219" w:name="_Ref536815334"/>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18</w:t>
      </w:r>
      <w:r>
        <w:rPr>
          <w:rStyle w:val="63"/>
          <w:color w:val="000000" w:themeColor="text1"/>
          <w14:textFill>
            <w14:solidFill>
              <w14:schemeClr w14:val="tx1"/>
            </w14:solidFill>
          </w14:textFill>
        </w:rPr>
        <w:fldChar w:fldCharType="end"/>
      </w:r>
      <w:bookmarkEnd w:id="219"/>
      <w:r>
        <w:rPr>
          <w:rStyle w:val="63"/>
          <w:rFonts w:hint="eastAsia"/>
          <w:color w:val="000000" w:themeColor="text1"/>
          <w14:textFill>
            <w14:solidFill>
              <w14:schemeClr w14:val="tx1"/>
            </w14:solidFill>
          </w14:textFill>
        </w:rPr>
        <w:t>无组织废气监测结果</w:t>
      </w:r>
      <w:r>
        <w:rPr>
          <w:rStyle w:val="63"/>
          <w:color w:val="000000" w:themeColor="text1"/>
          <w14:textFill>
            <w14:solidFill>
              <w14:schemeClr w14:val="tx1"/>
            </w14:solidFill>
          </w14:textFill>
        </w:rPr>
        <w:tab/>
      </w:r>
      <w:r>
        <w:rPr>
          <w:rStyle w:val="63"/>
          <w:rFonts w:hint="eastAsia"/>
          <w:color w:val="000000" w:themeColor="text1"/>
          <w14:textFill>
            <w14:solidFill>
              <w14:schemeClr w14:val="tx1"/>
            </w14:solidFill>
          </w14:textFill>
        </w:rPr>
        <w:t>单位：mg/m</w:t>
      </w:r>
      <w:r>
        <w:rPr>
          <w:rStyle w:val="63"/>
          <w:rFonts w:hint="eastAsia"/>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，臭气浓度为无量纲</w:t>
      </w:r>
    </w:p>
    <w:tbl>
      <w:tblPr>
        <w:tblStyle w:val="56"/>
        <w:tblW w:w="911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4"/>
        <w:gridCol w:w="1260"/>
        <w:gridCol w:w="810"/>
        <w:gridCol w:w="795"/>
        <w:gridCol w:w="800"/>
        <w:gridCol w:w="799"/>
        <w:gridCol w:w="799"/>
        <w:gridCol w:w="788"/>
        <w:gridCol w:w="786"/>
        <w:gridCol w:w="7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1494" w:type="dxa"/>
            <w:vMerge w:val="restart"/>
            <w:vAlign w:val="center"/>
          </w:tcPr>
          <w:p>
            <w:pPr>
              <w:pStyle w:val="151"/>
              <w:rPr>
                <w:rStyle w:val="63"/>
                <w:b/>
                <w:color w:val="000000" w:themeColor="text1"/>
                <w14:textFill>
                  <w14:solidFill>
                    <w14:schemeClr w14:val="tx1"/>
                  </w14:solidFill>
                </w14:textFill>
              </w:rPr>
            </w:pPr>
            <w:r>
              <w:rPr>
                <w:rStyle w:val="63"/>
                <w:b/>
                <w:color w:val="000000" w:themeColor="text1"/>
                <w14:textFill>
                  <w14:solidFill>
                    <w14:schemeClr w14:val="tx1"/>
                  </w14:solidFill>
                </w14:textFill>
              </w:rPr>
              <w:t>采样位置</w:t>
            </w:r>
          </w:p>
        </w:tc>
        <w:tc>
          <w:tcPr>
            <w:tcW w:w="1260" w:type="dxa"/>
            <w:vMerge w:val="restart"/>
            <w:vAlign w:val="center"/>
          </w:tcPr>
          <w:p>
            <w:pPr>
              <w:pStyle w:val="151"/>
              <w:rPr>
                <w:rStyle w:val="63"/>
                <w:b/>
                <w:color w:val="000000" w:themeColor="text1"/>
                <w14:textFill>
                  <w14:solidFill>
                    <w14:schemeClr w14:val="tx1"/>
                  </w14:solidFill>
                </w14:textFill>
              </w:rPr>
            </w:pPr>
            <w:r>
              <w:rPr>
                <w:rStyle w:val="63"/>
                <w:b/>
                <w:color w:val="000000" w:themeColor="text1"/>
                <w14:textFill>
                  <w14:solidFill>
                    <w14:schemeClr w14:val="tx1"/>
                  </w14:solidFill>
                </w14:textFill>
              </w:rPr>
              <w:t>检测项目</w:t>
            </w:r>
          </w:p>
        </w:tc>
        <w:tc>
          <w:tcPr>
            <w:tcW w:w="4791" w:type="dxa"/>
            <w:gridSpan w:val="6"/>
            <w:vAlign w:val="center"/>
          </w:tcPr>
          <w:p>
            <w:pPr>
              <w:pStyle w:val="151"/>
              <w:rPr>
                <w:rStyle w:val="63"/>
                <w:b/>
                <w:color w:val="000000" w:themeColor="text1"/>
                <w14:textFill>
                  <w14:solidFill>
                    <w14:schemeClr w14:val="tx1"/>
                  </w14:solidFill>
                </w14:textFill>
              </w:rPr>
            </w:pPr>
            <w:r>
              <w:rPr>
                <w:rStyle w:val="63"/>
                <w:b/>
                <w:color w:val="000000" w:themeColor="text1"/>
                <w14:textFill>
                  <w14:solidFill>
                    <w14:schemeClr w14:val="tx1"/>
                  </w14:solidFill>
                </w14:textFill>
              </w:rPr>
              <w:t>检测结果</w:t>
            </w:r>
          </w:p>
        </w:tc>
        <w:tc>
          <w:tcPr>
            <w:tcW w:w="786" w:type="dxa"/>
            <w:vMerge w:val="restart"/>
            <w:vAlign w:val="center"/>
          </w:tcPr>
          <w:p>
            <w:pPr>
              <w:pStyle w:val="151"/>
              <w:rPr>
                <w:rStyle w:val="63"/>
                <w:b/>
                <w:color w:val="000000" w:themeColor="text1"/>
                <w14:textFill>
                  <w14:solidFill>
                    <w14:schemeClr w14:val="tx1"/>
                  </w14:solidFill>
                </w14:textFill>
              </w:rPr>
            </w:pPr>
            <w:r>
              <w:rPr>
                <w:rStyle w:val="63"/>
                <w:rFonts w:hint="eastAsia"/>
                <w:b/>
                <w:color w:val="000000" w:themeColor="text1"/>
                <w14:textFill>
                  <w14:solidFill>
                    <w14:schemeClr w14:val="tx1"/>
                  </w14:solidFill>
                </w14:textFill>
              </w:rPr>
              <w:t>厂界标准值</w:t>
            </w:r>
          </w:p>
        </w:tc>
        <w:tc>
          <w:tcPr>
            <w:tcW w:w="786" w:type="dxa"/>
            <w:vMerge w:val="restart"/>
            <w:vAlign w:val="center"/>
          </w:tcPr>
          <w:p>
            <w:pPr>
              <w:pStyle w:val="151"/>
              <w:rPr>
                <w:rStyle w:val="63"/>
                <w:b/>
                <w:color w:val="000000" w:themeColor="text1"/>
                <w14:textFill>
                  <w14:solidFill>
                    <w14:schemeClr w14:val="tx1"/>
                  </w14:solidFill>
                </w14:textFill>
              </w:rPr>
            </w:pPr>
            <w:r>
              <w:rPr>
                <w:rStyle w:val="63"/>
                <w:rFonts w:hint="eastAsia"/>
                <w:b/>
                <w:color w:val="000000" w:themeColor="text1"/>
                <w14:textFill>
                  <w14:solidFill>
                    <w14:schemeClr w14:val="tx1"/>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1494" w:type="dxa"/>
            <w:vMerge w:val="continue"/>
            <w:vAlign w:val="center"/>
          </w:tcPr>
          <w:p>
            <w:pPr>
              <w:pStyle w:val="151"/>
              <w:rPr>
                <w:rStyle w:val="63"/>
                <w:b/>
                <w:color w:val="000000" w:themeColor="text1"/>
                <w14:textFill>
                  <w14:solidFill>
                    <w14:schemeClr w14:val="tx1"/>
                  </w14:solidFill>
                </w14:textFill>
              </w:rPr>
            </w:pPr>
          </w:p>
        </w:tc>
        <w:tc>
          <w:tcPr>
            <w:tcW w:w="1260" w:type="dxa"/>
            <w:vMerge w:val="continue"/>
            <w:vAlign w:val="center"/>
          </w:tcPr>
          <w:p>
            <w:pPr>
              <w:pStyle w:val="151"/>
              <w:rPr>
                <w:rStyle w:val="63"/>
                <w:b/>
                <w:color w:val="000000" w:themeColor="text1"/>
                <w14:textFill>
                  <w14:solidFill>
                    <w14:schemeClr w14:val="tx1"/>
                  </w14:solidFill>
                </w14:textFill>
              </w:rPr>
            </w:pPr>
          </w:p>
        </w:tc>
        <w:tc>
          <w:tcPr>
            <w:tcW w:w="2405" w:type="dxa"/>
            <w:gridSpan w:val="3"/>
            <w:vAlign w:val="center"/>
          </w:tcPr>
          <w:p>
            <w:pPr>
              <w:pStyle w:val="151"/>
              <w:rPr>
                <w:rStyle w:val="63"/>
                <w:b/>
                <w:color w:val="000000" w:themeColor="text1"/>
                <w14:textFill>
                  <w14:solidFill>
                    <w14:schemeClr w14:val="tx1"/>
                  </w14:solidFill>
                </w14:textFill>
              </w:rPr>
            </w:pPr>
            <w:r>
              <w:rPr>
                <w:rStyle w:val="63"/>
                <w:rFonts w:hint="eastAsia"/>
                <w:b/>
                <w:color w:val="000000" w:themeColor="text1"/>
                <w14:textFill>
                  <w14:solidFill>
                    <w14:schemeClr w14:val="tx1"/>
                  </w14:solidFill>
                </w14:textFill>
              </w:rPr>
              <w:t>01</w:t>
            </w:r>
            <w:r>
              <w:rPr>
                <w:rStyle w:val="63"/>
                <w:b/>
                <w:color w:val="000000" w:themeColor="text1"/>
                <w14:textFill>
                  <w14:solidFill>
                    <w14:schemeClr w14:val="tx1"/>
                  </w14:solidFill>
                </w14:textFill>
              </w:rPr>
              <w:t>月</w:t>
            </w:r>
            <w:r>
              <w:rPr>
                <w:rStyle w:val="63"/>
                <w:rFonts w:hint="eastAsia"/>
                <w:b/>
                <w:color w:val="000000" w:themeColor="text1"/>
                <w14:textFill>
                  <w14:solidFill>
                    <w14:schemeClr w14:val="tx1"/>
                  </w14:solidFill>
                </w14:textFill>
              </w:rPr>
              <w:t>21</w:t>
            </w:r>
            <w:r>
              <w:rPr>
                <w:rStyle w:val="63"/>
                <w:b/>
                <w:color w:val="000000" w:themeColor="text1"/>
                <w14:textFill>
                  <w14:solidFill>
                    <w14:schemeClr w14:val="tx1"/>
                  </w14:solidFill>
                </w14:textFill>
              </w:rPr>
              <w:t>日</w:t>
            </w:r>
          </w:p>
        </w:tc>
        <w:tc>
          <w:tcPr>
            <w:tcW w:w="2386" w:type="dxa"/>
            <w:gridSpan w:val="3"/>
            <w:vAlign w:val="center"/>
          </w:tcPr>
          <w:p>
            <w:pPr>
              <w:pStyle w:val="151"/>
              <w:rPr>
                <w:rStyle w:val="63"/>
                <w:b/>
                <w:color w:val="000000" w:themeColor="text1"/>
                <w14:textFill>
                  <w14:solidFill>
                    <w14:schemeClr w14:val="tx1"/>
                  </w14:solidFill>
                </w14:textFill>
              </w:rPr>
            </w:pPr>
            <w:r>
              <w:rPr>
                <w:rStyle w:val="63"/>
                <w:rFonts w:hint="eastAsia"/>
                <w:b/>
                <w:color w:val="000000" w:themeColor="text1"/>
                <w14:textFill>
                  <w14:solidFill>
                    <w14:schemeClr w14:val="tx1"/>
                  </w14:solidFill>
                </w14:textFill>
              </w:rPr>
              <w:t>01</w:t>
            </w:r>
            <w:r>
              <w:rPr>
                <w:rStyle w:val="63"/>
                <w:b/>
                <w:color w:val="000000" w:themeColor="text1"/>
                <w14:textFill>
                  <w14:solidFill>
                    <w14:schemeClr w14:val="tx1"/>
                  </w14:solidFill>
                </w14:textFill>
              </w:rPr>
              <w:t>月</w:t>
            </w:r>
            <w:r>
              <w:rPr>
                <w:rStyle w:val="63"/>
                <w:rFonts w:hint="eastAsia"/>
                <w:b/>
                <w:color w:val="000000" w:themeColor="text1"/>
                <w14:textFill>
                  <w14:solidFill>
                    <w14:schemeClr w14:val="tx1"/>
                  </w14:solidFill>
                </w14:textFill>
              </w:rPr>
              <w:t>22</w:t>
            </w:r>
            <w:r>
              <w:rPr>
                <w:rStyle w:val="63"/>
                <w:b/>
                <w:color w:val="000000" w:themeColor="text1"/>
                <w14:textFill>
                  <w14:solidFill>
                    <w14:schemeClr w14:val="tx1"/>
                  </w14:solidFill>
                </w14:textFill>
              </w:rPr>
              <w:t>日</w:t>
            </w:r>
          </w:p>
        </w:tc>
        <w:tc>
          <w:tcPr>
            <w:tcW w:w="786" w:type="dxa"/>
            <w:vMerge w:val="continue"/>
            <w:vAlign w:val="center"/>
          </w:tcPr>
          <w:p>
            <w:pPr>
              <w:pStyle w:val="151"/>
              <w:rPr>
                <w:rStyle w:val="63"/>
                <w:b/>
                <w:color w:val="000000" w:themeColor="text1"/>
                <w14:textFill>
                  <w14:solidFill>
                    <w14:schemeClr w14:val="tx1"/>
                  </w14:solidFill>
                </w14:textFill>
              </w:rPr>
            </w:pPr>
          </w:p>
        </w:tc>
        <w:tc>
          <w:tcPr>
            <w:tcW w:w="786" w:type="dxa"/>
            <w:vMerge w:val="continue"/>
            <w:vAlign w:val="center"/>
          </w:tcPr>
          <w:p>
            <w:pPr>
              <w:pStyle w:val="151"/>
              <w:rPr>
                <w:rStyle w:val="63"/>
                <w:b/>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blHeader/>
          <w:jc w:val="center"/>
        </w:trPr>
        <w:tc>
          <w:tcPr>
            <w:tcW w:w="1494" w:type="dxa"/>
            <w:vMerge w:val="continue"/>
            <w:vAlign w:val="center"/>
          </w:tcPr>
          <w:p>
            <w:pPr>
              <w:pStyle w:val="151"/>
              <w:rPr>
                <w:rStyle w:val="63"/>
                <w:b/>
                <w:color w:val="000000" w:themeColor="text1"/>
                <w14:textFill>
                  <w14:solidFill>
                    <w14:schemeClr w14:val="tx1"/>
                  </w14:solidFill>
                </w14:textFill>
              </w:rPr>
            </w:pPr>
          </w:p>
        </w:tc>
        <w:tc>
          <w:tcPr>
            <w:tcW w:w="1260" w:type="dxa"/>
            <w:vMerge w:val="continue"/>
            <w:vAlign w:val="center"/>
          </w:tcPr>
          <w:p>
            <w:pPr>
              <w:pStyle w:val="151"/>
              <w:rPr>
                <w:rStyle w:val="63"/>
                <w:b/>
                <w:color w:val="000000" w:themeColor="text1"/>
                <w14:textFill>
                  <w14:solidFill>
                    <w14:schemeClr w14:val="tx1"/>
                  </w14:solidFill>
                </w14:textFill>
              </w:rPr>
            </w:pPr>
          </w:p>
        </w:tc>
        <w:tc>
          <w:tcPr>
            <w:tcW w:w="810" w:type="dxa"/>
            <w:vAlign w:val="center"/>
          </w:tcPr>
          <w:p>
            <w:pPr>
              <w:pStyle w:val="151"/>
              <w:rPr>
                <w:rStyle w:val="63"/>
                <w:b/>
                <w:color w:val="000000" w:themeColor="text1"/>
                <w14:textFill>
                  <w14:solidFill>
                    <w14:schemeClr w14:val="tx1"/>
                  </w14:solidFill>
                </w14:textFill>
              </w:rPr>
            </w:pPr>
            <w:r>
              <w:rPr>
                <w:rStyle w:val="63"/>
                <w:b/>
                <w:color w:val="000000" w:themeColor="text1"/>
                <w14:textFill>
                  <w14:solidFill>
                    <w14:schemeClr w14:val="tx1"/>
                  </w14:solidFill>
                </w14:textFill>
              </w:rPr>
              <w:t>第</w:t>
            </w:r>
            <w:r>
              <w:rPr>
                <w:rStyle w:val="63"/>
                <w:rFonts w:hint="eastAsia"/>
                <w:b/>
                <w:color w:val="000000" w:themeColor="text1"/>
                <w14:textFill>
                  <w14:solidFill>
                    <w14:schemeClr w14:val="tx1"/>
                  </w14:solidFill>
                </w14:textFill>
              </w:rPr>
              <w:t>1</w:t>
            </w:r>
            <w:r>
              <w:rPr>
                <w:rStyle w:val="63"/>
                <w:b/>
                <w:color w:val="000000" w:themeColor="text1"/>
                <w14:textFill>
                  <w14:solidFill>
                    <w14:schemeClr w14:val="tx1"/>
                  </w14:solidFill>
                </w14:textFill>
              </w:rPr>
              <w:t>次</w:t>
            </w:r>
          </w:p>
        </w:tc>
        <w:tc>
          <w:tcPr>
            <w:tcW w:w="795" w:type="dxa"/>
            <w:vAlign w:val="center"/>
          </w:tcPr>
          <w:p>
            <w:pPr>
              <w:pStyle w:val="151"/>
              <w:rPr>
                <w:rStyle w:val="63"/>
                <w:b/>
                <w:color w:val="000000" w:themeColor="text1"/>
                <w14:textFill>
                  <w14:solidFill>
                    <w14:schemeClr w14:val="tx1"/>
                  </w14:solidFill>
                </w14:textFill>
              </w:rPr>
            </w:pPr>
            <w:r>
              <w:rPr>
                <w:rStyle w:val="63"/>
                <w:b/>
                <w:color w:val="000000" w:themeColor="text1"/>
                <w14:textFill>
                  <w14:solidFill>
                    <w14:schemeClr w14:val="tx1"/>
                  </w14:solidFill>
                </w14:textFill>
              </w:rPr>
              <w:t>第</w:t>
            </w:r>
            <w:r>
              <w:rPr>
                <w:rStyle w:val="63"/>
                <w:rFonts w:hint="eastAsia"/>
                <w:b/>
                <w:color w:val="000000" w:themeColor="text1"/>
                <w14:textFill>
                  <w14:solidFill>
                    <w14:schemeClr w14:val="tx1"/>
                  </w14:solidFill>
                </w14:textFill>
              </w:rPr>
              <w:t>2</w:t>
            </w:r>
            <w:r>
              <w:rPr>
                <w:rStyle w:val="63"/>
                <w:b/>
                <w:color w:val="000000" w:themeColor="text1"/>
                <w14:textFill>
                  <w14:solidFill>
                    <w14:schemeClr w14:val="tx1"/>
                  </w14:solidFill>
                </w14:textFill>
              </w:rPr>
              <w:t>次</w:t>
            </w:r>
          </w:p>
        </w:tc>
        <w:tc>
          <w:tcPr>
            <w:tcW w:w="800" w:type="dxa"/>
            <w:vAlign w:val="center"/>
          </w:tcPr>
          <w:p>
            <w:pPr>
              <w:pStyle w:val="151"/>
              <w:rPr>
                <w:rStyle w:val="63"/>
                <w:b/>
                <w:color w:val="000000" w:themeColor="text1"/>
                <w14:textFill>
                  <w14:solidFill>
                    <w14:schemeClr w14:val="tx1"/>
                  </w14:solidFill>
                </w14:textFill>
              </w:rPr>
            </w:pPr>
            <w:r>
              <w:rPr>
                <w:rStyle w:val="63"/>
                <w:b/>
                <w:color w:val="000000" w:themeColor="text1"/>
                <w14:textFill>
                  <w14:solidFill>
                    <w14:schemeClr w14:val="tx1"/>
                  </w14:solidFill>
                </w14:textFill>
              </w:rPr>
              <w:t>第</w:t>
            </w:r>
            <w:r>
              <w:rPr>
                <w:rStyle w:val="63"/>
                <w:rFonts w:hint="eastAsia"/>
                <w:b/>
                <w:color w:val="000000" w:themeColor="text1"/>
                <w14:textFill>
                  <w14:solidFill>
                    <w14:schemeClr w14:val="tx1"/>
                  </w14:solidFill>
                </w14:textFill>
              </w:rPr>
              <w:t>3</w:t>
            </w:r>
            <w:r>
              <w:rPr>
                <w:rStyle w:val="63"/>
                <w:b/>
                <w:color w:val="000000" w:themeColor="text1"/>
                <w14:textFill>
                  <w14:solidFill>
                    <w14:schemeClr w14:val="tx1"/>
                  </w14:solidFill>
                </w14:textFill>
              </w:rPr>
              <w:t>次</w:t>
            </w:r>
          </w:p>
        </w:tc>
        <w:tc>
          <w:tcPr>
            <w:tcW w:w="799" w:type="dxa"/>
            <w:vAlign w:val="center"/>
          </w:tcPr>
          <w:p>
            <w:pPr>
              <w:pStyle w:val="151"/>
              <w:rPr>
                <w:rStyle w:val="63"/>
                <w:b/>
                <w:color w:val="000000" w:themeColor="text1"/>
                <w14:textFill>
                  <w14:solidFill>
                    <w14:schemeClr w14:val="tx1"/>
                  </w14:solidFill>
                </w14:textFill>
              </w:rPr>
            </w:pPr>
            <w:r>
              <w:rPr>
                <w:rStyle w:val="63"/>
                <w:b/>
                <w:color w:val="000000" w:themeColor="text1"/>
                <w14:textFill>
                  <w14:solidFill>
                    <w14:schemeClr w14:val="tx1"/>
                  </w14:solidFill>
                </w14:textFill>
              </w:rPr>
              <w:t>第</w:t>
            </w:r>
            <w:r>
              <w:rPr>
                <w:rStyle w:val="63"/>
                <w:rFonts w:hint="eastAsia"/>
                <w:b/>
                <w:color w:val="000000" w:themeColor="text1"/>
                <w14:textFill>
                  <w14:solidFill>
                    <w14:schemeClr w14:val="tx1"/>
                  </w14:solidFill>
                </w14:textFill>
              </w:rPr>
              <w:t>1</w:t>
            </w:r>
            <w:r>
              <w:rPr>
                <w:rStyle w:val="63"/>
                <w:b/>
                <w:color w:val="000000" w:themeColor="text1"/>
                <w14:textFill>
                  <w14:solidFill>
                    <w14:schemeClr w14:val="tx1"/>
                  </w14:solidFill>
                </w14:textFill>
              </w:rPr>
              <w:t>次</w:t>
            </w:r>
          </w:p>
        </w:tc>
        <w:tc>
          <w:tcPr>
            <w:tcW w:w="799" w:type="dxa"/>
            <w:vAlign w:val="center"/>
          </w:tcPr>
          <w:p>
            <w:pPr>
              <w:pStyle w:val="151"/>
              <w:rPr>
                <w:rStyle w:val="63"/>
                <w:b/>
                <w:color w:val="000000" w:themeColor="text1"/>
                <w14:textFill>
                  <w14:solidFill>
                    <w14:schemeClr w14:val="tx1"/>
                  </w14:solidFill>
                </w14:textFill>
              </w:rPr>
            </w:pPr>
            <w:r>
              <w:rPr>
                <w:rStyle w:val="63"/>
                <w:b/>
                <w:color w:val="000000" w:themeColor="text1"/>
                <w14:textFill>
                  <w14:solidFill>
                    <w14:schemeClr w14:val="tx1"/>
                  </w14:solidFill>
                </w14:textFill>
              </w:rPr>
              <w:t>第</w:t>
            </w:r>
            <w:r>
              <w:rPr>
                <w:rStyle w:val="63"/>
                <w:rFonts w:hint="eastAsia"/>
                <w:b/>
                <w:color w:val="000000" w:themeColor="text1"/>
                <w14:textFill>
                  <w14:solidFill>
                    <w14:schemeClr w14:val="tx1"/>
                  </w14:solidFill>
                </w14:textFill>
              </w:rPr>
              <w:t>2</w:t>
            </w:r>
            <w:r>
              <w:rPr>
                <w:rStyle w:val="63"/>
                <w:b/>
                <w:color w:val="000000" w:themeColor="text1"/>
                <w14:textFill>
                  <w14:solidFill>
                    <w14:schemeClr w14:val="tx1"/>
                  </w14:solidFill>
                </w14:textFill>
              </w:rPr>
              <w:t>次</w:t>
            </w:r>
          </w:p>
        </w:tc>
        <w:tc>
          <w:tcPr>
            <w:tcW w:w="788" w:type="dxa"/>
            <w:vAlign w:val="center"/>
          </w:tcPr>
          <w:p>
            <w:pPr>
              <w:pStyle w:val="151"/>
              <w:rPr>
                <w:rStyle w:val="63"/>
                <w:b/>
                <w:color w:val="000000" w:themeColor="text1"/>
                <w14:textFill>
                  <w14:solidFill>
                    <w14:schemeClr w14:val="tx1"/>
                  </w14:solidFill>
                </w14:textFill>
              </w:rPr>
            </w:pPr>
            <w:r>
              <w:rPr>
                <w:rStyle w:val="63"/>
                <w:b/>
                <w:color w:val="000000" w:themeColor="text1"/>
                <w14:textFill>
                  <w14:solidFill>
                    <w14:schemeClr w14:val="tx1"/>
                  </w14:solidFill>
                </w14:textFill>
              </w:rPr>
              <w:t>第</w:t>
            </w:r>
            <w:r>
              <w:rPr>
                <w:rStyle w:val="63"/>
                <w:rFonts w:hint="eastAsia"/>
                <w:b/>
                <w:color w:val="000000" w:themeColor="text1"/>
                <w14:textFill>
                  <w14:solidFill>
                    <w14:schemeClr w14:val="tx1"/>
                  </w14:solidFill>
                </w14:textFill>
              </w:rPr>
              <w:t>3</w:t>
            </w:r>
            <w:r>
              <w:rPr>
                <w:rStyle w:val="63"/>
                <w:b/>
                <w:color w:val="000000" w:themeColor="text1"/>
                <w14:textFill>
                  <w14:solidFill>
                    <w14:schemeClr w14:val="tx1"/>
                  </w14:solidFill>
                </w14:textFill>
              </w:rPr>
              <w:t>次</w:t>
            </w:r>
          </w:p>
        </w:tc>
        <w:tc>
          <w:tcPr>
            <w:tcW w:w="786" w:type="dxa"/>
            <w:vMerge w:val="continue"/>
            <w:vAlign w:val="center"/>
          </w:tcPr>
          <w:p>
            <w:pPr>
              <w:pStyle w:val="151"/>
              <w:rPr>
                <w:rStyle w:val="63"/>
                <w:b/>
                <w:color w:val="000000" w:themeColor="text1"/>
                <w14:textFill>
                  <w14:solidFill>
                    <w14:schemeClr w14:val="tx1"/>
                  </w14:solidFill>
                </w14:textFill>
              </w:rPr>
            </w:pPr>
          </w:p>
        </w:tc>
        <w:tc>
          <w:tcPr>
            <w:tcW w:w="786" w:type="dxa"/>
            <w:vMerge w:val="continue"/>
            <w:vAlign w:val="center"/>
          </w:tcPr>
          <w:p>
            <w:pPr>
              <w:pStyle w:val="151"/>
              <w:rPr>
                <w:rStyle w:val="63"/>
                <w:b/>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Merge w:val="restart"/>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上风向参照点〇1#</w:t>
            </w:r>
          </w:p>
        </w:tc>
        <w:tc>
          <w:tcPr>
            <w:tcW w:w="126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81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0.41</w:t>
            </w:r>
          </w:p>
        </w:tc>
        <w:tc>
          <w:tcPr>
            <w:tcW w:w="795"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0.40</w:t>
            </w:r>
          </w:p>
        </w:tc>
        <w:tc>
          <w:tcPr>
            <w:tcW w:w="80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0.40</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0.41</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0.42</w:t>
            </w:r>
          </w:p>
        </w:tc>
        <w:tc>
          <w:tcPr>
            <w:tcW w:w="788"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0.41</w:t>
            </w:r>
          </w:p>
        </w:tc>
        <w:tc>
          <w:tcPr>
            <w:tcW w:w="78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4.0 </w:t>
            </w:r>
          </w:p>
        </w:tc>
        <w:tc>
          <w:tcPr>
            <w:tcW w:w="78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Merge w:val="continue"/>
            <w:vAlign w:val="center"/>
          </w:tcPr>
          <w:p>
            <w:pPr>
              <w:pStyle w:val="151"/>
              <w:rPr>
                <w:rStyle w:val="63"/>
                <w:color w:val="000000" w:themeColor="text1"/>
                <w14:textFill>
                  <w14:solidFill>
                    <w14:schemeClr w14:val="tx1"/>
                  </w14:solidFill>
                </w14:textFill>
              </w:rPr>
            </w:pPr>
          </w:p>
        </w:tc>
        <w:tc>
          <w:tcPr>
            <w:tcW w:w="126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81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ND</w:t>
            </w:r>
          </w:p>
        </w:tc>
        <w:tc>
          <w:tcPr>
            <w:tcW w:w="795"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ND</w:t>
            </w:r>
          </w:p>
        </w:tc>
        <w:tc>
          <w:tcPr>
            <w:tcW w:w="80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ND</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ND</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ND</w:t>
            </w:r>
          </w:p>
        </w:tc>
        <w:tc>
          <w:tcPr>
            <w:tcW w:w="788"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ND</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0.06</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Merge w:val="continue"/>
            <w:vAlign w:val="center"/>
          </w:tcPr>
          <w:p>
            <w:pPr>
              <w:pStyle w:val="151"/>
              <w:rPr>
                <w:rStyle w:val="63"/>
                <w:color w:val="000000" w:themeColor="text1"/>
                <w14:textFill>
                  <w14:solidFill>
                    <w14:schemeClr w14:val="tx1"/>
                  </w14:solidFill>
                </w14:textFill>
              </w:rPr>
            </w:pPr>
          </w:p>
        </w:tc>
        <w:tc>
          <w:tcPr>
            <w:tcW w:w="126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臭气浓度</w:t>
            </w:r>
          </w:p>
        </w:tc>
        <w:tc>
          <w:tcPr>
            <w:tcW w:w="810" w:type="dxa"/>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r>
              <w:rPr>
                <w:rStyle w:val="63"/>
                <w:rFonts w:hint="eastAsia"/>
                <w:color w:val="000000" w:themeColor="text1"/>
                <w14:textFill>
                  <w14:solidFill>
                    <w14:schemeClr w14:val="tx1"/>
                  </w14:solidFill>
                </w14:textFill>
              </w:rPr>
              <w:t>10</w:t>
            </w:r>
          </w:p>
        </w:tc>
        <w:tc>
          <w:tcPr>
            <w:tcW w:w="795" w:type="dxa"/>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r>
              <w:rPr>
                <w:rStyle w:val="63"/>
                <w:rFonts w:hint="eastAsia"/>
                <w:color w:val="000000" w:themeColor="text1"/>
                <w14:textFill>
                  <w14:solidFill>
                    <w14:schemeClr w14:val="tx1"/>
                  </w14:solidFill>
                </w14:textFill>
              </w:rPr>
              <w:t>10</w:t>
            </w:r>
          </w:p>
        </w:tc>
        <w:tc>
          <w:tcPr>
            <w:tcW w:w="800" w:type="dxa"/>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r>
              <w:rPr>
                <w:rStyle w:val="63"/>
                <w:rFonts w:hint="eastAsia"/>
                <w:color w:val="000000" w:themeColor="text1"/>
                <w14:textFill>
                  <w14:solidFill>
                    <w14:schemeClr w14:val="tx1"/>
                  </w14:solidFill>
                </w14:textFill>
              </w:rPr>
              <w:t>10</w:t>
            </w:r>
          </w:p>
        </w:tc>
        <w:tc>
          <w:tcPr>
            <w:tcW w:w="799" w:type="dxa"/>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r>
              <w:rPr>
                <w:rStyle w:val="63"/>
                <w:rFonts w:hint="eastAsia"/>
                <w:color w:val="000000" w:themeColor="text1"/>
                <w14:textFill>
                  <w14:solidFill>
                    <w14:schemeClr w14:val="tx1"/>
                  </w14:solidFill>
                </w14:textFill>
              </w:rPr>
              <w:t>10</w:t>
            </w:r>
          </w:p>
        </w:tc>
        <w:tc>
          <w:tcPr>
            <w:tcW w:w="799" w:type="dxa"/>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r>
              <w:rPr>
                <w:rStyle w:val="63"/>
                <w:rFonts w:hint="eastAsia"/>
                <w:color w:val="000000" w:themeColor="text1"/>
                <w14:textFill>
                  <w14:solidFill>
                    <w14:schemeClr w14:val="tx1"/>
                  </w14:solidFill>
                </w14:textFill>
              </w:rPr>
              <w:t>10</w:t>
            </w:r>
          </w:p>
        </w:tc>
        <w:tc>
          <w:tcPr>
            <w:tcW w:w="788" w:type="dxa"/>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r>
              <w:rPr>
                <w:rStyle w:val="63"/>
                <w:rFonts w:hint="eastAsia"/>
                <w:color w:val="000000" w:themeColor="text1"/>
                <w14:textFill>
                  <w14:solidFill>
                    <w14:schemeClr w14:val="tx1"/>
                  </w14:solidFill>
                </w14:textFill>
              </w:rPr>
              <w:t>10</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20</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Merge w:val="continue"/>
            <w:vAlign w:val="center"/>
          </w:tcPr>
          <w:p>
            <w:pPr>
              <w:pStyle w:val="151"/>
              <w:rPr>
                <w:rStyle w:val="63"/>
                <w:color w:val="000000" w:themeColor="text1"/>
                <w14:textFill>
                  <w14:solidFill>
                    <w14:schemeClr w14:val="tx1"/>
                  </w14:solidFill>
                </w14:textFill>
              </w:rPr>
            </w:pPr>
          </w:p>
        </w:tc>
        <w:tc>
          <w:tcPr>
            <w:tcW w:w="126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81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0.132</w:t>
            </w:r>
          </w:p>
        </w:tc>
        <w:tc>
          <w:tcPr>
            <w:tcW w:w="795"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0.163</w:t>
            </w:r>
          </w:p>
        </w:tc>
        <w:tc>
          <w:tcPr>
            <w:tcW w:w="80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0.170</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0.162</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0.175</w:t>
            </w:r>
          </w:p>
        </w:tc>
        <w:tc>
          <w:tcPr>
            <w:tcW w:w="788"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0.168</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1.0 </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Merge w:val="restart"/>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下风向监控点〇2#</w:t>
            </w:r>
          </w:p>
        </w:tc>
        <w:tc>
          <w:tcPr>
            <w:tcW w:w="126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81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0.72</w:t>
            </w:r>
          </w:p>
        </w:tc>
        <w:tc>
          <w:tcPr>
            <w:tcW w:w="795"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0.63</w:t>
            </w:r>
          </w:p>
        </w:tc>
        <w:tc>
          <w:tcPr>
            <w:tcW w:w="80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0.67</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0.67</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0.65</w:t>
            </w:r>
          </w:p>
        </w:tc>
        <w:tc>
          <w:tcPr>
            <w:tcW w:w="788"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0.64</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4.0 </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Merge w:val="continue"/>
            <w:vAlign w:val="center"/>
          </w:tcPr>
          <w:p>
            <w:pPr>
              <w:pStyle w:val="151"/>
              <w:rPr>
                <w:rStyle w:val="63"/>
                <w:color w:val="000000" w:themeColor="text1"/>
                <w14:textFill>
                  <w14:solidFill>
                    <w14:schemeClr w14:val="tx1"/>
                  </w14:solidFill>
                </w14:textFill>
              </w:rPr>
            </w:pPr>
          </w:p>
        </w:tc>
        <w:tc>
          <w:tcPr>
            <w:tcW w:w="126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81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0.002</w:t>
            </w:r>
          </w:p>
        </w:tc>
        <w:tc>
          <w:tcPr>
            <w:tcW w:w="795"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0.002</w:t>
            </w:r>
          </w:p>
        </w:tc>
        <w:tc>
          <w:tcPr>
            <w:tcW w:w="80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0.004</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w:t>
            </w:r>
          </w:p>
        </w:tc>
        <w:tc>
          <w:tcPr>
            <w:tcW w:w="788"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0.002</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0.06</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Merge w:val="continue"/>
            <w:vAlign w:val="center"/>
          </w:tcPr>
          <w:p>
            <w:pPr>
              <w:pStyle w:val="151"/>
              <w:rPr>
                <w:rStyle w:val="63"/>
                <w:color w:val="000000" w:themeColor="text1"/>
                <w14:textFill>
                  <w14:solidFill>
                    <w14:schemeClr w14:val="tx1"/>
                  </w14:solidFill>
                </w14:textFill>
              </w:rPr>
            </w:pPr>
          </w:p>
        </w:tc>
        <w:tc>
          <w:tcPr>
            <w:tcW w:w="126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臭气浓度</w:t>
            </w:r>
          </w:p>
        </w:tc>
        <w:tc>
          <w:tcPr>
            <w:tcW w:w="81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13</w:t>
            </w:r>
          </w:p>
        </w:tc>
        <w:tc>
          <w:tcPr>
            <w:tcW w:w="795"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16</w:t>
            </w:r>
          </w:p>
        </w:tc>
        <w:tc>
          <w:tcPr>
            <w:tcW w:w="80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14</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15</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13</w:t>
            </w:r>
          </w:p>
        </w:tc>
        <w:tc>
          <w:tcPr>
            <w:tcW w:w="788"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17</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20</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Merge w:val="continue"/>
            <w:vAlign w:val="center"/>
          </w:tcPr>
          <w:p>
            <w:pPr>
              <w:pStyle w:val="151"/>
              <w:rPr>
                <w:rStyle w:val="63"/>
                <w:color w:val="000000" w:themeColor="text1"/>
                <w14:textFill>
                  <w14:solidFill>
                    <w14:schemeClr w14:val="tx1"/>
                  </w14:solidFill>
                </w14:textFill>
              </w:rPr>
            </w:pPr>
          </w:p>
        </w:tc>
        <w:tc>
          <w:tcPr>
            <w:tcW w:w="126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81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0.293</w:t>
            </w:r>
          </w:p>
        </w:tc>
        <w:tc>
          <w:tcPr>
            <w:tcW w:w="795"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0.268</w:t>
            </w:r>
          </w:p>
        </w:tc>
        <w:tc>
          <w:tcPr>
            <w:tcW w:w="80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0.312</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0.318</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0.291</w:t>
            </w:r>
          </w:p>
        </w:tc>
        <w:tc>
          <w:tcPr>
            <w:tcW w:w="788"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0.305</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1.0 </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Merge w:val="restart"/>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下风向监控点〇3#</w:t>
            </w:r>
          </w:p>
        </w:tc>
        <w:tc>
          <w:tcPr>
            <w:tcW w:w="126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81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0.64</w:t>
            </w:r>
          </w:p>
        </w:tc>
        <w:tc>
          <w:tcPr>
            <w:tcW w:w="795"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0.65</w:t>
            </w:r>
          </w:p>
        </w:tc>
        <w:tc>
          <w:tcPr>
            <w:tcW w:w="80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0.67</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0.55</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0.55</w:t>
            </w:r>
          </w:p>
        </w:tc>
        <w:tc>
          <w:tcPr>
            <w:tcW w:w="788"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0.59</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4.0 </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Merge w:val="continue"/>
            <w:vAlign w:val="center"/>
          </w:tcPr>
          <w:p>
            <w:pPr>
              <w:pStyle w:val="151"/>
              <w:rPr>
                <w:rStyle w:val="63"/>
                <w:color w:val="000000" w:themeColor="text1"/>
                <w14:textFill>
                  <w14:solidFill>
                    <w14:schemeClr w14:val="tx1"/>
                  </w14:solidFill>
                </w14:textFill>
              </w:rPr>
            </w:pPr>
          </w:p>
        </w:tc>
        <w:tc>
          <w:tcPr>
            <w:tcW w:w="126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81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0.004</w:t>
            </w:r>
          </w:p>
        </w:tc>
        <w:tc>
          <w:tcPr>
            <w:tcW w:w="795"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0.002</w:t>
            </w:r>
          </w:p>
        </w:tc>
        <w:tc>
          <w:tcPr>
            <w:tcW w:w="80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0.002</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0.004</w:t>
            </w:r>
          </w:p>
        </w:tc>
        <w:tc>
          <w:tcPr>
            <w:tcW w:w="788"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0.003</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0.06</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Merge w:val="continue"/>
            <w:vAlign w:val="center"/>
          </w:tcPr>
          <w:p>
            <w:pPr>
              <w:pStyle w:val="151"/>
              <w:rPr>
                <w:rStyle w:val="63"/>
                <w:color w:val="000000" w:themeColor="text1"/>
                <w14:textFill>
                  <w14:solidFill>
                    <w14:schemeClr w14:val="tx1"/>
                  </w14:solidFill>
                </w14:textFill>
              </w:rPr>
            </w:pPr>
          </w:p>
        </w:tc>
        <w:tc>
          <w:tcPr>
            <w:tcW w:w="126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臭气浓度</w:t>
            </w:r>
          </w:p>
        </w:tc>
        <w:tc>
          <w:tcPr>
            <w:tcW w:w="81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16</w:t>
            </w:r>
          </w:p>
        </w:tc>
        <w:tc>
          <w:tcPr>
            <w:tcW w:w="795"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11</w:t>
            </w:r>
          </w:p>
        </w:tc>
        <w:tc>
          <w:tcPr>
            <w:tcW w:w="80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12</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18</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13</w:t>
            </w:r>
          </w:p>
        </w:tc>
        <w:tc>
          <w:tcPr>
            <w:tcW w:w="788"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14</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20</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Merge w:val="continue"/>
            <w:vAlign w:val="center"/>
          </w:tcPr>
          <w:p>
            <w:pPr>
              <w:pStyle w:val="151"/>
              <w:rPr>
                <w:rStyle w:val="63"/>
                <w:color w:val="000000" w:themeColor="text1"/>
                <w14:textFill>
                  <w14:solidFill>
                    <w14:schemeClr w14:val="tx1"/>
                  </w14:solidFill>
                </w14:textFill>
              </w:rPr>
            </w:pPr>
          </w:p>
        </w:tc>
        <w:tc>
          <w:tcPr>
            <w:tcW w:w="126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81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0.247</w:t>
            </w:r>
          </w:p>
        </w:tc>
        <w:tc>
          <w:tcPr>
            <w:tcW w:w="795"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0.275</w:t>
            </w:r>
          </w:p>
        </w:tc>
        <w:tc>
          <w:tcPr>
            <w:tcW w:w="80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0.270</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0.300</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0.272</w:t>
            </w:r>
          </w:p>
        </w:tc>
        <w:tc>
          <w:tcPr>
            <w:tcW w:w="788"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0.275</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1.0 </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Merge w:val="restart"/>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下风向监控点〇4#</w:t>
            </w:r>
          </w:p>
        </w:tc>
        <w:tc>
          <w:tcPr>
            <w:tcW w:w="126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81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0.70</w:t>
            </w:r>
          </w:p>
        </w:tc>
        <w:tc>
          <w:tcPr>
            <w:tcW w:w="795"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0.53</w:t>
            </w:r>
          </w:p>
        </w:tc>
        <w:tc>
          <w:tcPr>
            <w:tcW w:w="80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0.54</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0.67</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0.57</w:t>
            </w:r>
          </w:p>
        </w:tc>
        <w:tc>
          <w:tcPr>
            <w:tcW w:w="788"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0.60</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4.0 </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Merge w:val="continue"/>
            <w:vAlign w:val="center"/>
          </w:tcPr>
          <w:p>
            <w:pPr>
              <w:pStyle w:val="151"/>
              <w:rPr>
                <w:rStyle w:val="63"/>
                <w:color w:val="000000" w:themeColor="text1"/>
                <w14:textFill>
                  <w14:solidFill>
                    <w14:schemeClr w14:val="tx1"/>
                  </w14:solidFill>
                </w14:textFill>
              </w:rPr>
            </w:pPr>
          </w:p>
        </w:tc>
        <w:tc>
          <w:tcPr>
            <w:tcW w:w="126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81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0.003</w:t>
            </w:r>
          </w:p>
        </w:tc>
        <w:tc>
          <w:tcPr>
            <w:tcW w:w="795"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0.005</w:t>
            </w:r>
          </w:p>
        </w:tc>
        <w:tc>
          <w:tcPr>
            <w:tcW w:w="80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0.006</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0.001</w:t>
            </w:r>
          </w:p>
        </w:tc>
        <w:tc>
          <w:tcPr>
            <w:tcW w:w="788"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0.003</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0.06</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Merge w:val="continue"/>
            <w:vAlign w:val="center"/>
          </w:tcPr>
          <w:p>
            <w:pPr>
              <w:pStyle w:val="151"/>
              <w:rPr>
                <w:rStyle w:val="63"/>
                <w:color w:val="000000" w:themeColor="text1"/>
                <w14:textFill>
                  <w14:solidFill>
                    <w14:schemeClr w14:val="tx1"/>
                  </w14:solidFill>
                </w14:textFill>
              </w:rPr>
            </w:pPr>
          </w:p>
        </w:tc>
        <w:tc>
          <w:tcPr>
            <w:tcW w:w="126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臭气浓度</w:t>
            </w:r>
          </w:p>
        </w:tc>
        <w:tc>
          <w:tcPr>
            <w:tcW w:w="81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15</w:t>
            </w:r>
          </w:p>
        </w:tc>
        <w:tc>
          <w:tcPr>
            <w:tcW w:w="795"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12</w:t>
            </w:r>
          </w:p>
        </w:tc>
        <w:tc>
          <w:tcPr>
            <w:tcW w:w="80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13</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12</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17</w:t>
            </w:r>
          </w:p>
        </w:tc>
        <w:tc>
          <w:tcPr>
            <w:tcW w:w="788"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14</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20</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Merge w:val="continue"/>
            <w:vAlign w:val="center"/>
          </w:tcPr>
          <w:p>
            <w:pPr>
              <w:pStyle w:val="151"/>
              <w:rPr>
                <w:rStyle w:val="63"/>
                <w:color w:val="000000" w:themeColor="text1"/>
                <w14:textFill>
                  <w14:solidFill>
                    <w14:schemeClr w14:val="tx1"/>
                  </w14:solidFill>
                </w14:textFill>
              </w:rPr>
            </w:pPr>
          </w:p>
        </w:tc>
        <w:tc>
          <w:tcPr>
            <w:tcW w:w="126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81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0.255</w:t>
            </w:r>
          </w:p>
        </w:tc>
        <w:tc>
          <w:tcPr>
            <w:tcW w:w="795"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0.268</w:t>
            </w:r>
          </w:p>
        </w:tc>
        <w:tc>
          <w:tcPr>
            <w:tcW w:w="800"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0.248</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0.313</w:t>
            </w:r>
          </w:p>
        </w:tc>
        <w:tc>
          <w:tcPr>
            <w:tcW w:w="79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0.302</w:t>
            </w:r>
          </w:p>
        </w:tc>
        <w:tc>
          <w:tcPr>
            <w:tcW w:w="788"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0.290</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1.0 </w:t>
            </w:r>
          </w:p>
        </w:tc>
        <w:tc>
          <w:tcPr>
            <w:tcW w:w="786" w:type="dxa"/>
            <w:tcBorders>
              <w:top w:val="nil"/>
              <w:left w:val="single" w:color="auto" w:sz="4" w:space="0"/>
              <w:bottom w:val="single" w:color="auto" w:sz="4" w:space="0"/>
              <w:right w:val="single" w:color="auto" w:sz="4" w:space="0"/>
            </w:tcBorders>
            <w:shd w:val="clear" w:color="auto" w:fill="auto"/>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494" w:type="dxa"/>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备注</w:t>
            </w:r>
          </w:p>
        </w:tc>
        <w:tc>
          <w:tcPr>
            <w:tcW w:w="7623" w:type="dxa"/>
            <w:gridSpan w:val="9"/>
            <w:vAlign w:val="center"/>
          </w:tcPr>
          <w:p>
            <w:pPr>
              <w:pStyle w:val="151"/>
              <w:numPr>
                <w:ilvl w:val="0"/>
                <w:numId w:val="31"/>
              </w:numPr>
              <w:jc w:val="left"/>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“ND”表示检测结果低于方法检出限；</w:t>
            </w:r>
          </w:p>
          <w:p>
            <w:pPr>
              <w:pStyle w:val="151"/>
              <w:numPr>
                <w:ilvl w:val="0"/>
                <w:numId w:val="31"/>
              </w:numPr>
              <w:jc w:val="left"/>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检测布点图见</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REF _Ref536815382 \h</w:instrText>
            </w:r>
            <w:r>
              <w:rPr>
                <w:rStyle w:val="63"/>
                <w:color w:val="000000" w:themeColor="text1"/>
                <w14:textFill>
                  <w14:solidFill>
                    <w14:schemeClr w14:val="tx1"/>
                  </w14:solidFill>
                </w14:textFill>
              </w:rPr>
              <w:instrText xml:space="preserve">  \* MERGEFORMAT </w:instrText>
            </w:r>
            <w:r>
              <w:rPr>
                <w:rStyle w:val="63"/>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图 </w:t>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1</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w:t>
            </w:r>
          </w:p>
        </w:tc>
      </w:tr>
    </w:tbl>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由上表可知，本项目NMHC、颗粒物无组织排放监控点浓度符合《橡胶制品工业污染物排放标准》（GB</w:t>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27632-2011）表6中新建企业厂界无组织排放限值（N</w:t>
      </w:r>
      <w:r>
        <w:rPr>
          <w:rStyle w:val="63"/>
          <w:color w:val="000000" w:themeColor="text1"/>
          <w14:textFill>
            <w14:solidFill>
              <w14:schemeClr w14:val="tx1"/>
            </w14:solidFill>
          </w14:textFill>
        </w:rPr>
        <w:t>MHC</w:t>
      </w:r>
      <w:r>
        <w:rPr>
          <w:rStyle w:val="63"/>
          <w:rFonts w:hint="eastAsia"/>
          <w:color w:val="000000" w:themeColor="text1"/>
          <w14:textFill>
            <w14:solidFill>
              <w14:schemeClr w14:val="tx1"/>
            </w14:solidFill>
          </w14:textFill>
        </w:rPr>
        <w:t>＜4</w:t>
      </w:r>
      <w:r>
        <w:rPr>
          <w:rStyle w:val="63"/>
          <w:color w:val="000000" w:themeColor="text1"/>
          <w14:textFill>
            <w14:solidFill>
              <w14:schemeClr w14:val="tx1"/>
            </w14:solidFill>
          </w14:textFill>
        </w:rPr>
        <w:t>.0mg/m</w:t>
      </w:r>
      <w:r>
        <w:rPr>
          <w:rStyle w:val="63"/>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，颗粒物＜1</w:t>
      </w:r>
      <w:r>
        <w:rPr>
          <w:rStyle w:val="63"/>
          <w:color w:val="000000" w:themeColor="text1"/>
          <w14:textFill>
            <w14:solidFill>
              <w14:schemeClr w14:val="tx1"/>
            </w14:solidFill>
          </w14:textFill>
        </w:rPr>
        <w:t>.0mg/m</w:t>
      </w:r>
      <w:r>
        <w:rPr>
          <w:rStyle w:val="63"/>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），H</w:t>
      </w:r>
      <w:r>
        <w:rPr>
          <w:rStyle w:val="63"/>
          <w:rFonts w:hint="eastAsia"/>
          <w:color w:val="000000" w:themeColor="text1"/>
          <w:vertAlign w:val="subscript"/>
          <w14:textFill>
            <w14:solidFill>
              <w14:schemeClr w14:val="tx1"/>
            </w14:solidFill>
          </w14:textFill>
        </w:rPr>
        <w:t>2</w:t>
      </w:r>
      <w:r>
        <w:rPr>
          <w:rStyle w:val="63"/>
          <w:rFonts w:hint="eastAsia"/>
          <w:color w:val="000000" w:themeColor="text1"/>
          <w14:textFill>
            <w14:solidFill>
              <w14:schemeClr w14:val="tx1"/>
            </w14:solidFill>
          </w14:textFill>
        </w:rPr>
        <w:t>S、臭气浓度厂界无组织排放符合《恶臭污染物排放标准》（GB14554-93）表1中新改扩建二级标准值（H</w:t>
      </w:r>
      <w:r>
        <w:rPr>
          <w:rStyle w:val="63"/>
          <w:rFonts w:hint="eastAsia"/>
          <w:color w:val="000000" w:themeColor="text1"/>
          <w:vertAlign w:val="subscript"/>
          <w14:textFill>
            <w14:solidFill>
              <w14:schemeClr w14:val="tx1"/>
            </w14:solidFill>
          </w14:textFill>
        </w:rPr>
        <w:t>2</w:t>
      </w:r>
      <w:r>
        <w:rPr>
          <w:rStyle w:val="63"/>
          <w:rFonts w:hint="eastAsia"/>
          <w:color w:val="000000" w:themeColor="text1"/>
          <w14:textFill>
            <w14:solidFill>
              <w14:schemeClr w14:val="tx1"/>
            </w14:solidFill>
          </w14:textFill>
        </w:rPr>
        <w:t>S＜</w:t>
      </w:r>
      <w:r>
        <w:rPr>
          <w:rStyle w:val="63"/>
          <w:color w:val="000000" w:themeColor="text1"/>
          <w14:textFill>
            <w14:solidFill>
              <w14:schemeClr w14:val="tx1"/>
            </w14:solidFill>
          </w14:textFill>
        </w:rPr>
        <w:t>0.06 mg/m</w:t>
      </w:r>
      <w:r>
        <w:rPr>
          <w:rStyle w:val="63"/>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，臭气浓度＜20（无量纲））。</w:t>
      </w:r>
    </w:p>
    <w:p>
      <w:pPr>
        <w:pStyle w:val="18"/>
        <w:rPr>
          <w:rStyle w:val="63"/>
          <w:color w:val="000000" w:themeColor="text1"/>
          <w14:textFill>
            <w14:solidFill>
              <w14:schemeClr w14:val="tx1"/>
            </w14:solidFill>
          </w14:textFill>
        </w:rPr>
      </w:pPr>
      <w:bookmarkStart w:id="220" w:name="_Ref536815368"/>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19</w:t>
      </w:r>
      <w:r>
        <w:rPr>
          <w:rStyle w:val="63"/>
          <w:color w:val="000000" w:themeColor="text1"/>
          <w14:textFill>
            <w14:solidFill>
              <w14:schemeClr w14:val="tx1"/>
            </w14:solidFill>
          </w14:textFill>
        </w:rPr>
        <w:fldChar w:fldCharType="end"/>
      </w:r>
      <w:bookmarkEnd w:id="220"/>
      <w:r>
        <w:rPr>
          <w:rStyle w:val="63"/>
          <w:color w:val="000000" w:themeColor="text1"/>
          <w14:textFill>
            <w14:solidFill>
              <w14:schemeClr w14:val="tx1"/>
            </w14:solidFill>
          </w14:textFill>
        </w:rPr>
        <w:t xml:space="preserve"> 监测期间气象参数</w:t>
      </w:r>
    </w:p>
    <w:tbl>
      <w:tblPr>
        <w:tblStyle w:val="56"/>
        <w:tblW w:w="911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8"/>
        <w:gridCol w:w="1521"/>
        <w:gridCol w:w="1519"/>
        <w:gridCol w:w="1519"/>
        <w:gridCol w:w="1521"/>
        <w:gridCol w:w="15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518" w:type="dxa"/>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日期</w:t>
            </w:r>
          </w:p>
        </w:tc>
        <w:tc>
          <w:tcPr>
            <w:tcW w:w="1521"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检测频次</w:t>
            </w:r>
          </w:p>
        </w:tc>
        <w:tc>
          <w:tcPr>
            <w:tcW w:w="1519" w:type="dxa"/>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气温℃</w:t>
            </w:r>
          </w:p>
        </w:tc>
        <w:tc>
          <w:tcPr>
            <w:tcW w:w="1519" w:type="dxa"/>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气压</w:t>
            </w:r>
            <w:r>
              <w:rPr>
                <w:rStyle w:val="63"/>
                <w:rFonts w:hint="eastAsia"/>
                <w:color w:val="000000" w:themeColor="text1"/>
                <w14:textFill>
                  <w14:solidFill>
                    <w14:schemeClr w14:val="tx1"/>
                  </w14:solidFill>
                </w14:textFill>
              </w:rPr>
              <w:t>k</w:t>
            </w:r>
            <w:r>
              <w:rPr>
                <w:rStyle w:val="63"/>
                <w:color w:val="000000" w:themeColor="text1"/>
                <w14:textFill>
                  <w14:solidFill>
                    <w14:schemeClr w14:val="tx1"/>
                  </w14:solidFill>
                </w14:textFill>
              </w:rPr>
              <w:t>Pa</w:t>
            </w:r>
          </w:p>
        </w:tc>
        <w:tc>
          <w:tcPr>
            <w:tcW w:w="1521" w:type="dxa"/>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风向</w:t>
            </w:r>
          </w:p>
        </w:tc>
        <w:tc>
          <w:tcPr>
            <w:tcW w:w="1519" w:type="dxa"/>
            <w:vAlign w:val="center"/>
          </w:tcPr>
          <w:p>
            <w:pPr>
              <w:pStyle w:val="151"/>
              <w:rPr>
                <w:rStyle w:val="63"/>
                <w:color w:val="000000" w:themeColor="text1"/>
                <w14:textFill>
                  <w14:solidFill>
                    <w14:schemeClr w14:val="tx1"/>
                  </w14:solidFill>
                </w14:textFill>
              </w:rPr>
            </w:pPr>
            <w:r>
              <w:rPr>
                <w:rStyle w:val="63"/>
                <w:color w:val="000000" w:themeColor="text1"/>
                <w14:textFill>
                  <w14:solidFill>
                    <w14:schemeClr w14:val="tx1"/>
                  </w14:solidFill>
                </w14:textFill>
              </w:rPr>
              <w:t>风速m/s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518" w:type="dxa"/>
            <w:vMerge w:val="restart"/>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01月21日</w:t>
            </w:r>
          </w:p>
        </w:tc>
        <w:tc>
          <w:tcPr>
            <w:tcW w:w="1521"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第1次</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16.2</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102.1</w:t>
            </w:r>
          </w:p>
        </w:tc>
        <w:tc>
          <w:tcPr>
            <w:tcW w:w="1521"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东北</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518" w:type="dxa"/>
            <w:vMerge w:val="continue"/>
            <w:vAlign w:val="center"/>
          </w:tcPr>
          <w:p>
            <w:pPr>
              <w:pStyle w:val="151"/>
              <w:rPr>
                <w:rStyle w:val="63"/>
                <w:color w:val="000000" w:themeColor="text1"/>
                <w14:textFill>
                  <w14:solidFill>
                    <w14:schemeClr w14:val="tx1"/>
                  </w14:solidFill>
                </w14:textFill>
              </w:rPr>
            </w:pPr>
          </w:p>
        </w:tc>
        <w:tc>
          <w:tcPr>
            <w:tcW w:w="1521"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第2次</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18.5</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101.7</w:t>
            </w:r>
          </w:p>
        </w:tc>
        <w:tc>
          <w:tcPr>
            <w:tcW w:w="1521"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东北</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518" w:type="dxa"/>
            <w:vMerge w:val="continue"/>
            <w:vAlign w:val="center"/>
          </w:tcPr>
          <w:p>
            <w:pPr>
              <w:pStyle w:val="151"/>
              <w:rPr>
                <w:rStyle w:val="63"/>
                <w:color w:val="000000" w:themeColor="text1"/>
                <w14:textFill>
                  <w14:solidFill>
                    <w14:schemeClr w14:val="tx1"/>
                  </w14:solidFill>
                </w14:textFill>
              </w:rPr>
            </w:pPr>
          </w:p>
        </w:tc>
        <w:tc>
          <w:tcPr>
            <w:tcW w:w="1521"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第3次</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17.8</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101.9</w:t>
            </w:r>
          </w:p>
        </w:tc>
        <w:tc>
          <w:tcPr>
            <w:tcW w:w="1521"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东北</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518" w:type="dxa"/>
            <w:vMerge w:val="restart"/>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01月22日</w:t>
            </w:r>
          </w:p>
        </w:tc>
        <w:tc>
          <w:tcPr>
            <w:tcW w:w="1521"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第1次</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16.7</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102.1</w:t>
            </w:r>
          </w:p>
        </w:tc>
        <w:tc>
          <w:tcPr>
            <w:tcW w:w="1521"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东北</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518" w:type="dxa"/>
            <w:vMerge w:val="continue"/>
            <w:vAlign w:val="center"/>
          </w:tcPr>
          <w:p>
            <w:pPr>
              <w:pStyle w:val="151"/>
              <w:rPr>
                <w:rStyle w:val="63"/>
                <w:color w:val="000000" w:themeColor="text1"/>
                <w14:textFill>
                  <w14:solidFill>
                    <w14:schemeClr w14:val="tx1"/>
                  </w14:solidFill>
                </w14:textFill>
              </w:rPr>
            </w:pPr>
          </w:p>
        </w:tc>
        <w:tc>
          <w:tcPr>
            <w:tcW w:w="1521"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第2次</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18.9</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101.6</w:t>
            </w:r>
          </w:p>
        </w:tc>
        <w:tc>
          <w:tcPr>
            <w:tcW w:w="1521"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东北</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518" w:type="dxa"/>
            <w:vMerge w:val="continue"/>
            <w:vAlign w:val="center"/>
          </w:tcPr>
          <w:p>
            <w:pPr>
              <w:pStyle w:val="151"/>
              <w:rPr>
                <w:rStyle w:val="63"/>
                <w:color w:val="000000" w:themeColor="text1"/>
                <w14:textFill>
                  <w14:solidFill>
                    <w14:schemeClr w14:val="tx1"/>
                  </w14:solidFill>
                </w14:textFill>
              </w:rPr>
            </w:pPr>
          </w:p>
        </w:tc>
        <w:tc>
          <w:tcPr>
            <w:tcW w:w="1521"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第3次</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18.1</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101.8</w:t>
            </w:r>
          </w:p>
        </w:tc>
        <w:tc>
          <w:tcPr>
            <w:tcW w:w="1521"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东北</w:t>
            </w:r>
          </w:p>
        </w:tc>
        <w:tc>
          <w:tcPr>
            <w:tcW w:w="1519" w:type="dxa"/>
            <w:vAlign w:val="center"/>
          </w:tcPr>
          <w:p>
            <w:pPr>
              <w:pStyle w:val="151"/>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1.3</w:t>
            </w:r>
          </w:p>
        </w:tc>
      </w:tr>
    </w:tbl>
    <w:p>
      <w:pPr>
        <w:pStyle w:val="2"/>
        <w:rPr>
          <w:rStyle w:val="63"/>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2"/>
        <w:rPr>
          <w:color w:val="000000" w:themeColor="text1"/>
          <w14:textFill>
            <w14:solidFill>
              <w14:schemeClr w14:val="tx1"/>
            </w14:solidFill>
          </w14:textFill>
        </w:rPr>
      </w:pPr>
    </w:p>
    <w:p>
      <w:pPr>
        <w:pStyle w:val="151"/>
        <w:sectPr>
          <w:pgSz w:w="11906" w:h="16838"/>
          <w:pgMar w:top="1361" w:right="1361" w:bottom="1361" w:left="1418" w:header="851" w:footer="992" w:gutter="0"/>
          <w:cols w:space="720" w:num="1"/>
          <w:docGrid w:type="lines" w:linePitch="312" w:charSpace="0"/>
        </w:sectPr>
      </w:pPr>
    </w:p>
    <w:p>
      <w:pPr>
        <w:keepNext/>
        <w:spacing w:line="240" w:lineRule="auto"/>
        <w:ind w:firstLine="0" w:firstLineChars="0"/>
      </w:pPr>
      <w:r>
        <w:rPr>
          <w:sz w:val="21"/>
        </w:rPr>
        <mc:AlternateContent>
          <mc:Choice Requires="wps">
            <w:drawing>
              <wp:anchor distT="0" distB="0" distL="114300" distR="114300" simplePos="0" relativeHeight="251876352" behindDoc="0" locked="0" layoutInCell="1" allowOverlap="1">
                <wp:simplePos x="0" y="0"/>
                <wp:positionH relativeFrom="margin">
                  <wp:posOffset>7899400</wp:posOffset>
                </wp:positionH>
                <wp:positionV relativeFrom="paragraph">
                  <wp:posOffset>69215</wp:posOffset>
                </wp:positionV>
                <wp:extent cx="1057275" cy="1207770"/>
                <wp:effectExtent l="0" t="0" r="28575" b="11430"/>
                <wp:wrapNone/>
                <wp:docPr id="1681" name="文本框 1681"/>
                <wp:cNvGraphicFramePr/>
                <a:graphic xmlns:a="http://schemas.openxmlformats.org/drawingml/2006/main">
                  <a:graphicData uri="http://schemas.microsoft.com/office/word/2010/wordprocessingShape">
                    <wps:wsp>
                      <wps:cNvSpPr txBox="1">
                        <a:spLocks noChangeArrowheads="1"/>
                      </wps:cNvSpPr>
                      <wps:spPr bwMode="auto">
                        <a:xfrm>
                          <a:off x="0" y="0"/>
                          <a:ext cx="1057275" cy="1207770"/>
                        </a:xfrm>
                        <a:prstGeom prst="rect">
                          <a:avLst/>
                        </a:prstGeom>
                        <a:solidFill>
                          <a:srgbClr val="FFFFFF"/>
                        </a:solidFill>
                        <a:ln w="9525">
                          <a:solidFill>
                            <a:srgbClr val="000000"/>
                          </a:solidFill>
                          <a:miter lim="800000"/>
                        </a:ln>
                        <a:effectLst/>
                      </wps:spPr>
                      <wps:txbx>
                        <w:txbxContent>
                          <w:p>
                            <w:pPr>
                              <w:spacing w:line="240" w:lineRule="auto"/>
                              <w:ind w:firstLine="0" w:firstLineChars="0"/>
                            </w:pPr>
                            <w:r>
                              <w:drawing>
                                <wp:inline distT="0" distB="0" distL="0" distR="0">
                                  <wp:extent cx="938530" cy="926465"/>
                                  <wp:effectExtent l="0" t="0" r="0" b="6985"/>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938530" cy="9264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622pt;margin-top:5.45pt;height:95.1pt;width:83.25pt;mso-position-horizontal-relative:margin;z-index:251876352;mso-width-relative:page;mso-height-relative:page;" fillcolor="#FFFFFF" filled="t" stroked="t" coordsize="21600,21600" o:gfxdata="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l056JtoAAAAMAQAADwAAAAAAAAABACAAAAAiAAAAZHJzL2Rvd25yZXYueG1s&#10;UEsBAhQAFAAAAAgAh07iQMx9JxkvAgAATgQAAA4AAAAAAAAAAQAgAAAAKQEAAGRycy9lMm9Eb2Mu&#10;eG1sUEsFBgAAAAAGAAYAWQEAAMoFAAAAAA==&#10;">
                <v:fill on="t" focussize="0,0"/>
                <v:stroke color="#000000" miterlimit="8" joinstyle="miter"/>
                <v:imagedata o:title=""/>
                <o:lock v:ext="edit" aspectratio="f"/>
                <v:textbox>
                  <w:txbxContent>
                    <w:p>
                      <w:pPr>
                        <w:spacing w:line="240" w:lineRule="auto"/>
                        <w:ind w:firstLine="0" w:firstLineChars="0"/>
                      </w:pPr>
                      <w:r>
                        <w:drawing>
                          <wp:inline distT="0" distB="0" distL="0" distR="0">
                            <wp:extent cx="938530" cy="926465"/>
                            <wp:effectExtent l="0" t="0" r="0" b="6985"/>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938530" cy="926465"/>
                                    </a:xfrm>
                                    <a:prstGeom prst="rect">
                                      <a:avLst/>
                                    </a:prstGeom>
                                    <a:noFill/>
                                    <a:ln>
                                      <a:noFill/>
                                    </a:ln>
                                  </pic:spPr>
                                </pic:pic>
                              </a:graphicData>
                            </a:graphic>
                          </wp:inline>
                        </w:drawing>
                      </w:r>
                    </w:p>
                  </w:txbxContent>
                </v:textbox>
              </v:shape>
            </w:pict>
          </mc:Fallback>
        </mc:AlternateContent>
      </w:r>
      <w:r>
        <w:drawing>
          <wp:inline distT="0" distB="0" distL="0" distR="0">
            <wp:extent cx="8963660" cy="4420870"/>
            <wp:effectExtent l="0" t="0" r="889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52"/>
                    <a:stretch>
                      <a:fillRect/>
                    </a:stretch>
                  </pic:blipFill>
                  <pic:spPr>
                    <a:xfrm>
                      <a:off x="0" y="0"/>
                      <a:ext cx="8963660" cy="4420870"/>
                    </a:xfrm>
                    <a:prstGeom prst="rect">
                      <a:avLst/>
                    </a:prstGeom>
                  </pic:spPr>
                </pic:pic>
              </a:graphicData>
            </a:graphic>
          </wp:inline>
        </w:drawing>
      </w:r>
    </w:p>
    <w:p>
      <w:pPr>
        <w:pStyle w:val="18"/>
      </w:pPr>
      <w:bookmarkStart w:id="221" w:name="_Ref536815382"/>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2.8</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bookmarkEnd w:id="221"/>
      <w:r>
        <w:t xml:space="preserve"> </w:t>
      </w:r>
      <w:r>
        <w:rPr>
          <w:rFonts w:hint="eastAsia"/>
        </w:rPr>
        <w:t>废气污染源监测布点图</w:t>
      </w:r>
    </w:p>
    <w:p>
      <w:pPr>
        <w:pStyle w:val="151"/>
        <w:sectPr>
          <w:pgSz w:w="16838" w:h="11906" w:orient="landscape"/>
          <w:pgMar w:top="1361" w:right="1361" w:bottom="1418" w:left="1361" w:header="851" w:footer="992" w:gutter="0"/>
          <w:cols w:space="720" w:num="1"/>
          <w:docGrid w:type="lines" w:linePitch="326" w:charSpace="0"/>
        </w:sectPr>
      </w:pPr>
    </w:p>
    <w:p>
      <w:pPr>
        <w:pStyle w:val="162"/>
        <w:numPr>
          <w:ilvl w:val="0"/>
          <w:numId w:val="0"/>
        </w:numPr>
      </w:pPr>
      <w:r>
        <w:rPr>
          <w:rFonts w:hint="eastAsia"/>
        </w:rPr>
        <w:t>整改后废气防治措施</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建设单位拟将配料工序移至密炼机旁进行，</w:t>
      </w:r>
      <w:bookmarkStart w:id="222" w:name="_Hlk12276210"/>
      <w:r>
        <w:rPr>
          <w:rStyle w:val="63"/>
          <w:rFonts w:hint="eastAsia"/>
          <w:color w:val="000000" w:themeColor="text1"/>
          <w14:textFill>
            <w14:solidFill>
              <w14:schemeClr w14:val="tx1"/>
            </w14:solidFill>
          </w14:textFill>
        </w:rPr>
        <w:t>对配料、密炼工序进行局部围蔽处理，解包、配料操作区上方设移动式集气罩，密炼机为密闭式的设备，密炼室内设有抽风系统经顶部排气管捕集密炼过程中产生的密炼废气，密炼机进、出料口设集气罩局部抽风，并对围蔽的空间进行整体负压抽风收集</w:t>
      </w:r>
      <w:bookmarkEnd w:id="222"/>
      <w:r>
        <w:rPr>
          <w:rStyle w:val="63"/>
          <w:rFonts w:hint="eastAsia"/>
          <w:color w:val="000000" w:themeColor="text1"/>
          <w14:textFill>
            <w14:solidFill>
              <w14:schemeClr w14:val="tx1"/>
            </w14:solidFill>
          </w14:textFill>
        </w:rPr>
        <w:t>，总收集效率为9</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%左右。围蔽空间长约1</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m，宽约1</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m，高约</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m，生产时闭合门窗，形成一个相对独立的空间。收集后的废气通过袋式除尘器除尘处理后，再与开炼废气、硫化废气一同</w:t>
      </w:r>
      <w:bookmarkStart w:id="223" w:name="_Hlk12276275"/>
      <w:r>
        <w:rPr>
          <w:rStyle w:val="63"/>
          <w:rFonts w:hint="eastAsia"/>
          <w:color w:val="000000" w:themeColor="text1"/>
          <w14:textFill>
            <w14:solidFill>
              <w14:schemeClr w14:val="tx1"/>
            </w14:solidFill>
          </w14:textFill>
        </w:rPr>
        <w:t>引至同一套“喷淋塔+</w:t>
      </w:r>
      <w:r>
        <w:rPr>
          <w:rStyle w:val="63"/>
          <w:color w:val="000000" w:themeColor="text1"/>
          <w14:textFill>
            <w14:solidFill>
              <w14:schemeClr w14:val="tx1"/>
            </w14:solidFill>
          </w14:textFill>
        </w:rPr>
        <w:t>UV</w:t>
      </w:r>
      <w:r>
        <w:rPr>
          <w:rStyle w:val="63"/>
          <w:rFonts w:hint="eastAsia"/>
          <w:color w:val="000000" w:themeColor="text1"/>
          <w14:textFill>
            <w14:solidFill>
              <w14:schemeClr w14:val="tx1"/>
            </w14:solidFill>
          </w14:textFill>
        </w:rPr>
        <w:t>光解+活性炭吸附”净化装置处理，最终由1</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m高的排气筒（P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）排放</w:t>
      </w:r>
      <w:bookmarkEnd w:id="223"/>
      <w:r>
        <w:rPr>
          <w:rStyle w:val="63"/>
          <w:rFonts w:hint="eastAsia"/>
          <w:color w:val="000000" w:themeColor="text1"/>
          <w14:textFill>
            <w14:solidFill>
              <w14:schemeClr w14:val="tx1"/>
            </w14:solidFill>
          </w14:textFill>
        </w:rPr>
        <w:t>。布袋收集的除尘灰作为填充剂回用至密炼工序。</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加强生产车间密闭状态，生产时应关闭大门、窗户，</w:t>
      </w:r>
      <w:bookmarkStart w:id="224" w:name="_Hlk12276240"/>
      <w:r>
        <w:rPr>
          <w:rStyle w:val="63"/>
          <w:rFonts w:hint="eastAsia"/>
          <w:color w:val="000000" w:themeColor="text1"/>
          <w14:textFill>
            <w14:solidFill>
              <w14:schemeClr w14:val="tx1"/>
            </w14:solidFill>
          </w14:textFill>
        </w:rPr>
        <w:t>在开炼机、硫化机原有集气罩四周配备P</w:t>
      </w:r>
      <w:r>
        <w:rPr>
          <w:rStyle w:val="63"/>
          <w:color w:val="000000" w:themeColor="text1"/>
          <w14:textFill>
            <w14:solidFill>
              <w14:schemeClr w14:val="tx1"/>
            </w14:solidFill>
          </w14:textFill>
        </w:rPr>
        <w:t>VC软帘，</w:t>
      </w:r>
      <w:r>
        <w:rPr>
          <w:rStyle w:val="63"/>
          <w:rFonts w:hint="eastAsia"/>
          <w:color w:val="000000" w:themeColor="text1"/>
          <w14:textFill>
            <w14:solidFill>
              <w14:schemeClr w14:val="tx1"/>
            </w14:solidFill>
          </w14:textFill>
        </w:rPr>
        <w:t>进行局部围合</w:t>
      </w:r>
      <w:bookmarkEnd w:id="224"/>
      <w:r>
        <w:rPr>
          <w:rStyle w:val="63"/>
          <w:rFonts w:hint="eastAsia"/>
          <w:color w:val="000000" w:themeColor="text1"/>
          <w14:textFill>
            <w14:solidFill>
              <w14:schemeClr w14:val="tx1"/>
            </w14:solidFill>
          </w14:textFill>
        </w:rPr>
        <w:t>，收集效率为9</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%左右。开炼、硫化废气收集后引入“喷淋塔+</w:t>
      </w:r>
      <w:r>
        <w:rPr>
          <w:rStyle w:val="63"/>
          <w:color w:val="000000" w:themeColor="text1"/>
          <w14:textFill>
            <w14:solidFill>
              <w14:schemeClr w14:val="tx1"/>
            </w14:solidFill>
          </w14:textFill>
        </w:rPr>
        <w:t>UV</w:t>
      </w:r>
      <w:r>
        <w:rPr>
          <w:rStyle w:val="63"/>
          <w:rFonts w:hint="eastAsia"/>
          <w:color w:val="000000" w:themeColor="text1"/>
          <w14:textFill>
            <w14:solidFill>
              <w14:schemeClr w14:val="tx1"/>
            </w14:solidFill>
          </w14:textFill>
        </w:rPr>
        <w:t>光解+活性炭吸附”处理系统净化，最终由1</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m高的排气筒（P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）排放。总处理风量为</w:t>
      </w: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r>
        <w:rPr>
          <w:rStyle w:val="63"/>
          <w:color w:val="000000" w:themeColor="text1"/>
          <w14:textFill>
            <w14:solidFill>
              <w14:schemeClr w14:val="tx1"/>
            </w14:solidFill>
          </w14:textFill>
        </w:rPr>
        <w:t xml:space="preserve"> m³/h</w:t>
      </w:r>
      <w:r>
        <w:rPr>
          <w:rStyle w:val="63"/>
          <w:rFonts w:hint="eastAsia"/>
          <w:color w:val="000000" w:themeColor="text1"/>
          <w14:textFill>
            <w14:solidFill>
              <w14:schemeClr w14:val="tx1"/>
            </w14:solidFill>
          </w14:textFill>
        </w:rPr>
        <w:t xml:space="preserve"> 。</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布袋除尘对粉尘的处理效率为99%以上，考虑到项目粉尘产生量较多，可能影响后续废气处理装置运行，采取水喷淋装置对粉尘进行进一步处理，本处粉尘处理总效率取9</w:t>
      </w:r>
      <w:r>
        <w:rPr>
          <w:rStyle w:val="63"/>
          <w:color w:val="000000" w:themeColor="text1"/>
          <w14:textFill>
            <w14:solidFill>
              <w14:schemeClr w14:val="tx1"/>
            </w14:solidFill>
          </w14:textFill>
        </w:rPr>
        <w:t>9%</w:t>
      </w:r>
      <w:r>
        <w:rPr>
          <w:rStyle w:val="63"/>
          <w:rFonts w:hint="eastAsia"/>
          <w:color w:val="000000" w:themeColor="text1"/>
          <w14:textFill>
            <w14:solidFill>
              <w14:schemeClr w14:val="tx1"/>
            </w14:solidFill>
          </w14:textFill>
        </w:rPr>
        <w:t>。水喷淋对低浓度有机废气的去除效率本处取20%，活性炭吸附对低浓度有机废气的去除效率为5</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w:t>
      </w:r>
      <w:r>
        <w:rPr>
          <w:rStyle w:val="63"/>
          <w:color w:val="000000" w:themeColor="text1"/>
          <w14:textFill>
            <w14:solidFill>
              <w14:schemeClr w14:val="tx1"/>
            </w14:solidFill>
          </w14:textFill>
        </w:rPr>
        <w:t>95</w:t>
      </w:r>
      <w:r>
        <w:rPr>
          <w:rStyle w:val="63"/>
          <w:rFonts w:hint="eastAsia"/>
          <w:color w:val="000000" w:themeColor="text1"/>
          <w14:textFill>
            <w14:solidFill>
              <w14:schemeClr w14:val="tx1"/>
            </w14:solidFill>
          </w14:textFill>
        </w:rPr>
        <w:t>%，本处取8</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，光解法对低浓度有机废气的去除效率本处取</w:t>
      </w:r>
      <w:r>
        <w:rPr>
          <w:rStyle w:val="63"/>
          <w:color w:val="000000" w:themeColor="text1"/>
          <w14:textFill>
            <w14:solidFill>
              <w14:schemeClr w14:val="tx1"/>
            </w14:solidFill>
          </w14:textFill>
        </w:rPr>
        <w:t>40</w:t>
      </w:r>
      <w:r>
        <w:rPr>
          <w:rStyle w:val="63"/>
          <w:rFonts w:hint="eastAsia"/>
          <w:color w:val="000000" w:themeColor="text1"/>
          <w14:textFill>
            <w14:solidFill>
              <w14:schemeClr w14:val="tx1"/>
            </w14:solidFill>
          </w14:textFill>
        </w:rPr>
        <w:t>%，则三者组合工艺，处理效率可达9</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%左右。</w:t>
      </w:r>
    </w:p>
    <w:p>
      <w:pPr>
        <w:pStyle w:val="162"/>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整改后项目工艺废气产排情况汇总</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通过物料平衡和产排污系数法计算得出的落实整改措施后项目废气中各污染物排气筒有组织排放情况汇总见下表。</w:t>
      </w:r>
    </w:p>
    <w:p>
      <w:pPr>
        <w:pStyle w:val="18"/>
        <w:rPr>
          <w:rStyle w:val="63"/>
          <w:color w:val="000000" w:themeColor="text1"/>
          <w14:textFill>
            <w14:solidFill>
              <w14:schemeClr w14:val="tx1"/>
            </w14:solidFill>
          </w14:textFill>
        </w:rPr>
      </w:pPr>
      <w:bookmarkStart w:id="225" w:name="_Ref3367039"/>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20</w:t>
      </w:r>
      <w:r>
        <w:rPr>
          <w:rStyle w:val="63"/>
          <w:color w:val="000000" w:themeColor="text1"/>
          <w14:textFill>
            <w14:solidFill>
              <w14:schemeClr w14:val="tx1"/>
            </w14:solidFill>
          </w14:textFill>
        </w:rPr>
        <w:fldChar w:fldCharType="end"/>
      </w:r>
      <w:bookmarkEnd w:id="225"/>
      <w:r>
        <w:rPr>
          <w:rStyle w:val="63"/>
          <w:color w:val="000000" w:themeColor="text1"/>
          <w14:textFill>
            <w14:solidFill>
              <w14:schemeClr w14:val="tx1"/>
            </w14:solidFill>
          </w14:textFill>
        </w:rPr>
        <w:t xml:space="preserve"> 整改后</w:t>
      </w:r>
      <w:r>
        <w:rPr>
          <w:rStyle w:val="63"/>
          <w:rFonts w:hint="eastAsia"/>
          <w:color w:val="000000" w:themeColor="text1"/>
          <w14:textFill>
            <w14:solidFill>
              <w14:schemeClr w14:val="tx1"/>
            </w14:solidFill>
          </w14:textFill>
        </w:rPr>
        <w:t>项目废气排气筒（P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）有组织排放情况</w:t>
      </w:r>
    </w:p>
    <w:tbl>
      <w:tblPr>
        <w:tblStyle w:val="56"/>
        <w:tblW w:w="93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82"/>
        <w:gridCol w:w="1267"/>
        <w:gridCol w:w="1232"/>
        <w:gridCol w:w="968"/>
        <w:gridCol w:w="1131"/>
        <w:gridCol w:w="1232"/>
        <w:gridCol w:w="1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2382"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污染源</w:t>
            </w:r>
          </w:p>
        </w:tc>
        <w:tc>
          <w:tcPr>
            <w:tcW w:w="1267"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污染物</w:t>
            </w:r>
          </w:p>
        </w:tc>
        <w:tc>
          <w:tcPr>
            <w:tcW w:w="3331" w:type="dxa"/>
            <w:gridSpan w:val="3"/>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有组织产生情况</w:t>
            </w:r>
          </w:p>
        </w:tc>
        <w:tc>
          <w:tcPr>
            <w:tcW w:w="2363" w:type="dxa"/>
            <w:gridSpan w:val="2"/>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trPr>
        <w:tc>
          <w:tcPr>
            <w:tcW w:w="2382" w:type="dxa"/>
            <w:vMerge w:val="continue"/>
            <w:shd w:val="clear" w:color="auto" w:fill="auto"/>
            <w:vAlign w:val="center"/>
          </w:tcPr>
          <w:p>
            <w:pPr>
              <w:pStyle w:val="107"/>
              <w:rPr>
                <w:rStyle w:val="63"/>
                <w:color w:val="000000" w:themeColor="text1"/>
                <w14:textFill>
                  <w14:solidFill>
                    <w14:schemeClr w14:val="tx1"/>
                  </w14:solidFill>
                </w14:textFill>
              </w:rPr>
            </w:pPr>
          </w:p>
        </w:tc>
        <w:tc>
          <w:tcPr>
            <w:tcW w:w="1267" w:type="dxa"/>
            <w:vMerge w:val="continue"/>
            <w:shd w:val="clear" w:color="auto" w:fill="auto"/>
            <w:vAlign w:val="center"/>
          </w:tcPr>
          <w:p>
            <w:pPr>
              <w:pStyle w:val="107"/>
              <w:rPr>
                <w:rStyle w:val="63"/>
                <w:color w:val="000000" w:themeColor="text1"/>
                <w14:textFill>
                  <w14:solidFill>
                    <w14:schemeClr w14:val="tx1"/>
                  </w14:solidFill>
                </w14:textFill>
              </w:rPr>
            </w:pPr>
          </w:p>
        </w:tc>
        <w:tc>
          <w:tcPr>
            <w:tcW w:w="123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968"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收集风量</w:t>
            </w:r>
            <w:r>
              <w:rPr>
                <w:rStyle w:val="63"/>
                <w:color w:val="000000" w:themeColor="text1"/>
                <w14:textFill>
                  <w14:solidFill>
                    <w14:schemeClr w14:val="tx1"/>
                  </w14:solidFill>
                </w14:textFill>
              </w:rPr>
              <w:t>(m³/h)</w:t>
            </w:r>
          </w:p>
        </w:tc>
        <w:tc>
          <w:tcPr>
            <w:tcW w:w="1131"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产生浓度</w:t>
            </w:r>
            <w:r>
              <w:rPr>
                <w:rStyle w:val="63"/>
                <w:color w:val="000000" w:themeColor="text1"/>
                <w14:textFill>
                  <w14:solidFill>
                    <w14:schemeClr w14:val="tx1"/>
                  </w14:solidFill>
                </w14:textFill>
              </w:rPr>
              <w:t>(mg/m³)</w:t>
            </w:r>
          </w:p>
        </w:tc>
        <w:tc>
          <w:tcPr>
            <w:tcW w:w="123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排放速率（</w:t>
            </w:r>
            <w:r>
              <w:rPr>
                <w:rStyle w:val="63"/>
                <w:color w:val="000000" w:themeColor="text1"/>
                <w14:textFill>
                  <w14:solidFill>
                    <w14:schemeClr w14:val="tx1"/>
                  </w14:solidFill>
                </w14:textFill>
              </w:rPr>
              <w:t>kg/h</w:t>
            </w:r>
            <w:r>
              <w:rPr>
                <w:rStyle w:val="63"/>
                <w:rFonts w:hint="eastAsia"/>
                <w:color w:val="000000" w:themeColor="text1"/>
                <w14:textFill>
                  <w14:solidFill>
                    <w14:schemeClr w14:val="tx1"/>
                  </w14:solidFill>
                </w14:textFill>
              </w:rPr>
              <w:t>）</w:t>
            </w:r>
          </w:p>
        </w:tc>
        <w:tc>
          <w:tcPr>
            <w:tcW w:w="1131"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排放浓度</w:t>
            </w:r>
            <w:r>
              <w:rPr>
                <w:rStyle w:val="63"/>
                <w:color w:val="000000" w:themeColor="text1"/>
                <w14:textFill>
                  <w14:solidFill>
                    <w14:schemeClr w14:val="tx1"/>
                  </w14:solidFill>
                </w14:textFill>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382"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（正常工况）</w:t>
            </w:r>
          </w:p>
        </w:tc>
        <w:tc>
          <w:tcPr>
            <w:tcW w:w="126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1695</w:t>
            </w:r>
          </w:p>
        </w:tc>
        <w:tc>
          <w:tcPr>
            <w:tcW w:w="968"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7.7</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w:t>
            </w:r>
            <w:r>
              <w:rPr>
                <w:rStyle w:val="63"/>
                <w:color w:val="000000" w:themeColor="text1"/>
                <w14:textFill>
                  <w14:solidFill>
                    <w14:schemeClr w14:val="tx1"/>
                  </w14:solidFill>
                </w14:textFill>
              </w:rPr>
              <w:t>1695</w:t>
            </w:r>
            <w:r>
              <w:rPr>
                <w:rStyle w:val="63"/>
                <w:rFonts w:hint="eastAsia"/>
                <w:color w:val="000000" w:themeColor="text1"/>
                <w14:textFill>
                  <w14:solidFill>
                    <w14:schemeClr w14:val="tx1"/>
                  </w14:solidFill>
                </w14:textFill>
              </w:rPr>
              <w:t xml:space="preserve"> </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382" w:type="dxa"/>
            <w:vMerge w:val="continue"/>
            <w:shd w:val="clear" w:color="auto" w:fill="auto"/>
            <w:noWrap/>
            <w:vAlign w:val="center"/>
          </w:tcPr>
          <w:p>
            <w:pPr>
              <w:pStyle w:val="107"/>
              <w:rPr>
                <w:rStyle w:val="63"/>
                <w:color w:val="000000" w:themeColor="text1"/>
                <w14:textFill>
                  <w14:solidFill>
                    <w14:schemeClr w14:val="tx1"/>
                  </w14:solidFill>
                </w14:textFill>
              </w:rPr>
            </w:pPr>
          </w:p>
        </w:tc>
        <w:tc>
          <w:tcPr>
            <w:tcW w:w="1267"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114</w:t>
            </w:r>
          </w:p>
        </w:tc>
        <w:tc>
          <w:tcPr>
            <w:tcW w:w="968"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5.18</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0914</w:t>
            </w:r>
            <w:r>
              <w:rPr>
                <w:rStyle w:val="63"/>
                <w:rFonts w:hint="eastAsia"/>
                <w:color w:val="000000" w:themeColor="text1"/>
                <w14:textFill>
                  <w14:solidFill>
                    <w14:schemeClr w14:val="tx1"/>
                  </w14:solidFill>
                </w14:textFill>
              </w:rPr>
              <w:t xml:space="preserve"> </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382" w:type="dxa"/>
            <w:vMerge w:val="continue"/>
            <w:shd w:val="clear" w:color="auto" w:fill="auto"/>
            <w:noWrap/>
            <w:vAlign w:val="center"/>
          </w:tcPr>
          <w:p>
            <w:pPr>
              <w:pStyle w:val="107"/>
              <w:rPr>
                <w:rStyle w:val="63"/>
                <w:color w:val="000000" w:themeColor="text1"/>
                <w14:textFill>
                  <w14:solidFill>
                    <w14:schemeClr w14:val="tx1"/>
                  </w14:solidFill>
                </w14:textFill>
              </w:rPr>
            </w:pPr>
          </w:p>
        </w:tc>
        <w:tc>
          <w:tcPr>
            <w:tcW w:w="1267" w:type="dxa"/>
            <w:vMerge w:val="continue"/>
            <w:shd w:val="clear" w:color="auto" w:fill="auto"/>
            <w:noWrap/>
            <w:vAlign w:val="center"/>
          </w:tcPr>
          <w:p>
            <w:pPr>
              <w:pStyle w:val="107"/>
              <w:rPr>
                <w:rStyle w:val="63"/>
                <w:color w:val="000000" w:themeColor="text1"/>
                <w14:textFill>
                  <w14:solidFill>
                    <w14:schemeClr w14:val="tx1"/>
                  </w14:solidFill>
                </w14:textFill>
              </w:rPr>
            </w:pP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0.0939 *</w:t>
            </w:r>
          </w:p>
        </w:tc>
        <w:tc>
          <w:tcPr>
            <w:tcW w:w="968"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2.61 *</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100</w:t>
            </w:r>
            <w:r>
              <w:rPr>
                <w:rStyle w:val="63"/>
                <w:rFonts w:hint="eastAsia"/>
                <w:color w:val="000000" w:themeColor="text1"/>
                <w14:textFill>
                  <w14:solidFill>
                    <w14:schemeClr w14:val="tx1"/>
                  </w14:solidFill>
                </w14:textFill>
              </w:rPr>
              <w:t xml:space="preserve"> *</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w:t>
            </w:r>
            <w:r>
              <w:rPr>
                <w:rStyle w:val="63"/>
                <w:color w:val="000000" w:themeColor="text1"/>
                <w14:textFill>
                  <w14:solidFill>
                    <w14:schemeClr w14:val="tx1"/>
                  </w14:solidFill>
                </w14:textFill>
              </w:rPr>
              <w:t>8</w:t>
            </w:r>
            <w:r>
              <w:rPr>
                <w:rStyle w:val="63"/>
                <w:rFonts w:hint="eastAsia"/>
                <w:color w:val="000000" w:themeColor="text1"/>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382" w:type="dxa"/>
            <w:vMerge w:val="continue"/>
            <w:shd w:val="clear" w:color="auto" w:fill="auto"/>
            <w:vAlign w:val="center"/>
          </w:tcPr>
          <w:p>
            <w:pPr>
              <w:pStyle w:val="107"/>
              <w:rPr>
                <w:rStyle w:val="63"/>
                <w:color w:val="000000" w:themeColor="text1"/>
                <w14:textFill>
                  <w14:solidFill>
                    <w14:schemeClr w14:val="tx1"/>
                  </w14:solidFill>
                </w14:textFill>
              </w:rPr>
            </w:pPr>
          </w:p>
        </w:tc>
        <w:tc>
          <w:tcPr>
            <w:tcW w:w="126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w:t>
            </w:r>
            <w:r>
              <w:rPr>
                <w:rStyle w:val="63"/>
                <w:color w:val="000000" w:themeColor="text1"/>
                <w14:textFill>
                  <w14:solidFill>
                    <w14:schemeClr w14:val="tx1"/>
                  </w14:solidFill>
                </w14:textFill>
              </w:rPr>
              <w:t>425</w:t>
            </w:r>
            <w:r>
              <w:rPr>
                <w:rStyle w:val="63"/>
                <w:rFonts w:hint="eastAsia"/>
                <w:color w:val="000000" w:themeColor="text1"/>
                <w14:textFill>
                  <w14:solidFill>
                    <w14:schemeClr w14:val="tx1"/>
                  </w14:solidFill>
                </w14:textFill>
              </w:rPr>
              <w:t xml:space="preserve"> </w:t>
            </w:r>
          </w:p>
        </w:tc>
        <w:tc>
          <w:tcPr>
            <w:tcW w:w="968"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193</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0.000</w:t>
            </w:r>
            <w:r>
              <w:rPr>
                <w:rStyle w:val="63"/>
                <w:color w:val="000000" w:themeColor="text1"/>
                <w14:textFill>
                  <w14:solidFill>
                    <w14:schemeClr w14:val="tx1"/>
                  </w14:solidFill>
                </w14:textFill>
              </w:rPr>
              <w:t>34</w:t>
            </w:r>
            <w:r>
              <w:rPr>
                <w:rStyle w:val="63"/>
                <w:rFonts w:hint="eastAsia"/>
                <w:color w:val="000000" w:themeColor="text1"/>
                <w14:textFill>
                  <w14:solidFill>
                    <w14:schemeClr w14:val="tx1"/>
                  </w14:solidFill>
                </w14:textFill>
              </w:rPr>
              <w:t xml:space="preserve"> </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0.01</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382" w:type="dxa"/>
            <w:vMerge w:val="restart"/>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（最大工况）</w:t>
            </w:r>
          </w:p>
        </w:tc>
        <w:tc>
          <w:tcPr>
            <w:tcW w:w="126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0.3503 </w:t>
            </w:r>
          </w:p>
        </w:tc>
        <w:tc>
          <w:tcPr>
            <w:tcW w:w="968"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9.72 </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0.0035 </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382" w:type="dxa"/>
            <w:vMerge w:val="continue"/>
            <w:shd w:val="clear" w:color="auto" w:fill="auto"/>
            <w:vAlign w:val="center"/>
          </w:tcPr>
          <w:p>
            <w:pPr>
              <w:pStyle w:val="107"/>
              <w:rPr>
                <w:rStyle w:val="63"/>
                <w:color w:val="000000" w:themeColor="text1"/>
                <w14:textFill>
                  <w14:solidFill>
                    <w14:schemeClr w14:val="tx1"/>
                  </w14:solidFill>
                </w14:textFill>
              </w:rPr>
            </w:pPr>
          </w:p>
        </w:tc>
        <w:tc>
          <w:tcPr>
            <w:tcW w:w="1267" w:type="dxa"/>
            <w:vMerge w:val="restart"/>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0.5845 </w:t>
            </w:r>
          </w:p>
        </w:tc>
        <w:tc>
          <w:tcPr>
            <w:tcW w:w="968"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16.23 </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0.0466 </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1.30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2382" w:type="dxa"/>
            <w:vMerge w:val="continue"/>
            <w:shd w:val="clear" w:color="auto" w:fill="auto"/>
            <w:vAlign w:val="center"/>
          </w:tcPr>
          <w:p>
            <w:pPr>
              <w:pStyle w:val="107"/>
              <w:rPr>
                <w:rStyle w:val="63"/>
                <w:color w:val="000000" w:themeColor="text1"/>
                <w:highlight w:val="yellow"/>
                <w14:textFill>
                  <w14:solidFill>
                    <w14:schemeClr w14:val="tx1"/>
                  </w14:solidFill>
                </w14:textFill>
              </w:rPr>
            </w:pPr>
          </w:p>
        </w:tc>
        <w:tc>
          <w:tcPr>
            <w:tcW w:w="1267" w:type="dxa"/>
            <w:vMerge w:val="continue"/>
            <w:shd w:val="clear" w:color="auto" w:fill="auto"/>
            <w:noWrap/>
            <w:vAlign w:val="center"/>
          </w:tcPr>
          <w:p>
            <w:pPr>
              <w:pStyle w:val="107"/>
              <w:rPr>
                <w:rStyle w:val="63"/>
                <w:color w:val="000000" w:themeColor="text1"/>
                <w:highlight w:val="yellow"/>
                <w14:textFill>
                  <w14:solidFill>
                    <w14:schemeClr w14:val="tx1"/>
                  </w14:solidFill>
                </w14:textFill>
              </w:rPr>
            </w:pP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0.1901 *</w:t>
            </w:r>
          </w:p>
        </w:tc>
        <w:tc>
          <w:tcPr>
            <w:tcW w:w="968"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5.28 *</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0.01</w:t>
            </w:r>
            <w:r>
              <w:rPr>
                <w:rStyle w:val="63"/>
                <w:color w:val="000000" w:themeColor="text1"/>
                <w14:textFill>
                  <w14:solidFill>
                    <w14:schemeClr w14:val="tx1"/>
                  </w14:solidFill>
                </w14:textFill>
              </w:rPr>
              <w:t>76</w:t>
            </w:r>
            <w:r>
              <w:rPr>
                <w:rStyle w:val="63"/>
                <w:rFonts w:hint="eastAsia"/>
                <w:color w:val="000000" w:themeColor="text1"/>
                <w14:textFill>
                  <w14:solidFill>
                    <w14:schemeClr w14:val="tx1"/>
                  </w14:solidFill>
                </w14:textFill>
              </w:rPr>
              <w:t>*</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0.4</w:t>
            </w:r>
            <w:r>
              <w:rPr>
                <w:rStyle w:val="63"/>
                <w:color w:val="000000" w:themeColor="text1"/>
                <w14:textFill>
                  <w14:solidFill>
                    <w14:schemeClr w14:val="tx1"/>
                  </w14:solidFill>
                </w14:textFill>
              </w:rPr>
              <w:t>9</w:t>
            </w:r>
            <w:r>
              <w:rPr>
                <w:rStyle w:val="63"/>
                <w:rFonts w:hint="eastAsia"/>
                <w:color w:val="000000" w:themeColor="text1"/>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382" w:type="dxa"/>
            <w:vMerge w:val="continue"/>
            <w:shd w:val="clear" w:color="auto" w:fill="auto"/>
            <w:vAlign w:val="center"/>
          </w:tcPr>
          <w:p>
            <w:pPr>
              <w:pStyle w:val="107"/>
              <w:rPr>
                <w:rStyle w:val="63"/>
                <w:color w:val="000000" w:themeColor="text1"/>
                <w:highlight w:val="yellow"/>
                <w14:textFill>
                  <w14:solidFill>
                    <w14:schemeClr w14:val="tx1"/>
                  </w14:solidFill>
                </w14:textFill>
              </w:rPr>
            </w:pPr>
          </w:p>
        </w:tc>
        <w:tc>
          <w:tcPr>
            <w:tcW w:w="1267" w:type="dxa"/>
            <w:shd w:val="clear" w:color="auto" w:fill="auto"/>
            <w:noWrap/>
            <w:vAlign w:val="center"/>
          </w:tcPr>
          <w:p>
            <w:pPr>
              <w:pStyle w:val="107"/>
              <w:rPr>
                <w:rStyle w:val="63"/>
                <w:color w:val="000000" w:themeColor="text1"/>
                <w:highlight w:val="yellow"/>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0.0071 </w:t>
            </w:r>
          </w:p>
        </w:tc>
        <w:tc>
          <w:tcPr>
            <w:tcW w:w="968"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0.19 </w:t>
            </w:r>
          </w:p>
        </w:tc>
        <w:tc>
          <w:tcPr>
            <w:tcW w:w="1232"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0.0006 </w:t>
            </w:r>
          </w:p>
        </w:tc>
        <w:tc>
          <w:tcPr>
            <w:tcW w:w="1131"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9343" w:type="dxa"/>
            <w:gridSpan w:val="7"/>
            <w:shd w:val="clear" w:color="auto" w:fill="auto"/>
            <w:vAlign w:val="center"/>
          </w:tcPr>
          <w:p>
            <w:pPr>
              <w:pStyle w:val="107"/>
              <w:jc w:val="left"/>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注：</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 1 \* GB3</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①</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主要污染物颗粒物、非甲烷总烃和硫化氢排放速率、浓度为配料、密炼、开炼和硫化工段同时进行时的最大可能排放速率、浓度；</w:t>
            </w:r>
          </w:p>
          <w:p>
            <w:pPr>
              <w:pStyle w:val="107"/>
              <w:jc w:val="left"/>
              <w:rPr>
                <w:rStyle w:val="63"/>
                <w:color w:val="000000" w:themeColor="text1"/>
                <w14:textFill>
                  <w14:solidFill>
                    <w14:schemeClr w14:val="tx1"/>
                  </w14:solidFill>
                </w14:textFill>
              </w:rPr>
            </w:pP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 2 \* GB3</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②</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*指根据硫化工段平均浓度计算得出的配料、密炼、开炼和硫化工段同时进行时的最大可能排放速率、浓度。</w:t>
            </w:r>
          </w:p>
        </w:tc>
      </w:tr>
    </w:tbl>
    <w:p>
      <w:pPr>
        <w:pStyle w:val="162"/>
        <w:numPr>
          <w:ilvl w:val="0"/>
          <w:numId w:val="0"/>
        </w:numPr>
      </w:pPr>
      <w:r>
        <w:rPr>
          <w:rFonts w:hint="eastAsia"/>
        </w:rPr>
        <w:t>整改后废气排放达标情况分析</w:t>
      </w:r>
    </w:p>
    <w:p>
      <w:pPr>
        <w:ind w:firstLine="480"/>
        <w:rPr>
          <w:rFonts w:eastAsiaTheme="minorEastAsia"/>
        </w:rPr>
      </w:pPr>
      <w:r>
        <w:rPr>
          <w:rFonts w:hint="eastAsia" w:eastAsiaTheme="minorEastAsia"/>
          <w:color w:val="000000" w:themeColor="text1"/>
          <w14:textFill>
            <w14:solidFill>
              <w14:schemeClr w14:val="tx1"/>
            </w14:solidFill>
          </w14:textFill>
        </w:rPr>
        <w:t>由</w:t>
      </w:r>
      <w:r>
        <w:rPr>
          <w:rFonts w:eastAsiaTheme="minorEastAsia"/>
          <w:color w:val="000000" w:themeColor="text1"/>
          <w14:textFill>
            <w14:solidFill>
              <w14:schemeClr w14:val="tx1"/>
            </w14:solidFill>
          </w14:textFill>
        </w:rPr>
        <w:fldChar w:fldCharType="begin"/>
      </w:r>
      <w:r>
        <w:rPr>
          <w:rFonts w:eastAsiaTheme="minorEastAsia"/>
          <w:color w:val="000000" w:themeColor="text1"/>
          <w14:textFill>
            <w14:solidFill>
              <w14:schemeClr w14:val="tx1"/>
            </w14:solidFill>
          </w14:textFill>
        </w:rPr>
        <w:instrText xml:space="preserve"> </w:instrText>
      </w:r>
      <w:r>
        <w:rPr>
          <w:rFonts w:hint="eastAsia" w:eastAsiaTheme="minorEastAsia"/>
          <w:color w:val="000000" w:themeColor="text1"/>
          <w14:textFill>
            <w14:solidFill>
              <w14:schemeClr w14:val="tx1"/>
            </w14:solidFill>
          </w14:textFill>
        </w:rPr>
        <w:instrText xml:space="preserve">REF _Ref3367039 \h</w:instrText>
      </w:r>
      <w:r>
        <w:rPr>
          <w:rFonts w:eastAsiaTheme="minorEastAsia"/>
          <w:color w:val="000000" w:themeColor="text1"/>
          <w14:textFill>
            <w14:solidFill>
              <w14:schemeClr w14:val="tx1"/>
            </w14:solidFill>
          </w14:textFill>
        </w:rPr>
        <w:instrText xml:space="preserve"> </w:instrText>
      </w:r>
      <w:r>
        <w:rPr>
          <w:rFonts w:eastAsiaTheme="minorEastAsia"/>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20</w:t>
      </w:r>
      <w:r>
        <w:rPr>
          <w:rFonts w:eastAsiaTheme="minorEastAsia"/>
          <w:color w:val="000000" w:themeColor="text1"/>
          <w14:textFill>
            <w14:solidFill>
              <w14:schemeClr w14:val="tx1"/>
            </w14:solidFill>
          </w14:textFill>
        </w:rPr>
        <w:fldChar w:fldCharType="end"/>
      </w:r>
      <w:r>
        <w:rPr>
          <w:rFonts w:hint="eastAsia" w:eastAsiaTheme="minorEastAsia"/>
        </w:rPr>
        <w:t>可以看出，</w:t>
      </w:r>
      <w:r>
        <w:rPr>
          <w:rFonts w:hint="eastAsia"/>
        </w:rPr>
        <w:t>混炼、硫化废气经收集处理后高空排放的硫化氢满足《恶臭污染物排放标准》（</w:t>
      </w:r>
      <w:r>
        <w:t>GB 14554-93</w:t>
      </w:r>
      <w:r>
        <w:rPr>
          <w:rFonts w:hint="eastAsia"/>
        </w:rPr>
        <w:t>）1</w:t>
      </w:r>
      <w:r>
        <w:t>5</w:t>
      </w:r>
      <w:r>
        <w:rPr>
          <w:rFonts w:hint="eastAsia"/>
        </w:rPr>
        <w:t>m排气筒排放速率限值（H</w:t>
      </w:r>
      <w:r>
        <w:rPr>
          <w:vertAlign w:val="subscript"/>
        </w:rPr>
        <w:t>2</w:t>
      </w:r>
      <w:r>
        <w:t>S</w:t>
      </w:r>
      <w:r>
        <w:rPr>
          <w:rFonts w:hint="eastAsia"/>
        </w:rPr>
        <w:t>≤</w:t>
      </w:r>
      <w:r>
        <w:t>0.33 kg/h</w:t>
      </w:r>
      <w:r>
        <w:rPr>
          <w:rFonts w:hint="eastAsia"/>
        </w:rPr>
        <w:t>）要求。</w:t>
      </w:r>
    </w:p>
    <w:p>
      <w:pPr>
        <w:ind w:firstLine="480"/>
        <w:rPr>
          <w:rFonts w:eastAsiaTheme="minorEastAsia"/>
        </w:rPr>
      </w:pPr>
      <w:r>
        <w:rPr>
          <w:rFonts w:hint="eastAsia" w:eastAsiaTheme="minorEastAsia"/>
        </w:rPr>
        <w:t>根据</w:t>
      </w:r>
      <w:bookmarkStart w:id="226" w:name="_Hlk12276326"/>
      <w:r>
        <w:rPr>
          <w:rFonts w:hint="eastAsia" w:eastAsiaTheme="minorEastAsia"/>
        </w:rPr>
        <w:t>《橡胶制品工业污染物排放标准》(GB</w:t>
      </w:r>
      <w:r>
        <w:rPr>
          <w:rFonts w:eastAsiaTheme="minorEastAsia"/>
        </w:rPr>
        <w:t xml:space="preserve"> </w:t>
      </w:r>
      <w:r>
        <w:rPr>
          <w:rFonts w:hint="eastAsia" w:eastAsiaTheme="minorEastAsia"/>
        </w:rPr>
        <w:t>27632-2011)</w:t>
      </w:r>
      <w:bookmarkEnd w:id="226"/>
      <w:r>
        <w:rPr>
          <w:rFonts w:hint="eastAsia" w:eastAsiaTheme="minorEastAsia"/>
        </w:rPr>
        <w:t>要求：大气污染物排放浓度限值适用于单位胶料实际排气量不高于单位胶料基准排气量的情况。若单位胶料实际排气量超过单位胶料基准排气量，须将实测大气污染物浓度换算为大气污染物基准气量排放浓度，并以大气污染物基准气量排放浓度作为判定排放是否达标的依据。</w:t>
      </w:r>
    </w:p>
    <w:p>
      <w:pPr>
        <w:ind w:firstLine="480"/>
        <w:rPr>
          <w:rFonts w:eastAsiaTheme="minorEastAsia"/>
        </w:rPr>
      </w:pPr>
      <w:r>
        <w:rPr>
          <w:rFonts w:hint="eastAsia" w:eastAsiaTheme="minorEastAsia"/>
        </w:rPr>
        <w:t>大气污染物基准气量排放浓度换算公式为：</w:t>
      </w:r>
    </w:p>
    <w:p>
      <w:pPr>
        <w:ind w:firstLine="480"/>
        <w:jc w:val="center"/>
        <w:rPr>
          <w:rFonts w:eastAsiaTheme="minorEastAsia"/>
        </w:rPr>
      </w:pPr>
      <w:r>
        <w:rPr>
          <w:rFonts w:eastAsiaTheme="minorEastAsia"/>
        </w:rPr>
        <w:drawing>
          <wp:inline distT="0" distB="0" distL="114300" distR="114300">
            <wp:extent cx="1582420" cy="659130"/>
            <wp:effectExtent l="0" t="0" r="17780" b="7620"/>
            <wp:docPr id="20"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8"/>
                    <pic:cNvPicPr>
                      <a:picLocks noChangeAspect="1"/>
                    </pic:cNvPicPr>
                  </pic:nvPicPr>
                  <pic:blipFill>
                    <a:blip r:embed="rId53"/>
                    <a:stretch>
                      <a:fillRect/>
                    </a:stretch>
                  </pic:blipFill>
                  <pic:spPr>
                    <a:xfrm>
                      <a:off x="0" y="0"/>
                      <a:ext cx="1582420" cy="659130"/>
                    </a:xfrm>
                    <a:prstGeom prst="rect">
                      <a:avLst/>
                    </a:prstGeom>
                    <a:noFill/>
                    <a:ln w="9525">
                      <a:noFill/>
                    </a:ln>
                  </pic:spPr>
                </pic:pic>
              </a:graphicData>
            </a:graphic>
          </wp:inline>
        </w:drawing>
      </w:r>
    </w:p>
    <w:p>
      <w:pPr>
        <w:ind w:firstLine="480"/>
        <w:rPr>
          <w:rFonts w:eastAsiaTheme="minorEastAsia"/>
        </w:rPr>
      </w:pPr>
      <w:r>
        <w:rPr>
          <w:rFonts w:hint="eastAsia" w:eastAsiaTheme="minorEastAsia"/>
        </w:rPr>
        <w:t>式中：</w:t>
      </w:r>
      <w:r>
        <w:rPr>
          <w:rFonts w:cs="Times New Roman" w:eastAsiaTheme="minorEastAsia"/>
        </w:rPr>
        <w:t>ρ</w:t>
      </w:r>
      <w:r>
        <w:rPr>
          <w:rFonts w:cs="Times New Roman" w:eastAsiaTheme="minorEastAsia"/>
          <w:vertAlign w:val="subscript"/>
        </w:rPr>
        <w:t>基</w:t>
      </w:r>
      <w:r>
        <w:rPr>
          <w:rFonts w:hint="eastAsia" w:eastAsiaTheme="minorEastAsia"/>
        </w:rPr>
        <w:t>——大气污染物基准气量排放浓度，mg/m</w:t>
      </w:r>
      <w:r>
        <w:rPr>
          <w:rFonts w:hint="eastAsia" w:eastAsiaTheme="minorEastAsia"/>
          <w:vertAlign w:val="superscript"/>
        </w:rPr>
        <w:t>3</w:t>
      </w:r>
      <w:r>
        <w:rPr>
          <w:rFonts w:hint="eastAsia" w:eastAsiaTheme="minorEastAsia"/>
        </w:rPr>
        <w:t>；</w:t>
      </w:r>
    </w:p>
    <w:p>
      <w:pPr>
        <w:ind w:firstLine="480"/>
        <w:rPr>
          <w:rFonts w:eastAsiaTheme="minorEastAsia"/>
        </w:rPr>
      </w:pPr>
      <w:r>
        <w:rPr>
          <w:rFonts w:hint="eastAsia" w:eastAsiaTheme="minorEastAsia"/>
        </w:rPr>
        <w:t xml:space="preserve">      </w:t>
      </w:r>
      <w:r>
        <w:rPr>
          <w:rFonts w:cs="Times New Roman" w:eastAsiaTheme="minorEastAsia"/>
        </w:rPr>
        <w:t>Q</w:t>
      </w:r>
      <w:r>
        <w:rPr>
          <w:rFonts w:cs="Times New Roman" w:eastAsiaTheme="minorEastAsia"/>
          <w:vertAlign w:val="subscript"/>
        </w:rPr>
        <w:t>总</w:t>
      </w:r>
      <w:r>
        <w:rPr>
          <w:rFonts w:hint="eastAsia" w:eastAsiaTheme="minorEastAsia"/>
        </w:rPr>
        <w:t>——实测排气总量，m</w:t>
      </w:r>
      <w:r>
        <w:rPr>
          <w:rFonts w:hint="eastAsia" w:eastAsiaTheme="minorEastAsia"/>
          <w:vertAlign w:val="superscript"/>
        </w:rPr>
        <w:t>3</w:t>
      </w:r>
      <w:r>
        <w:rPr>
          <w:rFonts w:hint="eastAsia" w:eastAsiaTheme="minorEastAsia"/>
        </w:rPr>
        <w:t>；</w:t>
      </w:r>
    </w:p>
    <w:p>
      <w:pPr>
        <w:ind w:firstLine="480"/>
        <w:rPr>
          <w:rFonts w:eastAsiaTheme="minorEastAsia"/>
        </w:rPr>
      </w:pPr>
      <w:r>
        <w:rPr>
          <w:rFonts w:hint="eastAsia" w:eastAsiaTheme="minorEastAsia"/>
        </w:rPr>
        <w:t xml:space="preserve">      Yi——第i种产品胶料消耗量；t；</w:t>
      </w:r>
    </w:p>
    <w:p>
      <w:pPr>
        <w:ind w:firstLine="480"/>
        <w:rPr>
          <w:rFonts w:eastAsiaTheme="minorEastAsia"/>
        </w:rPr>
      </w:pPr>
      <w:r>
        <w:rPr>
          <w:rFonts w:hint="eastAsia" w:eastAsiaTheme="minorEastAsia"/>
        </w:rPr>
        <w:t xml:space="preserve">      Q</w:t>
      </w:r>
      <w:r>
        <w:rPr>
          <w:rFonts w:hint="eastAsia" w:eastAsiaTheme="minorEastAsia"/>
          <w:vertAlign w:val="subscript"/>
        </w:rPr>
        <w:t>i基</w:t>
      </w:r>
      <w:r>
        <w:rPr>
          <w:rFonts w:hint="eastAsia" w:eastAsiaTheme="minorEastAsia"/>
        </w:rPr>
        <w:t>——第i种产品的单位胶料基准排气量，m</w:t>
      </w:r>
      <w:r>
        <w:rPr>
          <w:rFonts w:hint="eastAsia" w:eastAsiaTheme="minorEastAsia"/>
          <w:vertAlign w:val="superscript"/>
        </w:rPr>
        <w:t>3</w:t>
      </w:r>
      <w:r>
        <w:rPr>
          <w:rFonts w:hint="eastAsia" w:eastAsiaTheme="minorEastAsia"/>
        </w:rPr>
        <w:t>/t胶；</w:t>
      </w:r>
    </w:p>
    <w:p>
      <w:pPr>
        <w:ind w:firstLine="480"/>
        <w:rPr>
          <w:rFonts w:eastAsiaTheme="minorEastAsia"/>
        </w:rPr>
      </w:pPr>
      <w:r>
        <w:rPr>
          <w:rFonts w:hint="eastAsia" w:eastAsiaTheme="minorEastAsia"/>
        </w:rPr>
        <w:t xml:space="preserve">      </w:t>
      </w:r>
      <w:r>
        <w:rPr>
          <w:rFonts w:cs="Times New Roman" w:eastAsiaTheme="minorEastAsia"/>
        </w:rPr>
        <w:t>ρ</w:t>
      </w:r>
      <w:r>
        <w:rPr>
          <w:rFonts w:hint="eastAsia" w:eastAsiaTheme="minorEastAsia"/>
          <w:vertAlign w:val="subscript"/>
        </w:rPr>
        <w:t>实</w:t>
      </w:r>
      <w:r>
        <w:rPr>
          <w:rFonts w:hint="eastAsia" w:eastAsiaTheme="minorEastAsia"/>
        </w:rPr>
        <w:t>——实测大气污染物排放浓度，mg/m</w:t>
      </w:r>
      <w:r>
        <w:rPr>
          <w:rFonts w:hint="eastAsia" w:eastAsiaTheme="minorEastAsia"/>
          <w:vertAlign w:val="superscript"/>
        </w:rPr>
        <w:t>3</w:t>
      </w:r>
      <w:r>
        <w:rPr>
          <w:rFonts w:hint="eastAsia" w:eastAsiaTheme="minorEastAsia"/>
        </w:rPr>
        <w:t>。</w:t>
      </w:r>
    </w:p>
    <w:p>
      <w:pPr>
        <w:ind w:firstLine="480"/>
      </w:pPr>
      <w:r>
        <w:rPr>
          <w:rFonts w:hint="eastAsia"/>
        </w:rPr>
        <w:t>《橡胶制品工业污染物排放标准》（</w:t>
      </w:r>
      <w:r>
        <w:t>GB 27632-2001</w:t>
      </w:r>
      <w:r>
        <w:rPr>
          <w:rFonts w:hint="eastAsia"/>
        </w:rPr>
        <w:t>）中橡胶制品企业非甲烷总烃、颗粒物基准排气量均为</w:t>
      </w:r>
      <w:r>
        <w:t>2000m</w:t>
      </w:r>
      <w:r>
        <w:rPr>
          <w:vertAlign w:val="superscript"/>
        </w:rPr>
        <w:t>3</w:t>
      </w:r>
      <w:r>
        <w:t xml:space="preserve">/t </w:t>
      </w:r>
      <w:r>
        <w:rPr>
          <w:rFonts w:hint="eastAsia"/>
        </w:rPr>
        <w:t>胶，项目胶用量约为</w:t>
      </w:r>
      <w:r>
        <w:t>400</w:t>
      </w:r>
      <w:r>
        <w:rPr>
          <w:rFonts w:hint="eastAsia"/>
        </w:rPr>
        <w:t>t/a（</w:t>
      </w:r>
      <w:r>
        <w:t>1.333 t/d</w:t>
      </w:r>
      <w:r>
        <w:rPr>
          <w:rFonts w:hint="eastAsia"/>
        </w:rPr>
        <w:t>）胶料消耗量和排气量统计周期为一个工作日，最大工况下，密炼炼胶量为</w:t>
      </w:r>
      <w:r>
        <w:t>1.333</w:t>
      </w:r>
      <w:r>
        <w:rPr>
          <w:rFonts w:hint="eastAsia"/>
        </w:rPr>
        <w:t>t/d×</w:t>
      </w:r>
      <w:r>
        <w:t>1</w:t>
      </w:r>
      <w:r>
        <w:rPr>
          <w:rFonts w:hint="eastAsia"/>
        </w:rPr>
        <w:t>=</w:t>
      </w:r>
      <w:r>
        <w:t>1.333t/d</w:t>
      </w:r>
      <w:r>
        <w:rPr>
          <w:rFonts w:hint="eastAsia"/>
        </w:rPr>
        <w:t>，开炼炼胶量为</w:t>
      </w:r>
      <w:r>
        <w:t>1.333</w:t>
      </w:r>
      <w:r>
        <w:rPr>
          <w:rFonts w:hint="eastAsia"/>
        </w:rPr>
        <w:t>0t/d×</w:t>
      </w:r>
      <w:r>
        <w:t>2</w:t>
      </w:r>
      <w:r>
        <w:rPr>
          <w:rFonts w:hint="eastAsia"/>
        </w:rPr>
        <w:t>=</w:t>
      </w:r>
      <w:r>
        <w:t>2.666t/d</w:t>
      </w:r>
      <w:r>
        <w:rPr>
          <w:rFonts w:hint="eastAsia"/>
        </w:rPr>
        <w:t>，总炼胶量以</w:t>
      </w:r>
      <w:r>
        <w:t>1.333</w:t>
      </w:r>
      <w:r>
        <w:rPr>
          <w:rFonts w:hint="eastAsia"/>
        </w:rPr>
        <w:t>+</w:t>
      </w:r>
      <w:r>
        <w:t>2.666</w:t>
      </w:r>
      <w:r>
        <w:rPr>
          <w:rFonts w:hint="eastAsia"/>
        </w:rPr>
        <w:t>+</w:t>
      </w:r>
      <w:r>
        <w:t>1.333t/d=5.332t/d</w:t>
      </w:r>
      <w:r>
        <w:rPr>
          <w:rFonts w:hint="eastAsia"/>
        </w:rPr>
        <w:t>计。根据项目拟建废气处理系统总排气量为</w:t>
      </w:r>
      <w:r>
        <w:t>22000 m</w:t>
      </w:r>
      <w:r>
        <w:rPr>
          <w:vertAlign w:val="superscript"/>
        </w:rPr>
        <w:t>3</w:t>
      </w:r>
      <w:r>
        <w:t>/</w:t>
      </w:r>
      <w:r>
        <w:rPr>
          <w:rFonts w:hint="eastAsia"/>
        </w:rPr>
        <w:t>h，每日排放时间以</w:t>
      </w:r>
      <w:r>
        <w:t>8</w:t>
      </w:r>
      <w:r>
        <w:rPr>
          <w:rFonts w:hint="eastAsia"/>
        </w:rPr>
        <w:t>h计，可得一个工作日排气量约为</w:t>
      </w:r>
      <w:r>
        <w:t>17.60</w:t>
      </w:r>
      <w:r>
        <w:rPr>
          <w:rFonts w:hint="eastAsia"/>
        </w:rPr>
        <w:t>万</w:t>
      </w:r>
      <w:r>
        <w:t>m</w:t>
      </w:r>
      <w:r>
        <w:rPr>
          <w:vertAlign w:val="superscript"/>
        </w:rPr>
        <w:t>3</w:t>
      </w:r>
      <w:r>
        <w:t>/d</w:t>
      </w:r>
      <w:r>
        <w:rPr>
          <w:rFonts w:hint="eastAsia"/>
        </w:rPr>
        <w:t>，密炼、开炼、硫化工序单位胶料排气量约为</w:t>
      </w:r>
      <w:r>
        <w:t>33008 m</w:t>
      </w:r>
      <w:r>
        <w:rPr>
          <w:vertAlign w:val="superscript"/>
        </w:rPr>
        <w:t>3</w:t>
      </w:r>
      <w:r>
        <w:t xml:space="preserve">/t </w:t>
      </w:r>
      <w:r>
        <w:rPr>
          <w:rFonts w:hint="eastAsia"/>
        </w:rPr>
        <w:t>胶。</w:t>
      </w:r>
    </w:p>
    <w:p>
      <w:pPr>
        <w:ind w:firstLine="480"/>
        <w:rPr>
          <w:rFonts w:eastAsiaTheme="minorEastAsia"/>
        </w:rPr>
      </w:pPr>
      <w:r>
        <w:rPr>
          <w:rFonts w:hint="eastAsia" w:eastAsiaTheme="minorEastAsia"/>
        </w:rPr>
        <w:t>可知项目单位胶料实际排气量高于单位胶料基准排气量</w:t>
      </w:r>
      <w:r>
        <w:rPr>
          <w:rFonts w:eastAsiaTheme="minorEastAsia"/>
        </w:rPr>
        <w:t>2000m</w:t>
      </w:r>
      <w:r>
        <w:rPr>
          <w:rFonts w:eastAsiaTheme="minorEastAsia"/>
          <w:vertAlign w:val="superscript"/>
        </w:rPr>
        <w:t>3</w:t>
      </w:r>
      <w:r>
        <w:rPr>
          <w:rFonts w:eastAsiaTheme="minorEastAsia"/>
        </w:rPr>
        <w:t xml:space="preserve">/t </w:t>
      </w:r>
      <w:r>
        <w:rPr>
          <w:rFonts w:hint="eastAsia" w:eastAsiaTheme="minorEastAsia"/>
        </w:rPr>
        <w:t>胶，须按大气基准气量排放浓度公式进行换算，详见下表。</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2.8</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21</w:t>
      </w:r>
      <w:r>
        <w:fldChar w:fldCharType="end"/>
      </w:r>
      <w:r>
        <w:t xml:space="preserve"> </w:t>
      </w:r>
      <w:r>
        <w:rPr>
          <w:rFonts w:hint="eastAsia"/>
        </w:rPr>
        <w:t>炼胶、硫化装置基准气量排放浓度换算一览表</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8"/>
        <w:gridCol w:w="933"/>
        <w:gridCol w:w="1049"/>
        <w:gridCol w:w="1049"/>
        <w:gridCol w:w="1049"/>
        <w:gridCol w:w="1049"/>
        <w:gridCol w:w="1049"/>
        <w:gridCol w:w="10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838" w:type="dxa"/>
            <w:tcBorders>
              <w:bottom w:val="single" w:color="auto" w:sz="4" w:space="0"/>
            </w:tcBorders>
            <w:vAlign w:val="center"/>
          </w:tcPr>
          <w:p>
            <w:pPr>
              <w:pStyle w:val="107"/>
              <w:rPr>
                <w:b/>
              </w:rPr>
            </w:pPr>
            <w:r>
              <w:rPr>
                <w:rFonts w:hint="eastAsia"/>
                <w:b/>
              </w:rPr>
              <w:t>污染源</w:t>
            </w:r>
          </w:p>
        </w:tc>
        <w:tc>
          <w:tcPr>
            <w:tcW w:w="933" w:type="dxa"/>
            <w:tcBorders>
              <w:bottom w:val="single" w:color="auto" w:sz="4" w:space="0"/>
            </w:tcBorders>
            <w:vAlign w:val="center"/>
          </w:tcPr>
          <w:p>
            <w:pPr>
              <w:pStyle w:val="107"/>
              <w:rPr>
                <w:b/>
              </w:rPr>
            </w:pPr>
            <w:r>
              <w:rPr>
                <w:b/>
              </w:rPr>
              <w:t>污染物</w:t>
            </w:r>
          </w:p>
        </w:tc>
        <w:tc>
          <w:tcPr>
            <w:tcW w:w="1049" w:type="dxa"/>
            <w:tcBorders>
              <w:bottom w:val="single" w:color="auto" w:sz="4" w:space="0"/>
            </w:tcBorders>
            <w:vAlign w:val="center"/>
          </w:tcPr>
          <w:p>
            <w:pPr>
              <w:spacing w:line="240" w:lineRule="auto"/>
              <w:ind w:firstLine="0" w:firstLineChars="0"/>
              <w:jc w:val="center"/>
              <w:rPr>
                <w:rFonts w:cs="Times New Roman" w:eastAsiaTheme="minorEastAsia"/>
                <w:b/>
                <w:sz w:val="21"/>
                <w:szCs w:val="21"/>
                <w:vertAlign w:val="subscript"/>
              </w:rPr>
            </w:pPr>
            <w:r>
              <w:rPr>
                <w:rFonts w:cs="Times New Roman" w:eastAsiaTheme="minorEastAsia"/>
                <w:b/>
                <w:sz w:val="21"/>
                <w:szCs w:val="21"/>
              </w:rPr>
              <w:t>Q</w:t>
            </w:r>
            <w:r>
              <w:rPr>
                <w:rFonts w:cs="Times New Roman" w:eastAsiaTheme="minorEastAsia"/>
                <w:b/>
                <w:sz w:val="21"/>
                <w:szCs w:val="21"/>
                <w:vertAlign w:val="subscript"/>
              </w:rPr>
              <w:t>总</w:t>
            </w:r>
          </w:p>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万m</w:t>
            </w:r>
            <w:r>
              <w:rPr>
                <w:rFonts w:cs="Times New Roman" w:eastAsiaTheme="minorEastAsia"/>
                <w:b/>
                <w:sz w:val="21"/>
                <w:szCs w:val="21"/>
                <w:vertAlign w:val="superscript"/>
              </w:rPr>
              <w:t>3</w:t>
            </w:r>
            <w:r>
              <w:rPr>
                <w:rFonts w:cs="Times New Roman" w:eastAsiaTheme="minorEastAsia"/>
                <w:b/>
                <w:sz w:val="21"/>
                <w:szCs w:val="21"/>
              </w:rPr>
              <w:t>/</w:t>
            </w:r>
            <w:r>
              <w:rPr>
                <w:rFonts w:hint="eastAsia" w:cs="Times New Roman" w:eastAsiaTheme="minorEastAsia"/>
                <w:b/>
                <w:sz w:val="21"/>
                <w:szCs w:val="21"/>
              </w:rPr>
              <w:t>d</w:t>
            </w:r>
          </w:p>
        </w:tc>
        <w:tc>
          <w:tcPr>
            <w:tcW w:w="1049" w:type="dxa"/>
            <w:tcBorders>
              <w:bottom w:val="single" w:color="auto" w:sz="4" w:space="0"/>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Yi</w:t>
            </w:r>
          </w:p>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t/</w:t>
            </w:r>
            <w:r>
              <w:rPr>
                <w:rFonts w:hint="eastAsia" w:cs="Times New Roman" w:eastAsiaTheme="minorEastAsia"/>
                <w:b/>
                <w:sz w:val="21"/>
                <w:szCs w:val="21"/>
              </w:rPr>
              <w:t>d</w:t>
            </w:r>
          </w:p>
        </w:tc>
        <w:tc>
          <w:tcPr>
            <w:tcW w:w="1049" w:type="dxa"/>
            <w:tcBorders>
              <w:bottom w:val="single" w:color="auto" w:sz="4" w:space="0"/>
            </w:tcBorders>
            <w:vAlign w:val="center"/>
          </w:tcPr>
          <w:p>
            <w:pPr>
              <w:spacing w:line="240" w:lineRule="auto"/>
              <w:ind w:firstLine="0" w:firstLineChars="0"/>
              <w:jc w:val="center"/>
              <w:rPr>
                <w:rFonts w:cs="Times New Roman" w:eastAsiaTheme="minorEastAsia"/>
                <w:b/>
                <w:sz w:val="21"/>
                <w:szCs w:val="21"/>
                <w:vertAlign w:val="subscript"/>
              </w:rPr>
            </w:pPr>
            <w:r>
              <w:rPr>
                <w:rFonts w:cs="Times New Roman" w:eastAsiaTheme="minorEastAsia"/>
                <w:b/>
                <w:sz w:val="21"/>
                <w:szCs w:val="21"/>
              </w:rPr>
              <w:t>Q</w:t>
            </w:r>
            <w:r>
              <w:rPr>
                <w:rFonts w:cs="Times New Roman" w:eastAsiaTheme="minorEastAsia"/>
                <w:b/>
                <w:sz w:val="21"/>
                <w:szCs w:val="21"/>
                <w:vertAlign w:val="subscript"/>
              </w:rPr>
              <w:t>i基</w:t>
            </w:r>
          </w:p>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m</w:t>
            </w:r>
            <w:r>
              <w:rPr>
                <w:rFonts w:cs="Times New Roman" w:eastAsiaTheme="minorEastAsia"/>
                <w:b/>
                <w:sz w:val="21"/>
                <w:szCs w:val="21"/>
                <w:vertAlign w:val="superscript"/>
              </w:rPr>
              <w:t>3</w:t>
            </w:r>
            <w:r>
              <w:rPr>
                <w:rFonts w:cs="Times New Roman" w:eastAsiaTheme="minorEastAsia"/>
                <w:b/>
                <w:sz w:val="21"/>
                <w:szCs w:val="21"/>
              </w:rPr>
              <w:t>/t胶</w:t>
            </w:r>
          </w:p>
        </w:tc>
        <w:tc>
          <w:tcPr>
            <w:tcW w:w="1049" w:type="dxa"/>
            <w:tcBorders>
              <w:bottom w:val="single" w:color="auto" w:sz="4" w:space="0"/>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ρ</w:t>
            </w:r>
            <w:r>
              <w:rPr>
                <w:rFonts w:cs="Times New Roman" w:eastAsiaTheme="minorEastAsia"/>
                <w:b/>
                <w:sz w:val="21"/>
                <w:szCs w:val="21"/>
                <w:vertAlign w:val="subscript"/>
              </w:rPr>
              <w:t>实</w:t>
            </w:r>
          </w:p>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mg/m</w:t>
            </w:r>
            <w:r>
              <w:rPr>
                <w:rFonts w:cs="Times New Roman" w:eastAsiaTheme="minorEastAsia"/>
                <w:b/>
                <w:sz w:val="21"/>
                <w:szCs w:val="21"/>
                <w:vertAlign w:val="superscript"/>
              </w:rPr>
              <w:t>3</w:t>
            </w:r>
          </w:p>
        </w:tc>
        <w:tc>
          <w:tcPr>
            <w:tcW w:w="1049" w:type="dxa"/>
            <w:tcBorders>
              <w:bottom w:val="single" w:color="auto" w:sz="4" w:space="0"/>
            </w:tcBorders>
            <w:vAlign w:val="center"/>
          </w:tcPr>
          <w:p>
            <w:pPr>
              <w:spacing w:line="240" w:lineRule="auto"/>
              <w:ind w:firstLine="0" w:firstLineChars="0"/>
              <w:jc w:val="center"/>
              <w:rPr>
                <w:rFonts w:cs="Times New Roman" w:eastAsiaTheme="minorEastAsia"/>
                <w:b/>
                <w:sz w:val="21"/>
                <w:szCs w:val="21"/>
                <w:vertAlign w:val="subscript"/>
              </w:rPr>
            </w:pPr>
            <w:r>
              <w:rPr>
                <w:rFonts w:cs="Times New Roman" w:eastAsiaTheme="minorEastAsia"/>
                <w:b/>
                <w:sz w:val="21"/>
                <w:szCs w:val="21"/>
              </w:rPr>
              <w:t>ρ</w:t>
            </w:r>
            <w:r>
              <w:rPr>
                <w:rFonts w:cs="Times New Roman" w:eastAsiaTheme="minorEastAsia"/>
                <w:b/>
                <w:sz w:val="21"/>
                <w:szCs w:val="21"/>
                <w:vertAlign w:val="subscript"/>
              </w:rPr>
              <w:t>基</w:t>
            </w:r>
          </w:p>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mg/m</w:t>
            </w:r>
            <w:r>
              <w:rPr>
                <w:rFonts w:cs="Times New Roman" w:eastAsiaTheme="minorEastAsia"/>
                <w:b/>
                <w:sz w:val="21"/>
                <w:szCs w:val="21"/>
                <w:vertAlign w:val="superscript"/>
              </w:rPr>
              <w:t>3</w:t>
            </w:r>
          </w:p>
        </w:tc>
        <w:tc>
          <w:tcPr>
            <w:tcW w:w="1044" w:type="dxa"/>
            <w:tcBorders>
              <w:bottom w:val="single" w:color="auto" w:sz="4" w:space="0"/>
            </w:tcBorders>
            <w:vAlign w:val="center"/>
          </w:tcPr>
          <w:p>
            <w:pPr>
              <w:spacing w:line="240" w:lineRule="auto"/>
              <w:ind w:firstLine="0" w:firstLineChars="0"/>
              <w:jc w:val="center"/>
              <w:rPr>
                <w:rFonts w:cs="Times New Roman" w:eastAsiaTheme="minorEastAsia"/>
                <w:b/>
                <w:sz w:val="21"/>
                <w:szCs w:val="21"/>
                <w:vertAlign w:val="subscript"/>
              </w:rPr>
            </w:pPr>
            <w:r>
              <w:rPr>
                <w:rFonts w:cs="Times New Roman" w:eastAsiaTheme="minorEastAsia"/>
                <w:b/>
                <w:sz w:val="21"/>
                <w:szCs w:val="21"/>
              </w:rPr>
              <w:t>ρ</w:t>
            </w:r>
            <w:r>
              <w:rPr>
                <w:rFonts w:cs="Times New Roman" w:eastAsiaTheme="minorEastAsia"/>
                <w:b/>
                <w:sz w:val="21"/>
                <w:szCs w:val="21"/>
                <w:vertAlign w:val="subscript"/>
              </w:rPr>
              <w:t>标</w:t>
            </w:r>
          </w:p>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mg/m</w:t>
            </w:r>
            <w:r>
              <w:rPr>
                <w:rFonts w:cs="Times New Roman" w:eastAsiaTheme="minorEastAsia"/>
                <w:b/>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838" w:type="dxa"/>
            <w:tcBorders>
              <w:top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配料、投料、密炼粉尘</w:t>
            </w:r>
          </w:p>
        </w:tc>
        <w:tc>
          <w:tcPr>
            <w:tcW w:w="933"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颗粒物</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 xml:space="preserve">17.60 </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1.333 </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2000</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0.09 </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5.94</w:t>
            </w:r>
            <w:r>
              <w:rPr>
                <w:rStyle w:val="63"/>
                <w:rFonts w:hint="eastAsia"/>
                <w:color w:val="000000" w:themeColor="text1"/>
                <w14:textFill>
                  <w14:solidFill>
                    <w14:schemeClr w14:val="tx1"/>
                  </w14:solidFill>
                </w14:textFill>
              </w:rPr>
              <w:t xml:space="preserve"> </w:t>
            </w:r>
          </w:p>
        </w:tc>
        <w:tc>
          <w:tcPr>
            <w:tcW w:w="104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8" w:hRule="atLeast"/>
        </w:trPr>
        <w:tc>
          <w:tcPr>
            <w:tcW w:w="1838" w:type="dxa"/>
            <w:tcBorders>
              <w:top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密炼、开炼、硫化废气</w:t>
            </w:r>
          </w:p>
        </w:tc>
        <w:tc>
          <w:tcPr>
            <w:tcW w:w="933" w:type="dxa"/>
            <w:tcBorders>
              <w:top w:val="single" w:color="auto" w:sz="4" w:space="0"/>
              <w:left w:val="single" w:color="auto" w:sz="4" w:space="0"/>
              <w:bottom w:val="single" w:color="auto" w:sz="4" w:space="0"/>
              <w:right w:val="single" w:color="auto" w:sz="4" w:space="0"/>
            </w:tcBorders>
            <w:vAlign w:val="center"/>
          </w:tcPr>
          <w:p>
            <w:pPr>
              <w:pStyle w:val="107"/>
            </w:pPr>
            <w:r>
              <w:t>非甲烷总烃</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 xml:space="preserve">17.60  </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5.332 </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2000</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 xml:space="preserve">9 </w:t>
            </w:r>
          </w:p>
        </w:tc>
        <w:tc>
          <w:tcPr>
            <w:tcW w:w="104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6.44</w:t>
            </w:r>
            <w:r>
              <w:rPr>
                <w:rStyle w:val="63"/>
                <w:rFonts w:hint="eastAsia"/>
                <w:color w:val="000000" w:themeColor="text1"/>
                <w14:textFill>
                  <w14:solidFill>
                    <w14:schemeClr w14:val="tx1"/>
                  </w14:solidFill>
                </w14:textFill>
              </w:rPr>
              <w:t xml:space="preserve"> </w:t>
            </w:r>
          </w:p>
        </w:tc>
        <w:tc>
          <w:tcPr>
            <w:tcW w:w="104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8" w:hRule="atLeast"/>
        </w:trPr>
        <w:tc>
          <w:tcPr>
            <w:tcW w:w="9060" w:type="dxa"/>
            <w:gridSpan w:val="8"/>
            <w:tcBorders>
              <w:top w:val="single" w:color="auto" w:sz="4" w:space="0"/>
              <w:bottom w:val="single" w:color="auto" w:sz="4" w:space="0"/>
            </w:tcBorders>
            <w:vAlign w:val="center"/>
          </w:tcPr>
          <w:p>
            <w:pPr>
              <w:pStyle w:val="107"/>
              <w:jc w:val="left"/>
              <w:rPr>
                <w:rFonts w:cs="Times New Roman"/>
              </w:rPr>
            </w:pPr>
            <w:r>
              <w:rPr>
                <w:rFonts w:hint="eastAsia"/>
              </w:rPr>
              <w:t>注：同一个排放口，项目橡胶加工量按照工艺节点叠加计算总加工量。胶料加工量和排气量统计周期为一个工作日，密炼、开炼、硫化废气排放时间不同，故本处排气筒废气实际排放浓度ρ实取根据硫化工段平均浓度计算得出的配料、密炼、开炼和硫化工段同时进行时的最大可能排放速率、浓度。</w:t>
            </w:r>
          </w:p>
        </w:tc>
      </w:tr>
    </w:tbl>
    <w:p>
      <w:pPr>
        <w:ind w:firstLine="480"/>
        <w:rPr>
          <w:rFonts w:eastAsiaTheme="minorEastAsia"/>
        </w:rPr>
      </w:pPr>
      <w:r>
        <w:rPr>
          <w:rFonts w:hint="eastAsia"/>
        </w:rPr>
        <w:t>由上表可以看出，最大工况下经收集处理后高空排放的非甲烷总烃、颗粒物的排放浓度经换算后，能够满足《橡胶制品工业污染物排放标准》（</w:t>
      </w:r>
      <w:r>
        <w:t>GB 27632-2011</w:t>
      </w:r>
      <w:r>
        <w:rPr>
          <w:rFonts w:hint="eastAsia"/>
        </w:rPr>
        <w:t>）表</w:t>
      </w:r>
      <w:r>
        <w:t>5</w:t>
      </w:r>
      <w:r>
        <w:rPr>
          <w:rFonts w:hint="eastAsia"/>
        </w:rPr>
        <w:t>中的“轮胎企业及其他制品企业炼胶装置”中的限值要求（非甲烷总烃≤</w:t>
      </w:r>
      <w:r>
        <w:t>10mg/m</w:t>
      </w:r>
      <w:r>
        <w:rPr>
          <w:vertAlign w:val="superscript"/>
        </w:rPr>
        <w:t>3</w:t>
      </w:r>
      <w:r>
        <w:rPr>
          <w:rFonts w:hint="eastAsia"/>
        </w:rPr>
        <w:t>，颗粒物≤</w:t>
      </w:r>
      <w:r>
        <w:t>12mg/m</w:t>
      </w:r>
      <w:r>
        <w:rPr>
          <w:vertAlign w:val="superscript"/>
        </w:rPr>
        <w:t>3</w:t>
      </w:r>
      <w:r>
        <w:rPr>
          <w:rFonts w:hint="eastAsia"/>
        </w:rPr>
        <w:t>，基准排气量：</w:t>
      </w:r>
      <w:r>
        <w:t>2000m</w:t>
      </w:r>
      <w:r>
        <w:rPr>
          <w:vertAlign w:val="superscript"/>
        </w:rPr>
        <w:t>3</w:t>
      </w:r>
      <w:r>
        <w:t>/t</w:t>
      </w:r>
      <w:r>
        <w:rPr>
          <w:rFonts w:hint="eastAsia"/>
        </w:rPr>
        <w:t>胶）。另由</w:t>
      </w:r>
      <w:r>
        <w:fldChar w:fldCharType="begin"/>
      </w:r>
      <w:r>
        <w:instrText xml:space="preserve"> </w:instrText>
      </w:r>
      <w:r>
        <w:rPr>
          <w:rFonts w:hint="eastAsia"/>
        </w:rPr>
        <w:instrText xml:space="preserve">REF _Ref530326508 \r \h</w:instrText>
      </w:r>
      <w:r>
        <w:instrText xml:space="preserve"> </w:instrText>
      </w:r>
      <w:r>
        <w:fldChar w:fldCharType="separate"/>
      </w:r>
      <w:r>
        <w:t>2.8.1.4</w:t>
      </w:r>
      <w:r>
        <w:fldChar w:fldCharType="end"/>
      </w:r>
      <w:r>
        <w:rPr>
          <w:rFonts w:hint="eastAsia"/>
        </w:rPr>
        <w:t>节分析可知，经收集处理后的臭气浓度满足《恶臭污染物排放标准》</w:t>
      </w:r>
      <w:r>
        <w:rPr>
          <w:rFonts w:hint="eastAsia" w:eastAsiaTheme="minorEastAsia"/>
        </w:rPr>
        <w:t>（GB 14554-93）中15m排气筒排放浓度及厂界无组织限值。废气处理系统方案可行。</w:t>
      </w:r>
    </w:p>
    <w:p>
      <w:pPr>
        <w:spacing w:line="240" w:lineRule="auto"/>
        <w:ind w:firstLine="0" w:firstLineChars="0"/>
        <w:sectPr>
          <w:pgSz w:w="11906" w:h="16838"/>
          <w:pgMar w:top="1418" w:right="1418" w:bottom="1418" w:left="1418" w:header="851" w:footer="992" w:gutter="0"/>
          <w:cols w:space="720" w:num="1"/>
          <w:docGrid w:type="lines" w:linePitch="326" w:charSpace="0"/>
        </w:sectPr>
      </w:pPr>
    </w:p>
    <w:p>
      <w:pPr>
        <w:pStyle w:val="6"/>
      </w:pPr>
      <w:r>
        <w:rPr>
          <w:rFonts w:hint="eastAsia"/>
        </w:rPr>
        <w:t>事故工况（非正常工况）废气</w:t>
      </w:r>
    </w:p>
    <w:p>
      <w:pPr>
        <w:ind w:firstLine="480"/>
        <w:rPr>
          <w:rFonts w:eastAsiaTheme="minorEastAsia"/>
        </w:rPr>
      </w:pPr>
      <w:r>
        <w:rPr>
          <w:rFonts w:hint="eastAsia" w:eastAsiaTheme="minorEastAsia"/>
        </w:rPr>
        <w:t>本评价非正常工况是指环保设施发生故障而无法运行时的极端工况，即项目废气处理装置处理效率为零的情况下，废气收集后不经处理直接由排气筒排放。根据前文污染源分析，正常工况下落实整改措施后，有组织废气排放的非正常工况源强见</w:t>
      </w:r>
      <w:r>
        <w:rPr>
          <w:rFonts w:eastAsiaTheme="minorEastAsia"/>
        </w:rPr>
        <w:fldChar w:fldCharType="begin"/>
      </w:r>
      <w:r>
        <w:rPr>
          <w:rFonts w:eastAsiaTheme="minorEastAsia"/>
        </w:rPr>
        <w:instrText xml:space="preserve"> </w:instrText>
      </w:r>
      <w:r>
        <w:rPr>
          <w:rFonts w:hint="eastAsia" w:eastAsiaTheme="minorEastAsia"/>
        </w:rPr>
        <w:instrText xml:space="preserve">REF _Ref530340449 \h</w:instrText>
      </w:r>
      <w:r>
        <w:rPr>
          <w:rFonts w:eastAsiaTheme="minorEastAsia"/>
        </w:rPr>
        <w:instrText xml:space="preserve"> </w:instrText>
      </w:r>
      <w:r>
        <w:rPr>
          <w:rFonts w:eastAsiaTheme="minorEastAsia"/>
        </w:rPr>
        <w:fldChar w:fldCharType="separate"/>
      </w:r>
      <w:r>
        <w:rPr>
          <w:rFonts w:hint="eastAsia"/>
        </w:rPr>
        <w:t xml:space="preserve">表 </w:t>
      </w:r>
      <w:r>
        <w:t>2.8</w:t>
      </w:r>
      <w:r>
        <w:noBreakHyphen/>
      </w:r>
      <w:r>
        <w:t>22</w:t>
      </w:r>
      <w:r>
        <w:rPr>
          <w:rFonts w:eastAsiaTheme="minorEastAsia"/>
        </w:rPr>
        <w:fldChar w:fldCharType="end"/>
      </w:r>
      <w:r>
        <w:rPr>
          <w:rFonts w:hint="eastAsia" w:eastAsiaTheme="minorEastAsia"/>
        </w:rPr>
        <w:t>。</w:t>
      </w:r>
    </w:p>
    <w:p>
      <w:pPr>
        <w:pStyle w:val="18"/>
      </w:pPr>
      <w:bookmarkStart w:id="227" w:name="_Ref530340449"/>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2.8</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22</w:t>
      </w:r>
      <w:r>
        <w:fldChar w:fldCharType="end"/>
      </w:r>
      <w:bookmarkEnd w:id="227"/>
      <w:r>
        <w:t xml:space="preserve"> </w:t>
      </w:r>
      <w:r>
        <w:rPr>
          <w:rFonts w:hint="eastAsia"/>
        </w:rPr>
        <w:t>非正常工况废气排放情况</w:t>
      </w:r>
    </w:p>
    <w:tbl>
      <w:tblPr>
        <w:tblStyle w:val="56"/>
        <w:tblW w:w="90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276"/>
        <w:gridCol w:w="1868"/>
        <w:gridCol w:w="2106"/>
        <w:gridCol w:w="1534"/>
        <w:gridCol w:w="13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0" w:hRule="atLeast"/>
          <w:tblHeader/>
        </w:trPr>
        <w:tc>
          <w:tcPr>
            <w:tcW w:w="959" w:type="dxa"/>
            <w:vAlign w:val="center"/>
          </w:tcPr>
          <w:p>
            <w:pPr>
              <w:pStyle w:val="107"/>
              <w:rPr>
                <w:b/>
              </w:rPr>
            </w:pPr>
            <w:r>
              <w:rPr>
                <w:rFonts w:hint="eastAsia"/>
                <w:b/>
              </w:rPr>
              <w:t>排气筒编号</w:t>
            </w:r>
          </w:p>
        </w:tc>
        <w:tc>
          <w:tcPr>
            <w:tcW w:w="1276" w:type="dxa"/>
            <w:vAlign w:val="center"/>
          </w:tcPr>
          <w:p>
            <w:pPr>
              <w:pStyle w:val="107"/>
              <w:rPr>
                <w:b/>
              </w:rPr>
            </w:pPr>
            <w:r>
              <w:rPr>
                <w:rFonts w:hint="eastAsia"/>
                <w:b/>
              </w:rPr>
              <w:t>污染物</w:t>
            </w:r>
          </w:p>
        </w:tc>
        <w:tc>
          <w:tcPr>
            <w:tcW w:w="1868" w:type="dxa"/>
            <w:vAlign w:val="center"/>
          </w:tcPr>
          <w:p>
            <w:pPr>
              <w:pStyle w:val="107"/>
              <w:rPr>
                <w:b/>
              </w:rPr>
            </w:pPr>
            <w:r>
              <w:rPr>
                <w:rFonts w:hint="eastAsia"/>
                <w:b/>
              </w:rPr>
              <w:t>废气量</w:t>
            </w:r>
            <w:r>
              <w:rPr>
                <w:b/>
              </w:rPr>
              <w:t>(m</w:t>
            </w:r>
            <w:r>
              <w:rPr>
                <w:rFonts w:hint="eastAsia"/>
                <w:b/>
              </w:rPr>
              <w:t>³</w:t>
            </w:r>
            <w:r>
              <w:rPr>
                <w:b/>
              </w:rPr>
              <w:t>/h)</w:t>
            </w:r>
          </w:p>
        </w:tc>
        <w:tc>
          <w:tcPr>
            <w:tcW w:w="2106" w:type="dxa"/>
            <w:vAlign w:val="center"/>
          </w:tcPr>
          <w:p>
            <w:pPr>
              <w:pStyle w:val="107"/>
              <w:rPr>
                <w:b/>
              </w:rPr>
            </w:pPr>
            <w:r>
              <w:rPr>
                <w:rFonts w:hint="eastAsia"/>
                <w:b/>
              </w:rPr>
              <w:t>排放速率（</w:t>
            </w:r>
            <w:r>
              <w:rPr>
                <w:b/>
              </w:rPr>
              <w:t>kg/h</w:t>
            </w:r>
            <w:r>
              <w:rPr>
                <w:rFonts w:hint="eastAsia"/>
                <w:b/>
              </w:rPr>
              <w:t>）</w:t>
            </w:r>
          </w:p>
        </w:tc>
        <w:tc>
          <w:tcPr>
            <w:tcW w:w="1534" w:type="dxa"/>
            <w:vAlign w:val="center"/>
          </w:tcPr>
          <w:p>
            <w:pPr>
              <w:pStyle w:val="107"/>
              <w:rPr>
                <w:b/>
              </w:rPr>
            </w:pPr>
            <w:r>
              <w:rPr>
                <w:rFonts w:hint="eastAsia"/>
                <w:b/>
              </w:rPr>
              <w:t>排放浓度</w:t>
            </w:r>
            <w:r>
              <w:rPr>
                <w:b/>
              </w:rPr>
              <w:t>(mg/m³)</w:t>
            </w:r>
          </w:p>
        </w:tc>
        <w:tc>
          <w:tcPr>
            <w:tcW w:w="1311" w:type="dxa"/>
            <w:vAlign w:val="center"/>
          </w:tcPr>
          <w:p>
            <w:pPr>
              <w:pStyle w:val="107"/>
              <w:rPr>
                <w:b/>
              </w:rPr>
            </w:pPr>
            <w:r>
              <w:rPr>
                <w:rFonts w:hint="eastAsia"/>
                <w:b/>
              </w:rPr>
              <w:t>排气筒高度（</w:t>
            </w:r>
            <w:r>
              <w:rPr>
                <w:b/>
              </w:rPr>
              <w:t>m</w:t>
            </w:r>
            <w:r>
              <w:rPr>
                <w:rFonts w:hint="eastAsia"/>
                <w:b/>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0" w:hRule="atLeast"/>
        </w:trPr>
        <w:tc>
          <w:tcPr>
            <w:tcW w:w="959" w:type="dxa"/>
            <w:vMerge w:val="restart"/>
            <w:vAlign w:val="center"/>
          </w:tcPr>
          <w:p>
            <w:pPr>
              <w:pStyle w:val="107"/>
            </w:pPr>
            <w:r>
              <w:rPr>
                <w:rFonts w:hint="eastAsia"/>
              </w:rPr>
              <w:t>P</w:t>
            </w:r>
            <w:r>
              <w:t>1</w:t>
            </w:r>
          </w:p>
        </w:tc>
        <w:tc>
          <w:tcPr>
            <w:tcW w:w="1276" w:type="dxa"/>
            <w:vAlign w:val="center"/>
          </w:tcPr>
          <w:p>
            <w:pPr>
              <w:pStyle w:val="107"/>
            </w:pPr>
            <w:r>
              <w:rPr>
                <w:rFonts w:hint="eastAsia"/>
              </w:rPr>
              <w:t>颗粒物</w:t>
            </w:r>
          </w:p>
        </w:tc>
        <w:tc>
          <w:tcPr>
            <w:tcW w:w="186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210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1695</w:t>
            </w:r>
            <w:r>
              <w:rPr>
                <w:rStyle w:val="63"/>
                <w:rFonts w:hint="eastAsia"/>
                <w:color w:val="000000" w:themeColor="text1"/>
                <w14:textFill>
                  <w14:solidFill>
                    <w14:schemeClr w14:val="tx1"/>
                  </w14:solidFill>
                </w14:textFill>
              </w:rPr>
              <w:t xml:space="preserve"> </w:t>
            </w:r>
          </w:p>
        </w:tc>
        <w:tc>
          <w:tcPr>
            <w:tcW w:w="153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7.7</w:t>
            </w:r>
            <w:r>
              <w:rPr>
                <w:rStyle w:val="63"/>
                <w:rFonts w:hint="eastAsia"/>
                <w:color w:val="000000" w:themeColor="text1"/>
                <w14:textFill>
                  <w14:solidFill>
                    <w14:schemeClr w14:val="tx1"/>
                  </w14:solidFill>
                </w14:textFill>
              </w:rPr>
              <w:t xml:space="preserve"> </w:t>
            </w:r>
          </w:p>
        </w:tc>
        <w:tc>
          <w:tcPr>
            <w:tcW w:w="1311" w:type="dxa"/>
            <w:vMerge w:val="restart"/>
            <w:vAlign w:val="center"/>
          </w:tcPr>
          <w:p>
            <w:pPr>
              <w:pStyle w:val="107"/>
            </w:pPr>
            <w: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0" w:hRule="atLeast"/>
        </w:trPr>
        <w:tc>
          <w:tcPr>
            <w:tcW w:w="959" w:type="dxa"/>
            <w:vMerge w:val="continue"/>
            <w:vAlign w:val="center"/>
          </w:tcPr>
          <w:p>
            <w:pPr>
              <w:pStyle w:val="107"/>
            </w:pPr>
          </w:p>
        </w:tc>
        <w:tc>
          <w:tcPr>
            <w:tcW w:w="1276" w:type="dxa"/>
            <w:vAlign w:val="center"/>
          </w:tcPr>
          <w:p>
            <w:pPr>
              <w:pStyle w:val="107"/>
            </w:pPr>
            <w:r>
              <w:rPr>
                <w:rFonts w:hint="eastAsia"/>
              </w:rPr>
              <w:t>非甲烷总烃</w:t>
            </w:r>
          </w:p>
        </w:tc>
        <w:tc>
          <w:tcPr>
            <w:tcW w:w="186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210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114</w:t>
            </w:r>
          </w:p>
        </w:tc>
        <w:tc>
          <w:tcPr>
            <w:tcW w:w="153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5.18</w:t>
            </w:r>
          </w:p>
        </w:tc>
        <w:tc>
          <w:tcPr>
            <w:tcW w:w="1311"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9" w:type="dxa"/>
            <w:vMerge w:val="continue"/>
            <w:vAlign w:val="center"/>
          </w:tcPr>
          <w:p>
            <w:pPr>
              <w:pStyle w:val="107"/>
            </w:pPr>
          </w:p>
        </w:tc>
        <w:tc>
          <w:tcPr>
            <w:tcW w:w="1276" w:type="dxa"/>
            <w:vAlign w:val="center"/>
          </w:tcPr>
          <w:p>
            <w:pPr>
              <w:pStyle w:val="107"/>
            </w:pPr>
            <w:r>
              <w:rPr>
                <w:rFonts w:hint="eastAsia"/>
              </w:rPr>
              <w:t>硫化氢</w:t>
            </w:r>
          </w:p>
        </w:tc>
        <w:tc>
          <w:tcPr>
            <w:tcW w:w="1868"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p>
        </w:tc>
        <w:tc>
          <w:tcPr>
            <w:tcW w:w="210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w:t>
            </w:r>
            <w:r>
              <w:rPr>
                <w:rStyle w:val="63"/>
                <w:color w:val="000000" w:themeColor="text1"/>
                <w14:textFill>
                  <w14:solidFill>
                    <w14:schemeClr w14:val="tx1"/>
                  </w14:solidFill>
                </w14:textFill>
              </w:rPr>
              <w:t>425</w:t>
            </w:r>
          </w:p>
        </w:tc>
        <w:tc>
          <w:tcPr>
            <w:tcW w:w="1534"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193</w:t>
            </w:r>
          </w:p>
        </w:tc>
        <w:tc>
          <w:tcPr>
            <w:tcW w:w="1311"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center"/>
          </w:tcPr>
          <w:p>
            <w:pPr>
              <w:pStyle w:val="107"/>
            </w:pPr>
            <w:r>
              <w:rPr>
                <w:rFonts w:hint="eastAsia"/>
              </w:rPr>
              <w:t>P</w:t>
            </w:r>
            <w:r>
              <w:t>2</w:t>
            </w:r>
          </w:p>
        </w:tc>
        <w:tc>
          <w:tcPr>
            <w:tcW w:w="1276" w:type="dxa"/>
            <w:vAlign w:val="center"/>
          </w:tcPr>
          <w:p>
            <w:pPr>
              <w:pStyle w:val="107"/>
            </w:pPr>
            <w:r>
              <w:rPr>
                <w:rFonts w:hint="eastAsia"/>
              </w:rPr>
              <w:t>颗粒物</w:t>
            </w:r>
          </w:p>
        </w:tc>
        <w:tc>
          <w:tcPr>
            <w:tcW w:w="1868"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6</w:t>
            </w:r>
            <w:r>
              <w:rPr>
                <w:rStyle w:val="63"/>
                <w:color w:val="000000" w:themeColor="text1"/>
                <w14:textFill>
                  <w14:solidFill>
                    <w14:schemeClr w14:val="tx1"/>
                  </w14:solidFill>
                </w14:textFill>
              </w:rPr>
              <w:t>000</w:t>
            </w:r>
          </w:p>
        </w:tc>
        <w:tc>
          <w:tcPr>
            <w:tcW w:w="2106"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1.667</w:t>
            </w:r>
          </w:p>
        </w:tc>
        <w:tc>
          <w:tcPr>
            <w:tcW w:w="1534"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277.8</w:t>
            </w:r>
          </w:p>
        </w:tc>
        <w:tc>
          <w:tcPr>
            <w:tcW w:w="1311" w:type="dxa"/>
            <w:vAlign w:val="center"/>
          </w:tcPr>
          <w:p>
            <w:pPr>
              <w:pStyle w:val="107"/>
            </w:pPr>
            <w:r>
              <w:rPr>
                <w:rFonts w:hint="eastAsia"/>
              </w:rPr>
              <w:t>1</w:t>
            </w:r>
            <w:r>
              <w:t>5</w:t>
            </w:r>
          </w:p>
        </w:tc>
      </w:tr>
    </w:tbl>
    <w:p>
      <w:pPr>
        <w:pStyle w:val="5"/>
      </w:pPr>
      <w:bookmarkStart w:id="228" w:name="_Hlk3509404"/>
      <w:r>
        <w:rPr>
          <w:rFonts w:hint="eastAsia"/>
        </w:rPr>
        <w:t>营运期</w:t>
      </w:r>
      <w:r>
        <w:t>水污染源</w:t>
      </w:r>
      <w:r>
        <w:rPr>
          <w:rFonts w:hint="eastAsia"/>
        </w:rPr>
        <w:t>分析</w:t>
      </w:r>
    </w:p>
    <w:bookmarkEnd w:id="228"/>
    <w:p>
      <w:pPr>
        <w:ind w:firstLine="480"/>
        <w:rPr>
          <w:rFonts w:eastAsiaTheme="minorEastAsia"/>
        </w:rPr>
      </w:pPr>
      <w:r>
        <w:rPr>
          <w:rFonts w:hint="eastAsia" w:eastAsiaTheme="minorEastAsia"/>
        </w:rPr>
        <w:t>项目无生产性废水排放，主要水污染源为员工生活污水。</w:t>
      </w:r>
    </w:p>
    <w:p>
      <w:pPr>
        <w:pStyle w:val="126"/>
        <w:numPr>
          <w:ilvl w:val="0"/>
          <w:numId w:val="0"/>
        </w:numPr>
      </w:pPr>
      <w:r>
        <w:rPr>
          <w:rFonts w:hint="eastAsia"/>
        </w:rPr>
        <w:t>（1）生活污水</w:t>
      </w:r>
    </w:p>
    <w:p>
      <w:pPr>
        <w:snapToGrid w:val="0"/>
        <w:ind w:firstLine="480"/>
        <w:rPr>
          <w:rFonts w:eastAsiaTheme="minorEastAsia"/>
        </w:rPr>
      </w:pPr>
      <w:r>
        <w:rPr>
          <w:rFonts w:hint="eastAsia" w:eastAsiaTheme="minorEastAsia"/>
        </w:rPr>
        <w:t>厂区定员</w:t>
      </w:r>
      <w:r>
        <w:rPr>
          <w:rFonts w:eastAsiaTheme="minorEastAsia"/>
        </w:rPr>
        <w:t>30</w:t>
      </w:r>
      <w:r>
        <w:rPr>
          <w:rFonts w:hint="eastAsia" w:eastAsiaTheme="minorEastAsia"/>
        </w:rPr>
        <w:t>人，均不在厂内食宿。参照《广东省用水定额》（</w:t>
      </w:r>
      <w:r>
        <w:rPr>
          <w:rFonts w:eastAsiaTheme="minorEastAsia"/>
        </w:rPr>
        <w:t>DB44/T 1461-2014</w:t>
      </w:r>
      <w:r>
        <w:rPr>
          <w:rFonts w:hint="eastAsia" w:eastAsiaTheme="minorEastAsia"/>
        </w:rPr>
        <w:t>）中有关规定，并类比周边同类企业的用水情况，非住宿人员用水以</w:t>
      </w:r>
      <w:r>
        <w:rPr>
          <w:rFonts w:eastAsiaTheme="minorEastAsia"/>
        </w:rPr>
        <w:t>40L/</w:t>
      </w:r>
      <w:r>
        <w:rPr>
          <w:rFonts w:hint="eastAsia" w:eastAsiaTheme="minorEastAsia"/>
        </w:rPr>
        <w:t>人.d计，</w:t>
      </w:r>
      <w:r>
        <w:rPr>
          <w:rStyle w:val="63"/>
          <w:rFonts w:hint="eastAsia"/>
          <w:color w:val="000000" w:themeColor="text1"/>
          <w14:textFill>
            <w14:solidFill>
              <w14:schemeClr w14:val="tx1"/>
            </w14:solidFill>
          </w14:textFill>
        </w:rPr>
        <w:t>项目年工作日为</w:t>
      </w:r>
      <w:r>
        <w:rPr>
          <w:rStyle w:val="63"/>
          <w:color w:val="000000" w:themeColor="text1"/>
          <w14:textFill>
            <w14:solidFill>
              <w14:schemeClr w14:val="tx1"/>
            </w14:solidFill>
          </w14:textFill>
        </w:rPr>
        <w:t>300</w:t>
      </w:r>
      <w:r>
        <w:rPr>
          <w:rStyle w:val="63"/>
          <w:rFonts w:hint="eastAsia"/>
          <w:color w:val="000000" w:themeColor="text1"/>
          <w14:textFill>
            <w14:solidFill>
              <w14:schemeClr w14:val="tx1"/>
            </w14:solidFill>
          </w14:textFill>
        </w:rPr>
        <w:t>天，</w:t>
      </w:r>
      <w:r>
        <w:rPr>
          <w:rFonts w:hint="eastAsia" w:eastAsiaTheme="minorEastAsia"/>
          <w:color w:val="000000" w:themeColor="text1"/>
          <w14:textFill>
            <w14:solidFill>
              <w14:schemeClr w14:val="tx1"/>
            </w14:solidFill>
          </w14:textFill>
        </w:rPr>
        <w:t>则生活用水量约为</w:t>
      </w:r>
      <w:r>
        <w:rPr>
          <w:rFonts w:eastAsiaTheme="minorEastAsia"/>
          <w:color w:val="000000" w:themeColor="text1"/>
          <w14:textFill>
            <w14:solidFill>
              <w14:schemeClr w14:val="tx1"/>
            </w14:solidFill>
          </w14:textFill>
        </w:rPr>
        <w:t>1.2</w:t>
      </w:r>
      <w:r>
        <w:rPr>
          <w:rFonts w:hint="eastAsia" w:eastAsiaTheme="minorEastAsia"/>
          <w:color w:val="000000" w:themeColor="text1"/>
          <w14:textFill>
            <w14:solidFill>
              <w14:schemeClr w14:val="tx1"/>
            </w14:solidFill>
          </w14:textFill>
        </w:rPr>
        <w:t>m</w:t>
      </w:r>
      <w:r>
        <w:rPr>
          <w:rFonts w:eastAsiaTheme="minorEastAsia"/>
          <w:color w:val="000000" w:themeColor="text1"/>
          <w:vertAlign w:val="superscript"/>
          <w14:textFill>
            <w14:solidFill>
              <w14:schemeClr w14:val="tx1"/>
            </w14:solidFill>
          </w14:textFill>
        </w:rPr>
        <w:t>3</w:t>
      </w:r>
      <w:r>
        <w:rPr>
          <w:rFonts w:eastAsiaTheme="minorEastAsia"/>
          <w:color w:val="000000" w:themeColor="text1"/>
          <w14:textFill>
            <w14:solidFill>
              <w14:schemeClr w14:val="tx1"/>
            </w14:solidFill>
          </w14:textFill>
        </w:rPr>
        <w:t>/d</w:t>
      </w:r>
      <w:r>
        <w:rPr>
          <w:rFonts w:hint="eastAsia" w:eastAsiaTheme="minorEastAsia"/>
          <w:color w:val="000000" w:themeColor="text1"/>
          <w14:textFill>
            <w14:solidFill>
              <w14:schemeClr w14:val="tx1"/>
            </w14:solidFill>
          </w14:textFill>
        </w:rPr>
        <w:t>（</w:t>
      </w:r>
      <w:r>
        <w:rPr>
          <w:rStyle w:val="63"/>
          <w:rFonts w:hint="eastAsia"/>
          <w:color w:val="000000" w:themeColor="text1"/>
          <w14:textFill>
            <w14:solidFill>
              <w14:schemeClr w14:val="tx1"/>
            </w14:solidFill>
          </w14:textFill>
        </w:rPr>
        <w:t>3</w:t>
      </w:r>
      <w:r>
        <w:rPr>
          <w:rStyle w:val="63"/>
          <w:color w:val="000000" w:themeColor="text1"/>
          <w14:textFill>
            <w14:solidFill>
              <w14:schemeClr w14:val="tx1"/>
            </w14:solidFill>
          </w14:textFill>
        </w:rPr>
        <w:t>60</w:t>
      </w:r>
      <w:r>
        <w:rPr>
          <w:rFonts w:hint="eastAsia" w:eastAsiaTheme="minorEastAsia"/>
          <w:color w:val="000000" w:themeColor="text1"/>
          <w14:textFill>
            <w14:solidFill>
              <w14:schemeClr w14:val="tx1"/>
            </w14:solidFill>
          </w14:textFill>
        </w:rPr>
        <w:t xml:space="preserve"> m</w:t>
      </w:r>
      <w:r>
        <w:rPr>
          <w:rFonts w:eastAsiaTheme="minorEastAsia"/>
          <w:color w:val="000000" w:themeColor="text1"/>
          <w:vertAlign w:val="superscript"/>
          <w14:textFill>
            <w14:solidFill>
              <w14:schemeClr w14:val="tx1"/>
            </w14:solidFill>
          </w14:textFill>
        </w:rPr>
        <w:t>3</w:t>
      </w:r>
      <w:r>
        <w:rPr>
          <w:rFonts w:eastAsiaTheme="minorEastAsia"/>
          <w:color w:val="000000" w:themeColor="text1"/>
          <w14:textFill>
            <w14:solidFill>
              <w14:schemeClr w14:val="tx1"/>
            </w14:solidFill>
          </w14:textFill>
        </w:rPr>
        <w:t>/</w:t>
      </w:r>
      <w:r>
        <w:rPr>
          <w:rFonts w:hint="eastAsia" w:eastAsiaTheme="minorEastAsia"/>
          <w:color w:val="000000" w:themeColor="text1"/>
          <w14:textFill>
            <w14:solidFill>
              <w14:schemeClr w14:val="tx1"/>
            </w14:solidFill>
          </w14:textFill>
        </w:rPr>
        <w:t>a）</w:t>
      </w:r>
      <w:r>
        <w:rPr>
          <w:rFonts w:hint="eastAsia" w:eastAsiaTheme="minorEastAsia"/>
        </w:rPr>
        <w:t>。生活污水产生系数取0</w:t>
      </w:r>
      <w:r>
        <w:rPr>
          <w:rFonts w:eastAsiaTheme="minorEastAsia"/>
        </w:rPr>
        <w:t>.9</w:t>
      </w:r>
      <w:r>
        <w:rPr>
          <w:rFonts w:hint="eastAsia" w:eastAsiaTheme="minorEastAsia"/>
        </w:rPr>
        <w:t>，则生活污水产生</w:t>
      </w:r>
      <w:r>
        <w:rPr>
          <w:rFonts w:hint="eastAsia" w:eastAsiaTheme="minorEastAsia"/>
          <w:color w:val="000000" w:themeColor="text1"/>
          <w14:textFill>
            <w14:solidFill>
              <w14:schemeClr w14:val="tx1"/>
            </w14:solidFill>
          </w14:textFill>
        </w:rPr>
        <w:t>量约为</w:t>
      </w:r>
      <w:r>
        <w:rPr>
          <w:rFonts w:eastAsiaTheme="minorEastAsia"/>
          <w:color w:val="000000" w:themeColor="text1"/>
          <w14:textFill>
            <w14:solidFill>
              <w14:schemeClr w14:val="tx1"/>
            </w14:solidFill>
          </w14:textFill>
        </w:rPr>
        <w:t>1.08</w:t>
      </w:r>
      <w:r>
        <w:rPr>
          <w:rFonts w:hint="eastAsia" w:eastAsiaTheme="minorEastAsia"/>
          <w:color w:val="000000" w:themeColor="text1"/>
          <w14:textFill>
            <w14:solidFill>
              <w14:schemeClr w14:val="tx1"/>
            </w14:solidFill>
          </w14:textFill>
        </w:rPr>
        <w:t>m</w:t>
      </w:r>
      <w:r>
        <w:rPr>
          <w:rFonts w:eastAsiaTheme="minorEastAsia"/>
          <w:color w:val="000000" w:themeColor="text1"/>
          <w:vertAlign w:val="superscript"/>
          <w14:textFill>
            <w14:solidFill>
              <w14:schemeClr w14:val="tx1"/>
            </w14:solidFill>
          </w14:textFill>
        </w:rPr>
        <w:t>3</w:t>
      </w:r>
      <w:r>
        <w:rPr>
          <w:rFonts w:eastAsiaTheme="minorEastAsia"/>
          <w:color w:val="000000" w:themeColor="text1"/>
          <w14:textFill>
            <w14:solidFill>
              <w14:schemeClr w14:val="tx1"/>
            </w14:solidFill>
          </w14:textFill>
        </w:rPr>
        <w:t>/d</w:t>
      </w:r>
      <w:r>
        <w:rPr>
          <w:rFonts w:hint="eastAsia" w:eastAsiaTheme="minorEastAsia"/>
          <w:color w:val="000000" w:themeColor="text1"/>
          <w14:textFill>
            <w14:solidFill>
              <w14:schemeClr w14:val="tx1"/>
            </w14:solidFill>
          </w14:textFill>
        </w:rPr>
        <w:t>（</w:t>
      </w:r>
      <w:r>
        <w:rPr>
          <w:rStyle w:val="63"/>
          <w:color w:val="000000" w:themeColor="text1"/>
          <w14:textFill>
            <w14:solidFill>
              <w14:schemeClr w14:val="tx1"/>
            </w14:solidFill>
          </w14:textFill>
        </w:rPr>
        <w:t>324</w:t>
      </w:r>
      <w:r>
        <w:rPr>
          <w:rFonts w:hint="eastAsia" w:eastAsiaTheme="minorEastAsia"/>
          <w:color w:val="000000" w:themeColor="text1"/>
          <w14:textFill>
            <w14:solidFill>
              <w14:schemeClr w14:val="tx1"/>
            </w14:solidFill>
          </w14:textFill>
        </w:rPr>
        <w:t>m</w:t>
      </w:r>
      <w:r>
        <w:rPr>
          <w:rFonts w:eastAsiaTheme="minorEastAsia"/>
          <w:color w:val="000000" w:themeColor="text1"/>
          <w:vertAlign w:val="superscript"/>
          <w14:textFill>
            <w14:solidFill>
              <w14:schemeClr w14:val="tx1"/>
            </w14:solidFill>
          </w14:textFill>
        </w:rPr>
        <w:t>3</w:t>
      </w:r>
      <w:r>
        <w:rPr>
          <w:rFonts w:eastAsiaTheme="minorEastAsia"/>
          <w:color w:val="000000" w:themeColor="text1"/>
          <w14:textFill>
            <w14:solidFill>
              <w14:schemeClr w14:val="tx1"/>
            </w14:solidFill>
          </w14:textFill>
        </w:rPr>
        <w:t>/</w:t>
      </w:r>
      <w:r>
        <w:rPr>
          <w:rFonts w:hint="eastAsia" w:eastAsiaTheme="minorEastAsia"/>
          <w:color w:val="000000" w:themeColor="text1"/>
          <w14:textFill>
            <w14:solidFill>
              <w14:schemeClr w14:val="tx1"/>
            </w14:solidFill>
          </w14:textFill>
        </w:rPr>
        <w:t>a</w:t>
      </w:r>
      <w:r>
        <w:rPr>
          <w:rFonts w:hint="eastAsia" w:eastAsiaTheme="minorEastAsia"/>
        </w:rPr>
        <w:t>）。项目年用胶量为4</w:t>
      </w:r>
      <w:r>
        <w:rPr>
          <w:rFonts w:eastAsiaTheme="minorEastAsia"/>
        </w:rPr>
        <w:t>0</w:t>
      </w:r>
      <w:r>
        <w:rPr>
          <w:rFonts w:hint="eastAsia" w:eastAsiaTheme="minorEastAsia"/>
        </w:rPr>
        <w:t>0 t/a，项目单位用胶排水量约</w:t>
      </w:r>
      <w:r>
        <w:rPr>
          <w:rFonts w:hint="eastAsia" w:eastAsiaTheme="minorEastAsia"/>
          <w:color w:val="000000" w:themeColor="text1"/>
          <w14:textFill>
            <w14:solidFill>
              <w14:schemeClr w14:val="tx1"/>
            </w14:solidFill>
          </w14:textFill>
        </w:rPr>
        <w:t>为</w:t>
      </w:r>
      <w:r>
        <w:rPr>
          <w:rStyle w:val="63"/>
          <w:color w:val="000000" w:themeColor="text1"/>
          <w14:textFill>
            <w14:solidFill>
              <w14:schemeClr w14:val="tx1"/>
            </w14:solidFill>
          </w14:textFill>
        </w:rPr>
        <w:t>0.81</w:t>
      </w:r>
      <w:r>
        <w:rPr>
          <w:rFonts w:hint="eastAsia" w:eastAsiaTheme="minorEastAsia"/>
        </w:rPr>
        <w:t>m</w:t>
      </w:r>
      <w:r>
        <w:rPr>
          <w:rFonts w:hint="eastAsia" w:eastAsiaTheme="minorEastAsia"/>
          <w:vertAlign w:val="superscript"/>
        </w:rPr>
        <w:t>3</w:t>
      </w:r>
      <w:r>
        <w:rPr>
          <w:rFonts w:hint="eastAsia" w:eastAsiaTheme="minorEastAsia"/>
        </w:rPr>
        <w:t>/t胶，低于《橡胶制品工业污染物排放标准》（</w:t>
      </w:r>
      <w:r>
        <w:rPr>
          <w:rFonts w:eastAsiaTheme="minorEastAsia"/>
        </w:rPr>
        <w:t>GB 27632-2011</w:t>
      </w:r>
      <w:r>
        <w:rPr>
          <w:rFonts w:hint="eastAsia" w:eastAsiaTheme="minorEastAsia"/>
        </w:rPr>
        <w:t>）表</w:t>
      </w:r>
      <w:r>
        <w:rPr>
          <w:rFonts w:eastAsiaTheme="minorEastAsia"/>
        </w:rPr>
        <w:t>2</w:t>
      </w:r>
      <w:r>
        <w:rPr>
          <w:rFonts w:hint="eastAsia" w:eastAsiaTheme="minorEastAsia"/>
        </w:rPr>
        <w:t>中基准排水量的要求（标准为</w:t>
      </w:r>
      <w:r>
        <w:rPr>
          <w:rFonts w:eastAsiaTheme="minorEastAsia"/>
        </w:rPr>
        <w:t>7m</w:t>
      </w:r>
      <w:r>
        <w:rPr>
          <w:rFonts w:eastAsiaTheme="minorEastAsia"/>
          <w:vertAlign w:val="superscript"/>
        </w:rPr>
        <w:t>3</w:t>
      </w:r>
      <w:r>
        <w:rPr>
          <w:rFonts w:eastAsiaTheme="minorEastAsia"/>
        </w:rPr>
        <w:t>/t</w:t>
      </w:r>
      <w:r>
        <w:rPr>
          <w:rFonts w:hint="eastAsia" w:eastAsiaTheme="minorEastAsia"/>
        </w:rPr>
        <w:t>胶）。</w:t>
      </w:r>
    </w:p>
    <w:p>
      <w:pPr>
        <w:ind w:firstLine="480"/>
        <w:rPr>
          <w:rFonts w:eastAsiaTheme="minorEastAsia"/>
        </w:rPr>
      </w:pPr>
      <w:r>
        <w:rPr>
          <w:rFonts w:hint="eastAsia" w:eastAsiaTheme="minorEastAsia"/>
        </w:rPr>
        <w:t>项目所在地属于苍城污水处理厂的纳污范围，项目生活污水经预处理达到《橡胶制品工业污染物排放标准》（GB</w:t>
      </w:r>
      <w:r>
        <w:rPr>
          <w:rFonts w:eastAsiaTheme="minorEastAsia"/>
        </w:rPr>
        <w:t xml:space="preserve"> </w:t>
      </w:r>
      <w:r>
        <w:rPr>
          <w:rFonts w:hint="eastAsia" w:eastAsiaTheme="minorEastAsia"/>
        </w:rPr>
        <w:t>27632-2011）表2 新建企业水污染物排放限值中轮胎企业和其他制品企业间接排放限值和</w:t>
      </w:r>
      <w:r>
        <w:rPr>
          <w:rFonts w:hint="eastAsia" w:cs="Times New Roman" w:eastAsiaTheme="minorEastAsia"/>
          <w:bCs/>
        </w:rPr>
        <w:t>（DB</w:t>
      </w:r>
      <w:r>
        <w:rPr>
          <w:rFonts w:cs="Times New Roman" w:eastAsiaTheme="minorEastAsia"/>
          <w:bCs/>
        </w:rPr>
        <w:t xml:space="preserve"> </w:t>
      </w:r>
      <w:r>
        <w:rPr>
          <w:rFonts w:hint="eastAsia" w:cs="Times New Roman" w:eastAsiaTheme="minorEastAsia"/>
          <w:bCs/>
        </w:rPr>
        <w:t>44/26-2001）第二时段三级标准两者间较严者</w:t>
      </w:r>
      <w:r>
        <w:rPr>
          <w:rFonts w:hint="eastAsia" w:eastAsiaTheme="minorEastAsia"/>
        </w:rPr>
        <w:t>后进入市政污水管网，排往苍城污水处理厂集中处理达标后排放。</w:t>
      </w:r>
    </w:p>
    <w:p>
      <w:pPr>
        <w:snapToGrid w:val="0"/>
        <w:ind w:firstLine="480"/>
        <w:rPr>
          <w:rFonts w:cs="Times New Roman" w:eastAsiaTheme="minorEastAsia"/>
        </w:rPr>
      </w:pPr>
      <w:r>
        <w:rPr>
          <w:rFonts w:cs="Times New Roman" w:eastAsiaTheme="minorEastAsia"/>
        </w:rPr>
        <w:t>本项目生活</w:t>
      </w:r>
      <w:r>
        <w:rPr>
          <w:rFonts w:hint="eastAsia" w:eastAsiaTheme="minorEastAsia"/>
        </w:rPr>
        <w:t>污水中主要污染物因子为COD、BOD</w:t>
      </w:r>
      <w:r>
        <w:rPr>
          <w:rFonts w:hint="eastAsia" w:eastAsiaTheme="minorEastAsia"/>
          <w:vertAlign w:val="subscript"/>
        </w:rPr>
        <w:t>5</w:t>
      </w:r>
      <w:r>
        <w:rPr>
          <w:rFonts w:hint="eastAsia" w:eastAsiaTheme="minorEastAsia"/>
        </w:rPr>
        <w:t>、SS以及氨氮等。污染物浓度通过类比确定：</w:t>
      </w:r>
      <w:r>
        <w:rPr>
          <w:rFonts w:hint="eastAsia" w:cs="Times New Roman" w:eastAsiaTheme="minorEastAsia"/>
        </w:rPr>
        <w:t>COD</w:t>
      </w:r>
      <w:r>
        <w:rPr>
          <w:rFonts w:hint="eastAsia" w:cs="Times New Roman" w:eastAsiaTheme="minorEastAsia"/>
          <w:vertAlign w:val="subscript"/>
        </w:rPr>
        <w:t>Cr</w:t>
      </w:r>
      <w:r>
        <w:rPr>
          <w:rFonts w:cs="Times New Roman" w:eastAsiaTheme="minorEastAsia"/>
          <w:vertAlign w:val="subscript"/>
        </w:rPr>
        <w:t xml:space="preserve"> </w:t>
      </w:r>
      <w:r>
        <w:rPr>
          <w:rFonts w:cs="Times New Roman" w:eastAsiaTheme="minorEastAsia"/>
        </w:rPr>
        <w:t>25</w:t>
      </w:r>
      <w:r>
        <w:rPr>
          <w:rFonts w:hint="eastAsia" w:cs="Times New Roman" w:eastAsiaTheme="minorEastAsia"/>
        </w:rPr>
        <w:t>0mg/L、BOD</w:t>
      </w:r>
      <w:r>
        <w:rPr>
          <w:rFonts w:hint="eastAsia" w:cs="Times New Roman" w:eastAsiaTheme="minorEastAsia"/>
          <w:vertAlign w:val="subscript"/>
        </w:rPr>
        <w:t>5</w:t>
      </w:r>
      <w:r>
        <w:rPr>
          <w:rFonts w:cs="Times New Roman" w:eastAsiaTheme="minorEastAsia"/>
        </w:rPr>
        <w:t xml:space="preserve"> 150</w:t>
      </w:r>
      <w:r>
        <w:rPr>
          <w:rFonts w:hint="eastAsia" w:cs="Times New Roman" w:eastAsiaTheme="minorEastAsia"/>
        </w:rPr>
        <w:t xml:space="preserve"> mg/L、SS</w:t>
      </w:r>
      <w:r>
        <w:rPr>
          <w:rFonts w:cs="Times New Roman" w:eastAsiaTheme="minorEastAsia"/>
        </w:rPr>
        <w:t xml:space="preserve"> </w:t>
      </w:r>
      <w:r>
        <w:rPr>
          <w:rFonts w:hint="eastAsia" w:cs="Times New Roman" w:eastAsiaTheme="minorEastAsia"/>
        </w:rPr>
        <w:t>200mg/L、NH</w:t>
      </w:r>
      <w:r>
        <w:rPr>
          <w:rFonts w:hint="eastAsia" w:cs="Times New Roman" w:eastAsiaTheme="minorEastAsia"/>
          <w:vertAlign w:val="subscript"/>
        </w:rPr>
        <w:t>3</w:t>
      </w:r>
      <w:r>
        <w:rPr>
          <w:rFonts w:hint="eastAsia" w:cs="Times New Roman" w:eastAsiaTheme="minorEastAsia"/>
        </w:rPr>
        <w:t>-N</w:t>
      </w:r>
      <w:r>
        <w:rPr>
          <w:rFonts w:cs="Times New Roman" w:eastAsiaTheme="minorEastAsia"/>
        </w:rPr>
        <w:t xml:space="preserve"> </w:t>
      </w:r>
      <w:r>
        <w:rPr>
          <w:rFonts w:hint="eastAsia" w:cs="Times New Roman" w:eastAsiaTheme="minorEastAsia"/>
        </w:rPr>
        <w:t>3</w:t>
      </w:r>
      <w:r>
        <w:rPr>
          <w:rFonts w:cs="Times New Roman" w:eastAsiaTheme="minorEastAsia"/>
        </w:rPr>
        <w:t>0</w:t>
      </w:r>
      <w:r>
        <w:rPr>
          <w:rFonts w:hint="eastAsia" w:cs="Times New Roman" w:eastAsiaTheme="minorEastAsia"/>
        </w:rPr>
        <w:t>mg/L。</w:t>
      </w:r>
      <w:r>
        <w:rPr>
          <w:rFonts w:cs="Times New Roman" w:eastAsiaTheme="minorEastAsia"/>
        </w:rPr>
        <w:t>污水污染物产生</w:t>
      </w:r>
      <w:r>
        <w:rPr>
          <w:rFonts w:hint="eastAsia" w:cs="Times New Roman" w:eastAsiaTheme="minorEastAsia"/>
        </w:rPr>
        <w:t>、排放</w:t>
      </w:r>
      <w:r>
        <w:rPr>
          <w:rFonts w:cs="Times New Roman" w:eastAsiaTheme="minorEastAsia"/>
        </w:rPr>
        <w:t>情况</w:t>
      </w:r>
      <w:r>
        <w:rPr>
          <w:rFonts w:hint="eastAsia" w:cs="Times New Roman" w:eastAsiaTheme="minorEastAsia"/>
        </w:rPr>
        <w:t>详见下表</w:t>
      </w:r>
      <w:r>
        <w:rPr>
          <w:rFonts w:cs="Times New Roman" w:eastAsiaTheme="minorEastAsia"/>
        </w:rPr>
        <w:t>。</w:t>
      </w:r>
    </w:p>
    <w:p>
      <w:pPr>
        <w:pStyle w:val="18"/>
      </w:pPr>
      <w:bookmarkStart w:id="229" w:name="_Ref528136888"/>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2.8</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23</w:t>
      </w:r>
      <w:r>
        <w:fldChar w:fldCharType="end"/>
      </w:r>
      <w:bookmarkEnd w:id="229"/>
      <w:r>
        <w:rPr>
          <w:rFonts w:hint="eastAsia"/>
        </w:rPr>
        <w:t>项目生活污水污染负荷</w:t>
      </w:r>
    </w:p>
    <w:tbl>
      <w:tblPr>
        <w:tblStyle w:val="56"/>
        <w:tblW w:w="90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
        <w:gridCol w:w="1311"/>
        <w:gridCol w:w="1164"/>
        <w:gridCol w:w="1449"/>
        <w:gridCol w:w="1559"/>
        <w:gridCol w:w="1417"/>
        <w:gridCol w:w="16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66" w:type="dxa"/>
            <w:vMerge w:val="restart"/>
            <w:shd w:val="clear" w:color="auto" w:fill="auto"/>
            <w:vAlign w:val="center"/>
          </w:tcPr>
          <w:p>
            <w:pPr>
              <w:spacing w:line="240" w:lineRule="auto"/>
              <w:ind w:firstLine="0" w:firstLineChars="0"/>
              <w:jc w:val="center"/>
              <w:rPr>
                <w:rFonts w:ascii="宋体" w:hAnsi="宋体"/>
                <w:b/>
                <w:bCs/>
                <w:color w:val="000000"/>
                <w:sz w:val="21"/>
                <w:szCs w:val="21"/>
              </w:rPr>
            </w:pPr>
            <w:r>
              <w:rPr>
                <w:rFonts w:hint="eastAsia" w:ascii="宋体" w:hAnsi="宋体"/>
                <w:b/>
                <w:bCs/>
                <w:color w:val="000000"/>
                <w:sz w:val="21"/>
                <w:szCs w:val="21"/>
              </w:rPr>
              <w:t>类别</w:t>
            </w:r>
          </w:p>
        </w:tc>
        <w:tc>
          <w:tcPr>
            <w:tcW w:w="1311" w:type="dxa"/>
            <w:vMerge w:val="restart"/>
            <w:shd w:val="clear" w:color="auto" w:fill="auto"/>
            <w:vAlign w:val="center"/>
          </w:tcPr>
          <w:p>
            <w:pPr>
              <w:spacing w:line="240" w:lineRule="auto"/>
              <w:ind w:firstLine="0" w:firstLineChars="0"/>
              <w:jc w:val="center"/>
              <w:rPr>
                <w:rFonts w:ascii="宋体" w:hAnsi="宋体"/>
                <w:b/>
                <w:bCs/>
                <w:color w:val="000000"/>
                <w:sz w:val="21"/>
                <w:szCs w:val="21"/>
              </w:rPr>
            </w:pPr>
            <w:r>
              <w:rPr>
                <w:rFonts w:hint="eastAsia" w:ascii="宋体" w:hAnsi="宋体"/>
                <w:b/>
                <w:bCs/>
                <w:color w:val="000000"/>
                <w:sz w:val="21"/>
                <w:szCs w:val="21"/>
              </w:rPr>
              <w:t>水量</w:t>
            </w:r>
          </w:p>
        </w:tc>
        <w:tc>
          <w:tcPr>
            <w:tcW w:w="1164" w:type="dxa"/>
            <w:vMerge w:val="restart"/>
            <w:shd w:val="clear" w:color="auto" w:fill="auto"/>
            <w:vAlign w:val="center"/>
          </w:tcPr>
          <w:p>
            <w:pPr>
              <w:spacing w:line="240" w:lineRule="auto"/>
              <w:ind w:firstLine="0" w:firstLineChars="0"/>
              <w:jc w:val="center"/>
              <w:rPr>
                <w:rFonts w:ascii="宋体" w:hAnsi="宋体"/>
                <w:b/>
                <w:bCs/>
                <w:color w:val="000000"/>
                <w:sz w:val="21"/>
                <w:szCs w:val="21"/>
              </w:rPr>
            </w:pPr>
            <w:r>
              <w:rPr>
                <w:rFonts w:hint="eastAsia" w:ascii="宋体" w:hAnsi="宋体"/>
                <w:b/>
                <w:bCs/>
                <w:color w:val="000000"/>
                <w:sz w:val="21"/>
                <w:szCs w:val="21"/>
              </w:rPr>
              <w:t>指标</w:t>
            </w:r>
          </w:p>
        </w:tc>
        <w:tc>
          <w:tcPr>
            <w:tcW w:w="3008" w:type="dxa"/>
            <w:gridSpan w:val="2"/>
            <w:shd w:val="clear" w:color="auto" w:fill="auto"/>
            <w:vAlign w:val="center"/>
          </w:tcPr>
          <w:p>
            <w:pPr>
              <w:spacing w:line="240" w:lineRule="auto"/>
              <w:ind w:firstLine="0" w:firstLineChars="0"/>
              <w:jc w:val="center"/>
              <w:rPr>
                <w:rFonts w:ascii="宋体" w:hAnsi="宋体"/>
                <w:b/>
                <w:bCs/>
                <w:color w:val="000000"/>
                <w:sz w:val="21"/>
                <w:szCs w:val="21"/>
              </w:rPr>
            </w:pPr>
            <w:r>
              <w:rPr>
                <w:rFonts w:hint="eastAsia" w:ascii="宋体" w:hAnsi="宋体"/>
                <w:b/>
                <w:bCs/>
                <w:color w:val="000000"/>
                <w:sz w:val="21"/>
                <w:szCs w:val="21"/>
              </w:rPr>
              <w:t>产生源强</w:t>
            </w:r>
          </w:p>
        </w:tc>
        <w:tc>
          <w:tcPr>
            <w:tcW w:w="3113" w:type="dxa"/>
            <w:gridSpan w:val="2"/>
            <w:shd w:val="clear" w:color="auto" w:fill="auto"/>
            <w:vAlign w:val="center"/>
          </w:tcPr>
          <w:p>
            <w:pPr>
              <w:spacing w:line="240" w:lineRule="auto"/>
              <w:ind w:firstLine="0" w:firstLineChars="0"/>
              <w:jc w:val="center"/>
              <w:rPr>
                <w:rFonts w:ascii="宋体" w:hAnsi="宋体"/>
                <w:b/>
                <w:bCs/>
                <w:color w:val="000000"/>
                <w:sz w:val="21"/>
                <w:szCs w:val="21"/>
              </w:rPr>
            </w:pPr>
            <w:r>
              <w:rPr>
                <w:rFonts w:hint="eastAsia" w:ascii="宋体" w:hAnsi="宋体"/>
                <w:b/>
                <w:bCs/>
                <w:color w:val="000000"/>
                <w:sz w:val="21"/>
                <w:szCs w:val="21"/>
              </w:rPr>
              <w:t>排放源强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22" w:hRule="atLeast"/>
        </w:trPr>
        <w:tc>
          <w:tcPr>
            <w:tcW w:w="466" w:type="dxa"/>
            <w:vMerge w:val="continue"/>
            <w:vAlign w:val="center"/>
          </w:tcPr>
          <w:p>
            <w:pPr>
              <w:spacing w:line="240" w:lineRule="auto"/>
              <w:ind w:firstLine="0" w:firstLineChars="0"/>
              <w:rPr>
                <w:rFonts w:ascii="宋体" w:hAnsi="宋体"/>
                <w:b/>
                <w:bCs/>
                <w:color w:val="000000"/>
                <w:sz w:val="21"/>
                <w:szCs w:val="21"/>
              </w:rPr>
            </w:pPr>
          </w:p>
        </w:tc>
        <w:tc>
          <w:tcPr>
            <w:tcW w:w="1311" w:type="dxa"/>
            <w:vMerge w:val="continue"/>
            <w:vAlign w:val="center"/>
          </w:tcPr>
          <w:p>
            <w:pPr>
              <w:spacing w:line="240" w:lineRule="auto"/>
              <w:ind w:firstLine="0" w:firstLineChars="0"/>
              <w:rPr>
                <w:rFonts w:ascii="宋体" w:hAnsi="宋体"/>
                <w:b/>
                <w:bCs/>
                <w:color w:val="000000"/>
                <w:sz w:val="21"/>
                <w:szCs w:val="21"/>
              </w:rPr>
            </w:pPr>
          </w:p>
        </w:tc>
        <w:tc>
          <w:tcPr>
            <w:tcW w:w="1164" w:type="dxa"/>
            <w:vMerge w:val="continue"/>
            <w:vAlign w:val="center"/>
          </w:tcPr>
          <w:p>
            <w:pPr>
              <w:spacing w:line="240" w:lineRule="auto"/>
              <w:ind w:firstLine="0" w:firstLineChars="0"/>
              <w:rPr>
                <w:rFonts w:ascii="宋体" w:hAnsi="宋体"/>
                <w:b/>
                <w:bCs/>
                <w:color w:val="000000"/>
                <w:sz w:val="21"/>
                <w:szCs w:val="21"/>
              </w:rPr>
            </w:pPr>
          </w:p>
        </w:tc>
        <w:tc>
          <w:tcPr>
            <w:tcW w:w="1449" w:type="dxa"/>
            <w:shd w:val="clear" w:color="auto" w:fill="auto"/>
            <w:vAlign w:val="center"/>
          </w:tcPr>
          <w:p>
            <w:pPr>
              <w:spacing w:line="240" w:lineRule="auto"/>
              <w:ind w:firstLine="0" w:firstLineChars="0"/>
              <w:jc w:val="center"/>
              <w:rPr>
                <w:rFonts w:ascii="宋体" w:hAnsi="宋体"/>
                <w:b/>
                <w:bCs/>
                <w:color w:val="000000"/>
                <w:sz w:val="21"/>
                <w:szCs w:val="21"/>
              </w:rPr>
            </w:pPr>
            <w:r>
              <w:rPr>
                <w:rFonts w:hint="eastAsia" w:ascii="宋体" w:hAnsi="宋体"/>
                <w:b/>
                <w:bCs/>
                <w:color w:val="000000"/>
                <w:sz w:val="21"/>
                <w:szCs w:val="21"/>
              </w:rPr>
              <w:t>产生浓度(</w:t>
            </w:r>
            <w:r>
              <w:rPr>
                <w:rFonts w:ascii="Arial" w:hAnsi="Arial" w:cs="Arial"/>
                <w:b/>
                <w:bCs/>
                <w:color w:val="000000"/>
                <w:sz w:val="21"/>
                <w:szCs w:val="21"/>
              </w:rPr>
              <w:t>mg/L</w:t>
            </w:r>
            <w:r>
              <w:rPr>
                <w:rFonts w:hint="eastAsia" w:ascii="宋体" w:hAnsi="宋体"/>
                <w:b/>
                <w:bCs/>
                <w:color w:val="000000"/>
                <w:sz w:val="21"/>
                <w:szCs w:val="21"/>
              </w:rPr>
              <w:t>)</w:t>
            </w:r>
          </w:p>
        </w:tc>
        <w:tc>
          <w:tcPr>
            <w:tcW w:w="1559" w:type="dxa"/>
            <w:shd w:val="clear" w:color="auto" w:fill="auto"/>
            <w:vAlign w:val="center"/>
          </w:tcPr>
          <w:p>
            <w:pPr>
              <w:spacing w:line="240" w:lineRule="auto"/>
              <w:ind w:firstLine="0" w:firstLineChars="0"/>
              <w:jc w:val="center"/>
              <w:rPr>
                <w:rFonts w:ascii="宋体" w:hAnsi="宋体"/>
                <w:b/>
                <w:bCs/>
                <w:color w:val="000000"/>
                <w:sz w:val="21"/>
                <w:szCs w:val="21"/>
              </w:rPr>
            </w:pPr>
            <w:r>
              <w:rPr>
                <w:rFonts w:hint="eastAsia" w:ascii="宋体" w:hAnsi="宋体"/>
                <w:b/>
                <w:bCs/>
                <w:color w:val="000000"/>
                <w:sz w:val="21"/>
                <w:szCs w:val="21"/>
              </w:rPr>
              <w:t>产生量(</w:t>
            </w:r>
            <w:r>
              <w:rPr>
                <w:rFonts w:ascii="Arial" w:hAnsi="Arial" w:cs="Arial"/>
                <w:b/>
                <w:bCs/>
                <w:color w:val="000000"/>
                <w:sz w:val="21"/>
                <w:szCs w:val="21"/>
              </w:rPr>
              <w:t>t/a</w:t>
            </w:r>
            <w:r>
              <w:rPr>
                <w:rFonts w:hint="eastAsia" w:ascii="宋体" w:hAnsi="宋体"/>
                <w:b/>
                <w:bCs/>
                <w:color w:val="000000"/>
                <w:sz w:val="21"/>
                <w:szCs w:val="21"/>
              </w:rPr>
              <w:t>)</w:t>
            </w:r>
          </w:p>
        </w:tc>
        <w:tc>
          <w:tcPr>
            <w:tcW w:w="1417" w:type="dxa"/>
            <w:shd w:val="clear" w:color="auto" w:fill="auto"/>
            <w:vAlign w:val="center"/>
          </w:tcPr>
          <w:p>
            <w:pPr>
              <w:spacing w:line="240" w:lineRule="auto"/>
              <w:ind w:firstLine="0" w:firstLineChars="0"/>
              <w:rPr>
                <w:rFonts w:ascii="宋体" w:hAnsi="宋体"/>
                <w:b/>
                <w:bCs/>
                <w:color w:val="000000"/>
                <w:sz w:val="21"/>
                <w:szCs w:val="21"/>
              </w:rPr>
            </w:pPr>
            <w:r>
              <w:rPr>
                <w:rFonts w:hint="eastAsia" w:ascii="宋体" w:hAnsi="宋体"/>
                <w:b/>
                <w:bCs/>
                <w:color w:val="000000"/>
                <w:sz w:val="21"/>
                <w:szCs w:val="21"/>
              </w:rPr>
              <w:t>排放浓度(</w:t>
            </w:r>
            <w:r>
              <w:rPr>
                <w:rFonts w:ascii="Arial" w:hAnsi="Arial" w:cs="Arial"/>
                <w:b/>
                <w:bCs/>
                <w:color w:val="000000"/>
                <w:sz w:val="21"/>
                <w:szCs w:val="21"/>
              </w:rPr>
              <w:t>mg/L</w:t>
            </w:r>
            <w:r>
              <w:rPr>
                <w:rFonts w:hint="eastAsia" w:ascii="宋体" w:hAnsi="宋体"/>
                <w:b/>
                <w:bCs/>
                <w:color w:val="000000"/>
                <w:sz w:val="21"/>
                <w:szCs w:val="21"/>
              </w:rPr>
              <w:t>)</w:t>
            </w:r>
          </w:p>
        </w:tc>
        <w:tc>
          <w:tcPr>
            <w:tcW w:w="1696" w:type="dxa"/>
            <w:shd w:val="clear" w:color="auto" w:fill="auto"/>
            <w:vAlign w:val="center"/>
          </w:tcPr>
          <w:p>
            <w:pPr>
              <w:spacing w:line="240" w:lineRule="auto"/>
              <w:ind w:firstLine="0" w:firstLineChars="0"/>
              <w:rPr>
                <w:rFonts w:ascii="宋体" w:hAnsi="宋体"/>
                <w:b/>
                <w:bCs/>
                <w:color w:val="000000"/>
                <w:sz w:val="21"/>
                <w:szCs w:val="21"/>
              </w:rPr>
            </w:pPr>
            <w:r>
              <w:rPr>
                <w:rFonts w:hint="eastAsia" w:ascii="宋体" w:hAnsi="宋体"/>
                <w:b/>
                <w:bCs/>
                <w:color w:val="000000"/>
                <w:sz w:val="21"/>
                <w:szCs w:val="21"/>
              </w:rPr>
              <w:t>排放量(</w:t>
            </w:r>
            <w:r>
              <w:rPr>
                <w:rFonts w:ascii="Arial" w:hAnsi="Arial" w:cs="Arial"/>
                <w:b/>
                <w:bCs/>
                <w:color w:val="000000"/>
                <w:sz w:val="21"/>
                <w:szCs w:val="21"/>
              </w:rPr>
              <w:t>t/a</w:t>
            </w:r>
            <w:r>
              <w:rPr>
                <w:rFonts w:hint="eastAsia" w:ascii="宋体" w:hAnsi="宋体"/>
                <w:b/>
                <w:bCs/>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466" w:type="dxa"/>
            <w:vMerge w:val="restart"/>
            <w:shd w:val="clear" w:color="auto" w:fill="auto"/>
            <w:vAlign w:val="center"/>
          </w:tcPr>
          <w:p>
            <w:pPr>
              <w:spacing w:line="240" w:lineRule="auto"/>
              <w:ind w:firstLine="0" w:firstLineChars="0"/>
              <w:jc w:val="center"/>
              <w:rPr>
                <w:rFonts w:ascii="宋体" w:hAnsi="宋体"/>
                <w:color w:val="000000"/>
                <w:sz w:val="21"/>
                <w:szCs w:val="21"/>
              </w:rPr>
            </w:pPr>
            <w:r>
              <w:rPr>
                <w:rFonts w:hint="eastAsia" w:ascii="宋体" w:hAnsi="宋体"/>
                <w:color w:val="000000"/>
                <w:sz w:val="21"/>
                <w:szCs w:val="21"/>
              </w:rPr>
              <w:t>生活污水</w:t>
            </w:r>
          </w:p>
        </w:tc>
        <w:tc>
          <w:tcPr>
            <w:tcW w:w="1311" w:type="dxa"/>
            <w:vMerge w:val="restart"/>
            <w:shd w:val="clear" w:color="auto" w:fill="auto"/>
            <w:vAlign w:val="center"/>
          </w:tcPr>
          <w:p>
            <w:pPr>
              <w:pStyle w:val="107"/>
            </w:pPr>
            <w:r>
              <w:t>1.08m³/d</w:t>
            </w:r>
          </w:p>
          <w:p>
            <w:pPr>
              <w:pStyle w:val="107"/>
            </w:pPr>
            <w:r>
              <w:t>(</w:t>
            </w:r>
            <w:r>
              <w:rPr>
                <w:rStyle w:val="63"/>
                <w:color w:val="000000" w:themeColor="text1"/>
                <w14:textFill>
                  <w14:solidFill>
                    <w14:schemeClr w14:val="tx1"/>
                  </w14:solidFill>
                </w14:textFill>
              </w:rPr>
              <w:t>324</w:t>
            </w:r>
            <w:r>
              <w:t>m³/a)</w:t>
            </w:r>
          </w:p>
        </w:tc>
        <w:tc>
          <w:tcPr>
            <w:tcW w:w="1164" w:type="dxa"/>
            <w:shd w:val="clear" w:color="auto" w:fill="auto"/>
            <w:vAlign w:val="center"/>
          </w:tcPr>
          <w:p>
            <w:pPr>
              <w:spacing w:line="240" w:lineRule="auto"/>
              <w:ind w:firstLine="0" w:firstLineChars="0"/>
              <w:jc w:val="center"/>
              <w:rPr>
                <w:rFonts w:ascii="Arial" w:hAnsi="Arial" w:eastAsia="等线" w:cs="Arial"/>
                <w:color w:val="000000"/>
                <w:sz w:val="21"/>
                <w:szCs w:val="21"/>
              </w:rPr>
            </w:pPr>
            <w:r>
              <w:rPr>
                <w:rFonts w:ascii="Arial" w:hAnsi="Arial" w:eastAsia="等线" w:cs="Arial"/>
                <w:color w:val="000000"/>
                <w:sz w:val="21"/>
                <w:szCs w:val="21"/>
              </w:rPr>
              <w:t>COD</w:t>
            </w:r>
            <w:r>
              <w:rPr>
                <w:rFonts w:ascii="Arial" w:hAnsi="Arial" w:eastAsia="等线" w:cs="Arial"/>
                <w:color w:val="000000"/>
                <w:sz w:val="21"/>
                <w:szCs w:val="21"/>
                <w:vertAlign w:val="subscript"/>
              </w:rPr>
              <w:t>Cr</w:t>
            </w:r>
          </w:p>
        </w:tc>
        <w:tc>
          <w:tcPr>
            <w:tcW w:w="1449" w:type="dxa"/>
            <w:vAlign w:val="center"/>
          </w:tcPr>
          <w:p>
            <w:pPr>
              <w:pStyle w:val="107"/>
              <w:rPr>
                <w:rFonts w:cs="Arial"/>
              </w:rPr>
            </w:pPr>
            <w:r>
              <w:t>250</w:t>
            </w:r>
          </w:p>
        </w:tc>
        <w:tc>
          <w:tcPr>
            <w:tcW w:w="155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0.081</w:t>
            </w:r>
          </w:p>
        </w:tc>
        <w:tc>
          <w:tcPr>
            <w:tcW w:w="1417" w:type="dxa"/>
            <w:vAlign w:val="center"/>
          </w:tcPr>
          <w:p>
            <w:pPr>
              <w:pStyle w:val="107"/>
              <w:rPr>
                <w:rFonts w:cs="Arial"/>
              </w:rPr>
            </w:pPr>
            <w:r>
              <w:t>225</w:t>
            </w:r>
          </w:p>
        </w:tc>
        <w:tc>
          <w:tcPr>
            <w:tcW w:w="1696"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466" w:type="dxa"/>
            <w:vMerge w:val="continue"/>
            <w:vAlign w:val="center"/>
          </w:tcPr>
          <w:p>
            <w:pPr>
              <w:spacing w:line="240" w:lineRule="auto"/>
              <w:ind w:firstLine="0" w:firstLineChars="0"/>
              <w:rPr>
                <w:rFonts w:ascii="宋体" w:hAnsi="宋体"/>
                <w:color w:val="000000"/>
                <w:sz w:val="21"/>
                <w:szCs w:val="21"/>
              </w:rPr>
            </w:pPr>
          </w:p>
        </w:tc>
        <w:tc>
          <w:tcPr>
            <w:tcW w:w="1311" w:type="dxa"/>
            <w:vMerge w:val="continue"/>
            <w:vAlign w:val="center"/>
          </w:tcPr>
          <w:p>
            <w:pPr>
              <w:spacing w:line="240" w:lineRule="auto"/>
              <w:ind w:firstLine="0" w:firstLineChars="0"/>
              <w:rPr>
                <w:rFonts w:ascii="等线" w:hAnsi="等线" w:eastAsia="等线"/>
                <w:color w:val="000000"/>
                <w:sz w:val="22"/>
                <w:szCs w:val="22"/>
              </w:rPr>
            </w:pPr>
          </w:p>
        </w:tc>
        <w:tc>
          <w:tcPr>
            <w:tcW w:w="1164" w:type="dxa"/>
            <w:shd w:val="clear" w:color="auto" w:fill="auto"/>
            <w:vAlign w:val="center"/>
          </w:tcPr>
          <w:p>
            <w:pPr>
              <w:spacing w:line="240" w:lineRule="auto"/>
              <w:ind w:firstLine="0" w:firstLineChars="0"/>
              <w:jc w:val="center"/>
              <w:rPr>
                <w:rFonts w:ascii="Arial" w:hAnsi="Arial" w:eastAsia="等线" w:cs="Arial"/>
                <w:color w:val="000000"/>
                <w:sz w:val="21"/>
                <w:szCs w:val="21"/>
              </w:rPr>
            </w:pPr>
            <w:r>
              <w:rPr>
                <w:rFonts w:ascii="Arial" w:hAnsi="Arial" w:eastAsia="等线" w:cs="Arial"/>
                <w:color w:val="000000"/>
                <w:sz w:val="21"/>
                <w:szCs w:val="21"/>
              </w:rPr>
              <w:t>BOD</w:t>
            </w:r>
            <w:r>
              <w:rPr>
                <w:rFonts w:ascii="Arial" w:hAnsi="Arial" w:eastAsia="等线" w:cs="Arial"/>
                <w:color w:val="000000"/>
                <w:sz w:val="21"/>
                <w:szCs w:val="21"/>
                <w:vertAlign w:val="subscript"/>
              </w:rPr>
              <w:t>5</w:t>
            </w:r>
          </w:p>
        </w:tc>
        <w:tc>
          <w:tcPr>
            <w:tcW w:w="1449" w:type="dxa"/>
            <w:vAlign w:val="center"/>
          </w:tcPr>
          <w:p>
            <w:pPr>
              <w:pStyle w:val="107"/>
              <w:rPr>
                <w:rFonts w:cs="Arial"/>
              </w:rPr>
            </w:pPr>
            <w:r>
              <w:t>120</w:t>
            </w:r>
          </w:p>
        </w:tc>
        <w:tc>
          <w:tcPr>
            <w:tcW w:w="155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0.039 </w:t>
            </w:r>
          </w:p>
        </w:tc>
        <w:tc>
          <w:tcPr>
            <w:tcW w:w="1417" w:type="dxa"/>
            <w:vAlign w:val="center"/>
          </w:tcPr>
          <w:p>
            <w:pPr>
              <w:pStyle w:val="107"/>
              <w:rPr>
                <w:rFonts w:cs="Arial"/>
              </w:rPr>
            </w:pPr>
            <w:r>
              <w:t>80</w:t>
            </w:r>
          </w:p>
        </w:tc>
        <w:tc>
          <w:tcPr>
            <w:tcW w:w="1696"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466" w:type="dxa"/>
            <w:vMerge w:val="continue"/>
            <w:vAlign w:val="center"/>
          </w:tcPr>
          <w:p>
            <w:pPr>
              <w:spacing w:line="240" w:lineRule="auto"/>
              <w:ind w:firstLine="0" w:firstLineChars="0"/>
              <w:rPr>
                <w:rFonts w:ascii="宋体" w:hAnsi="宋体"/>
                <w:color w:val="000000"/>
                <w:sz w:val="21"/>
                <w:szCs w:val="21"/>
              </w:rPr>
            </w:pPr>
          </w:p>
        </w:tc>
        <w:tc>
          <w:tcPr>
            <w:tcW w:w="1311" w:type="dxa"/>
            <w:vMerge w:val="continue"/>
            <w:vAlign w:val="center"/>
          </w:tcPr>
          <w:p>
            <w:pPr>
              <w:spacing w:line="240" w:lineRule="auto"/>
              <w:ind w:firstLine="0" w:firstLineChars="0"/>
              <w:rPr>
                <w:rFonts w:ascii="等线" w:hAnsi="等线" w:eastAsia="等线"/>
                <w:color w:val="000000"/>
                <w:sz w:val="22"/>
                <w:szCs w:val="22"/>
              </w:rPr>
            </w:pPr>
          </w:p>
        </w:tc>
        <w:tc>
          <w:tcPr>
            <w:tcW w:w="1164" w:type="dxa"/>
            <w:shd w:val="clear" w:color="auto" w:fill="auto"/>
            <w:vAlign w:val="center"/>
          </w:tcPr>
          <w:p>
            <w:pPr>
              <w:spacing w:line="240" w:lineRule="auto"/>
              <w:ind w:firstLine="0" w:firstLineChars="0"/>
              <w:jc w:val="center"/>
              <w:rPr>
                <w:rFonts w:ascii="Arial" w:hAnsi="Arial" w:eastAsia="等线" w:cs="Arial"/>
                <w:color w:val="000000"/>
                <w:sz w:val="21"/>
                <w:szCs w:val="21"/>
              </w:rPr>
            </w:pPr>
            <w:r>
              <w:rPr>
                <w:rFonts w:ascii="Arial" w:hAnsi="Arial" w:eastAsia="等线" w:cs="Arial"/>
                <w:color w:val="000000"/>
                <w:sz w:val="21"/>
                <w:szCs w:val="21"/>
              </w:rPr>
              <w:t>SS</w:t>
            </w:r>
          </w:p>
        </w:tc>
        <w:tc>
          <w:tcPr>
            <w:tcW w:w="1449" w:type="dxa"/>
            <w:vAlign w:val="center"/>
          </w:tcPr>
          <w:p>
            <w:pPr>
              <w:pStyle w:val="107"/>
              <w:rPr>
                <w:rFonts w:cs="Arial"/>
              </w:rPr>
            </w:pPr>
            <w:r>
              <w:t>200</w:t>
            </w:r>
          </w:p>
        </w:tc>
        <w:tc>
          <w:tcPr>
            <w:tcW w:w="155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0.0648 </w:t>
            </w:r>
          </w:p>
        </w:tc>
        <w:tc>
          <w:tcPr>
            <w:tcW w:w="1417" w:type="dxa"/>
            <w:vAlign w:val="center"/>
          </w:tcPr>
          <w:p>
            <w:pPr>
              <w:pStyle w:val="107"/>
              <w:rPr>
                <w:rFonts w:cs="Arial"/>
              </w:rPr>
            </w:pPr>
            <w:r>
              <w:t>100</w:t>
            </w:r>
          </w:p>
        </w:tc>
        <w:tc>
          <w:tcPr>
            <w:tcW w:w="1696"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0.0324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466" w:type="dxa"/>
            <w:vMerge w:val="continue"/>
            <w:vAlign w:val="center"/>
          </w:tcPr>
          <w:p>
            <w:pPr>
              <w:spacing w:line="240" w:lineRule="auto"/>
              <w:ind w:firstLine="0" w:firstLineChars="0"/>
              <w:rPr>
                <w:rFonts w:ascii="宋体" w:hAnsi="宋体"/>
                <w:color w:val="000000"/>
                <w:sz w:val="21"/>
                <w:szCs w:val="21"/>
              </w:rPr>
            </w:pPr>
          </w:p>
        </w:tc>
        <w:tc>
          <w:tcPr>
            <w:tcW w:w="1311" w:type="dxa"/>
            <w:vMerge w:val="continue"/>
            <w:vAlign w:val="center"/>
          </w:tcPr>
          <w:p>
            <w:pPr>
              <w:spacing w:line="240" w:lineRule="auto"/>
              <w:ind w:firstLine="0" w:firstLineChars="0"/>
              <w:rPr>
                <w:rFonts w:ascii="等线" w:hAnsi="等线" w:eastAsia="等线"/>
                <w:color w:val="000000"/>
                <w:sz w:val="22"/>
                <w:szCs w:val="22"/>
              </w:rPr>
            </w:pPr>
          </w:p>
        </w:tc>
        <w:tc>
          <w:tcPr>
            <w:tcW w:w="1164" w:type="dxa"/>
            <w:shd w:val="clear" w:color="auto" w:fill="auto"/>
            <w:vAlign w:val="center"/>
          </w:tcPr>
          <w:p>
            <w:pPr>
              <w:spacing w:line="240" w:lineRule="auto"/>
              <w:ind w:firstLine="0" w:firstLineChars="0"/>
              <w:jc w:val="center"/>
              <w:rPr>
                <w:rFonts w:ascii="Arial" w:hAnsi="Arial" w:eastAsia="等线" w:cs="Arial"/>
                <w:color w:val="000000"/>
                <w:sz w:val="21"/>
                <w:szCs w:val="21"/>
              </w:rPr>
            </w:pPr>
            <w:r>
              <w:rPr>
                <w:rFonts w:ascii="Arial" w:hAnsi="Arial" w:eastAsia="等线" w:cs="Arial"/>
                <w:color w:val="000000"/>
                <w:sz w:val="21"/>
                <w:szCs w:val="21"/>
              </w:rPr>
              <w:t>NH</w:t>
            </w:r>
            <w:r>
              <w:rPr>
                <w:rFonts w:ascii="Arial" w:hAnsi="Arial" w:eastAsia="等线" w:cs="Arial"/>
                <w:color w:val="000000"/>
                <w:sz w:val="21"/>
                <w:szCs w:val="21"/>
                <w:vertAlign w:val="subscript"/>
              </w:rPr>
              <w:t>3</w:t>
            </w:r>
            <w:r>
              <w:rPr>
                <w:rFonts w:ascii="Arial" w:hAnsi="Arial" w:eastAsia="等线" w:cs="Arial"/>
                <w:color w:val="000000"/>
                <w:sz w:val="21"/>
                <w:szCs w:val="21"/>
              </w:rPr>
              <w:t>-N</w:t>
            </w:r>
          </w:p>
        </w:tc>
        <w:tc>
          <w:tcPr>
            <w:tcW w:w="1449" w:type="dxa"/>
            <w:vAlign w:val="center"/>
          </w:tcPr>
          <w:p>
            <w:pPr>
              <w:pStyle w:val="107"/>
              <w:rPr>
                <w:rFonts w:cs="Arial"/>
              </w:rPr>
            </w:pPr>
            <w:r>
              <w:t>30</w:t>
            </w:r>
          </w:p>
        </w:tc>
        <w:tc>
          <w:tcPr>
            <w:tcW w:w="155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0.0097 </w:t>
            </w:r>
          </w:p>
        </w:tc>
        <w:tc>
          <w:tcPr>
            <w:tcW w:w="1417" w:type="dxa"/>
            <w:vAlign w:val="center"/>
          </w:tcPr>
          <w:p>
            <w:pPr>
              <w:pStyle w:val="107"/>
              <w:rPr>
                <w:rFonts w:cs="Arial"/>
              </w:rPr>
            </w:pPr>
            <w:r>
              <w:t>30</w:t>
            </w:r>
          </w:p>
        </w:tc>
        <w:tc>
          <w:tcPr>
            <w:tcW w:w="1696"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0.0097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9" w:hRule="atLeast"/>
        </w:trPr>
        <w:tc>
          <w:tcPr>
            <w:tcW w:w="466" w:type="dxa"/>
            <w:vMerge w:val="continue"/>
            <w:vAlign w:val="center"/>
          </w:tcPr>
          <w:p>
            <w:pPr>
              <w:spacing w:line="240" w:lineRule="auto"/>
              <w:ind w:firstLine="0" w:firstLineChars="0"/>
              <w:rPr>
                <w:rFonts w:ascii="宋体" w:hAnsi="宋体"/>
                <w:color w:val="000000"/>
                <w:sz w:val="21"/>
                <w:szCs w:val="21"/>
              </w:rPr>
            </w:pPr>
          </w:p>
        </w:tc>
        <w:tc>
          <w:tcPr>
            <w:tcW w:w="1311" w:type="dxa"/>
            <w:vMerge w:val="continue"/>
            <w:vAlign w:val="center"/>
          </w:tcPr>
          <w:p>
            <w:pPr>
              <w:spacing w:line="240" w:lineRule="auto"/>
              <w:ind w:firstLine="0" w:firstLineChars="0"/>
              <w:rPr>
                <w:rFonts w:ascii="等线" w:hAnsi="等线" w:eastAsia="等线"/>
                <w:color w:val="000000"/>
                <w:sz w:val="22"/>
                <w:szCs w:val="22"/>
              </w:rPr>
            </w:pPr>
          </w:p>
        </w:tc>
        <w:tc>
          <w:tcPr>
            <w:tcW w:w="1164" w:type="dxa"/>
            <w:shd w:val="clear" w:color="auto" w:fill="auto"/>
            <w:vAlign w:val="center"/>
          </w:tcPr>
          <w:p>
            <w:pPr>
              <w:spacing w:line="240" w:lineRule="auto"/>
              <w:ind w:firstLine="0" w:firstLineChars="0"/>
              <w:jc w:val="center"/>
              <w:rPr>
                <w:rFonts w:ascii="宋体" w:hAnsi="宋体"/>
                <w:color w:val="000000"/>
                <w:sz w:val="21"/>
                <w:szCs w:val="21"/>
              </w:rPr>
            </w:pPr>
            <w:r>
              <w:rPr>
                <w:rFonts w:hint="eastAsia" w:ascii="宋体" w:hAnsi="宋体"/>
                <w:color w:val="000000"/>
                <w:sz w:val="21"/>
                <w:szCs w:val="21"/>
              </w:rPr>
              <w:t>动植物油</w:t>
            </w:r>
          </w:p>
        </w:tc>
        <w:tc>
          <w:tcPr>
            <w:tcW w:w="1449" w:type="dxa"/>
            <w:vAlign w:val="center"/>
          </w:tcPr>
          <w:p>
            <w:pPr>
              <w:pStyle w:val="107"/>
              <w:rPr>
                <w:rFonts w:cs="Arial"/>
              </w:rPr>
            </w:pPr>
            <w:r>
              <w:t>30</w:t>
            </w:r>
          </w:p>
        </w:tc>
        <w:tc>
          <w:tcPr>
            <w:tcW w:w="1559"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0.0097 </w:t>
            </w:r>
          </w:p>
        </w:tc>
        <w:tc>
          <w:tcPr>
            <w:tcW w:w="1417" w:type="dxa"/>
            <w:vAlign w:val="center"/>
          </w:tcPr>
          <w:p>
            <w:pPr>
              <w:pStyle w:val="107"/>
              <w:rPr>
                <w:rFonts w:cs="Arial"/>
              </w:rPr>
            </w:pPr>
            <w:r>
              <w:t>15</w:t>
            </w:r>
          </w:p>
        </w:tc>
        <w:tc>
          <w:tcPr>
            <w:tcW w:w="1696"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0.0049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9" w:hRule="atLeast"/>
        </w:trPr>
        <w:tc>
          <w:tcPr>
            <w:tcW w:w="1777" w:type="dxa"/>
            <w:gridSpan w:val="2"/>
            <w:vAlign w:val="center"/>
          </w:tcPr>
          <w:p>
            <w:pPr>
              <w:pStyle w:val="151"/>
            </w:pPr>
            <w:r>
              <w:rPr>
                <w:rFonts w:hint="eastAsia"/>
              </w:rPr>
              <w:t>单位排水量*（</w:t>
            </w:r>
            <w:r>
              <w:rPr>
                <w:rFonts w:hint="eastAsia" w:eastAsiaTheme="minorEastAsia"/>
              </w:rPr>
              <w:t>m</w:t>
            </w:r>
            <w:r>
              <w:rPr>
                <w:rFonts w:hint="eastAsia" w:eastAsiaTheme="minorEastAsia"/>
                <w:vertAlign w:val="superscript"/>
              </w:rPr>
              <w:t>3</w:t>
            </w:r>
            <w:r>
              <w:rPr>
                <w:rFonts w:hint="eastAsia" w:eastAsiaTheme="minorEastAsia"/>
              </w:rPr>
              <w:t>/t胶</w:t>
            </w:r>
            <w:r>
              <w:rPr>
                <w:rFonts w:hint="eastAsia"/>
              </w:rPr>
              <w:t>）</w:t>
            </w:r>
          </w:p>
        </w:tc>
        <w:tc>
          <w:tcPr>
            <w:tcW w:w="7285" w:type="dxa"/>
            <w:gridSpan w:val="5"/>
            <w:shd w:val="clear" w:color="auto" w:fill="auto"/>
            <w:vAlign w:val="center"/>
          </w:tcPr>
          <w:p>
            <w:pPr>
              <w:pStyle w:val="151"/>
              <w:rPr>
                <w:rFonts w:cs="Arial"/>
              </w:rPr>
            </w:pPr>
            <w:r>
              <w:rPr>
                <w:rFonts w:cs="Arial"/>
              </w:rPr>
              <w:t>0.81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9" w:hRule="atLeast"/>
        </w:trPr>
        <w:tc>
          <w:tcPr>
            <w:tcW w:w="9062" w:type="dxa"/>
            <w:gridSpan w:val="7"/>
            <w:vAlign w:val="center"/>
          </w:tcPr>
          <w:p>
            <w:pPr>
              <w:pStyle w:val="151"/>
              <w:jc w:val="left"/>
              <w:rPr>
                <w:rFonts w:cs="Arial"/>
              </w:rPr>
            </w:pPr>
            <w:r>
              <w:rPr>
                <w:rFonts w:hint="eastAsia" w:cs="Arial"/>
              </w:rPr>
              <w:t>*注：排水量为企业向法</w:t>
            </w:r>
            <w:r>
              <w:rPr>
                <w:rFonts w:hint="eastAsia" w:cs="Arial"/>
                <w:color w:val="000000" w:themeColor="text1"/>
                <w14:textFill>
                  <w14:solidFill>
                    <w14:schemeClr w14:val="tx1"/>
                  </w14:solidFill>
                </w14:textFill>
              </w:rPr>
              <w:t>定边界外排放的总废水量，本项目总排水量为</w:t>
            </w:r>
            <w:r>
              <w:rPr>
                <w:rStyle w:val="63"/>
                <w:color w:val="000000" w:themeColor="text1"/>
                <w14:textFill>
                  <w14:solidFill>
                    <w14:schemeClr w14:val="tx1"/>
                  </w14:solidFill>
                </w14:textFill>
              </w:rPr>
              <w:t>324</w:t>
            </w:r>
            <w:r>
              <w:rPr>
                <w:rFonts w:hint="eastAsia" w:eastAsiaTheme="minorEastAsia"/>
                <w:color w:val="000000" w:themeColor="text1"/>
                <w14:textFill>
                  <w14:solidFill>
                    <w14:schemeClr w14:val="tx1"/>
                  </w14:solidFill>
                </w14:textFill>
              </w:rPr>
              <w:t>m</w:t>
            </w:r>
            <w:r>
              <w:rPr>
                <w:rFonts w:eastAsiaTheme="minorEastAsia"/>
                <w:color w:val="000000" w:themeColor="text1"/>
                <w:vertAlign w:val="superscript"/>
                <w14:textFill>
                  <w14:solidFill>
                    <w14:schemeClr w14:val="tx1"/>
                  </w14:solidFill>
                </w14:textFill>
              </w:rPr>
              <w:t>3</w:t>
            </w:r>
            <w:r>
              <w:rPr>
                <w:rFonts w:eastAsiaTheme="minorEastAsia"/>
                <w:color w:val="000000" w:themeColor="text1"/>
                <w14:textFill>
                  <w14:solidFill>
                    <w14:schemeClr w14:val="tx1"/>
                  </w14:solidFill>
                </w14:textFill>
              </w:rPr>
              <w:t>/</w:t>
            </w:r>
            <w:r>
              <w:rPr>
                <w:rFonts w:hint="eastAsia" w:eastAsiaTheme="minorEastAsia"/>
                <w:color w:val="000000" w:themeColor="text1"/>
                <w14:textFill>
                  <w14:solidFill>
                    <w14:schemeClr w14:val="tx1"/>
                  </w14:solidFill>
                </w14:textFill>
              </w:rPr>
              <w:t>a，年用胶量为4</w:t>
            </w:r>
            <w:r>
              <w:rPr>
                <w:rFonts w:eastAsiaTheme="minorEastAsia"/>
                <w:color w:val="000000" w:themeColor="text1"/>
                <w14:textFill>
                  <w14:solidFill>
                    <w14:schemeClr w14:val="tx1"/>
                  </w14:solidFill>
                </w14:textFill>
              </w:rPr>
              <w:t>0</w:t>
            </w:r>
            <w:r>
              <w:rPr>
                <w:rFonts w:hint="eastAsia" w:eastAsiaTheme="minorEastAsia"/>
                <w:color w:val="000000" w:themeColor="text1"/>
                <w14:textFill>
                  <w14:solidFill>
                    <w14:schemeClr w14:val="tx1"/>
                  </w14:solidFill>
                </w14:textFill>
              </w:rPr>
              <w:t>0 t/a，项目单位用胶排水量约为</w:t>
            </w:r>
            <w:r>
              <w:rPr>
                <w:rStyle w:val="63"/>
                <w:color w:val="000000" w:themeColor="text1"/>
                <w14:textFill>
                  <w14:solidFill>
                    <w14:schemeClr w14:val="tx1"/>
                  </w14:solidFill>
                </w14:textFill>
              </w:rPr>
              <w:t>0.81</w:t>
            </w:r>
            <w:r>
              <w:rPr>
                <w:rFonts w:hint="eastAsia" w:eastAsiaTheme="minorEastAsia"/>
                <w:color w:val="000000" w:themeColor="text1"/>
                <w14:textFill>
                  <w14:solidFill>
                    <w14:schemeClr w14:val="tx1"/>
                  </w14:solidFill>
                </w14:textFill>
              </w:rPr>
              <w:t>m³/t胶，低于《橡胶制品工业污染物排放标准》（</w:t>
            </w:r>
            <w:r>
              <w:rPr>
                <w:rFonts w:eastAsiaTheme="minorEastAsia"/>
                <w:color w:val="000000" w:themeColor="text1"/>
                <w14:textFill>
                  <w14:solidFill>
                    <w14:schemeClr w14:val="tx1"/>
                  </w14:solidFill>
                </w14:textFill>
              </w:rPr>
              <w:t>GB 27632-2011</w:t>
            </w:r>
            <w:r>
              <w:rPr>
                <w:rFonts w:hint="eastAsia" w:eastAsiaTheme="minorEastAsia"/>
                <w:color w:val="000000" w:themeColor="text1"/>
                <w14:textFill>
                  <w14:solidFill>
                    <w14:schemeClr w14:val="tx1"/>
                  </w14:solidFill>
                </w14:textFill>
              </w:rPr>
              <w:t>）表</w:t>
            </w:r>
            <w:r>
              <w:rPr>
                <w:rFonts w:eastAsiaTheme="minorEastAsia"/>
                <w:color w:val="000000" w:themeColor="text1"/>
                <w14:textFill>
                  <w14:solidFill>
                    <w14:schemeClr w14:val="tx1"/>
                  </w14:solidFill>
                </w14:textFill>
              </w:rPr>
              <w:t>2</w:t>
            </w:r>
            <w:r>
              <w:rPr>
                <w:rFonts w:hint="eastAsia" w:eastAsiaTheme="minorEastAsia"/>
                <w:color w:val="000000" w:themeColor="text1"/>
                <w14:textFill>
                  <w14:solidFill>
                    <w14:schemeClr w14:val="tx1"/>
                  </w14:solidFill>
                </w14:textFill>
              </w:rPr>
              <w:t>中基准排水量的要求（标准为</w:t>
            </w:r>
            <w:r>
              <w:rPr>
                <w:rFonts w:eastAsiaTheme="minorEastAsia"/>
                <w:color w:val="000000" w:themeColor="text1"/>
                <w14:textFill>
                  <w14:solidFill>
                    <w14:schemeClr w14:val="tx1"/>
                  </w14:solidFill>
                </w14:textFill>
              </w:rPr>
              <w:t>7m</w:t>
            </w:r>
            <w:r>
              <w:rPr>
                <w:rFonts w:eastAsiaTheme="minorEastAsia"/>
                <w:color w:val="000000" w:themeColor="text1"/>
                <w:vertAlign w:val="superscript"/>
                <w14:textFill>
                  <w14:solidFill>
                    <w14:schemeClr w14:val="tx1"/>
                  </w14:solidFill>
                </w14:textFill>
              </w:rPr>
              <w:t>3</w:t>
            </w:r>
            <w:r>
              <w:rPr>
                <w:rFonts w:eastAsiaTheme="minorEastAsia"/>
                <w:color w:val="000000" w:themeColor="text1"/>
                <w14:textFill>
                  <w14:solidFill>
                    <w14:schemeClr w14:val="tx1"/>
                  </w14:solidFill>
                </w14:textFill>
              </w:rPr>
              <w:t>/t</w:t>
            </w:r>
            <w:r>
              <w:rPr>
                <w:rFonts w:hint="eastAsia" w:eastAsiaTheme="minorEastAsia"/>
                <w:color w:val="000000" w:themeColor="text1"/>
                <w14:textFill>
                  <w14:solidFill>
                    <w14:schemeClr w14:val="tx1"/>
                  </w14:solidFill>
                </w14:textFill>
              </w:rPr>
              <w:t>胶）。</w:t>
            </w:r>
          </w:p>
        </w:tc>
      </w:tr>
    </w:tbl>
    <w:p>
      <w:pPr>
        <w:pStyle w:val="126"/>
        <w:numPr>
          <w:ilvl w:val="0"/>
          <w:numId w:val="0"/>
        </w:numPr>
      </w:pPr>
      <w:r>
        <w:rPr>
          <w:rFonts w:hint="eastAsia"/>
        </w:rPr>
        <w:t>（2）生产废水</w:t>
      </w:r>
    </w:p>
    <w:p>
      <w:pPr>
        <w:pStyle w:val="127"/>
        <w:numPr>
          <w:ilvl w:val="0"/>
          <w:numId w:val="32"/>
        </w:numPr>
      </w:pPr>
      <w:r>
        <w:rPr>
          <w:rFonts w:hint="eastAsia"/>
        </w:rPr>
        <w:t>冷却水补水</w:t>
      </w:r>
    </w:p>
    <w:p>
      <w:pPr>
        <w:ind w:firstLine="480"/>
      </w:pPr>
      <w:r>
        <w:t>项目使用</w:t>
      </w:r>
      <w:r>
        <w:rPr>
          <w:rFonts w:hint="eastAsia"/>
        </w:rPr>
        <w:t>1套自建冷却水循环系统，共设</w:t>
      </w:r>
      <w:r>
        <w:t>3</w:t>
      </w:r>
      <w:r>
        <w:rPr>
          <w:rFonts w:hint="eastAsia"/>
        </w:rPr>
        <w:t>台水泵，分别对应</w:t>
      </w:r>
      <w:r>
        <w:t>1</w:t>
      </w:r>
      <w:r>
        <w:rPr>
          <w:rFonts w:hint="eastAsia"/>
        </w:rPr>
        <w:t>台密炼机和</w:t>
      </w:r>
      <w:r>
        <w:t>2</w:t>
      </w:r>
      <w:r>
        <w:rPr>
          <w:rFonts w:hint="eastAsia"/>
        </w:rPr>
        <w:t>台开炼机，每台水泵的循环水量约</w:t>
      </w:r>
      <w:r>
        <w:t>2.5m</w:t>
      </w:r>
      <w:r>
        <w:rPr>
          <w:vertAlign w:val="superscript"/>
        </w:rPr>
        <w:t>3</w:t>
      </w:r>
      <w:r>
        <w:t>/h</w:t>
      </w:r>
      <w:r>
        <w:rPr>
          <w:rFonts w:hint="eastAsia"/>
        </w:rPr>
        <w:t>。项目正常生产中同一时段内只启用1台密炼机和1台开炼机及配套的循环水泵，总循环水量约5.0</w:t>
      </w:r>
      <w:r>
        <w:t>m</w:t>
      </w:r>
      <w:r>
        <w:rPr>
          <w:vertAlign w:val="superscript"/>
        </w:rPr>
        <w:t>3</w:t>
      </w:r>
      <w:r>
        <w:t>/h</w:t>
      </w:r>
      <w:r>
        <w:rPr>
          <w:rFonts w:hint="eastAsia"/>
        </w:rPr>
        <w:t>。</w:t>
      </w:r>
      <w:r>
        <w:t>结合一般冷却水塔的实际经验系数和</w:t>
      </w:r>
      <w:r>
        <w:rPr>
          <w:rFonts w:hint="eastAsia"/>
        </w:rPr>
        <w:t>《工业循环冷却设计规范》（GB</w:t>
      </w:r>
      <w:r>
        <w:t xml:space="preserve"> </w:t>
      </w:r>
      <w:r>
        <w:rPr>
          <w:rFonts w:hint="eastAsia"/>
        </w:rPr>
        <w:t>50102-2014），循环冷却系统蒸发水量约占总循环水量的</w:t>
      </w:r>
      <w:r>
        <w:t>2</w:t>
      </w:r>
      <w:r>
        <w:rPr>
          <w:rFonts w:hint="eastAsia"/>
        </w:rPr>
        <w:t>.0%，风吹损失水率约为0</w:t>
      </w:r>
      <w:r>
        <w:t>.8</w:t>
      </w:r>
      <w:r>
        <w:rPr>
          <w:rFonts w:hint="eastAsia"/>
        </w:rPr>
        <w:t>%。设备满负荷运行，混炼车间工作时间按照每天</w:t>
      </w:r>
      <w:r>
        <w:t>8</w:t>
      </w:r>
      <w:r>
        <w:rPr>
          <w:rFonts w:hint="eastAsia"/>
        </w:rPr>
        <w:t>h，年工作</w:t>
      </w:r>
      <w:r>
        <w:t>30</w:t>
      </w:r>
      <w:r>
        <w:rPr>
          <w:rFonts w:hint="eastAsia"/>
        </w:rPr>
        <w:t>0天，</w:t>
      </w:r>
      <w:r>
        <w:t>总循环水量为4</w:t>
      </w:r>
      <w:r>
        <w:rPr>
          <w:rFonts w:hint="eastAsia"/>
        </w:rPr>
        <w:t>0</w:t>
      </w:r>
      <w:r>
        <w:t xml:space="preserve"> m</w:t>
      </w:r>
      <w:r>
        <w:rPr>
          <w:vertAlign w:val="superscript"/>
        </w:rPr>
        <w:t>3</w:t>
      </w:r>
      <w:r>
        <w:t>/</w:t>
      </w:r>
      <w:r>
        <w:rPr>
          <w:rFonts w:hint="eastAsia"/>
        </w:rPr>
        <w:t>d（1</w:t>
      </w:r>
      <w:r>
        <w:t>2000m</w:t>
      </w:r>
      <w:r>
        <w:rPr>
          <w:vertAlign w:val="superscript"/>
        </w:rPr>
        <w:t>3</w:t>
      </w:r>
      <w:r>
        <w:t>/</w:t>
      </w:r>
      <w:r>
        <w:rPr>
          <w:rFonts w:hint="eastAsia"/>
        </w:rPr>
        <w:t>a）</w:t>
      </w:r>
      <w:r>
        <w:t>，</w:t>
      </w:r>
      <w:r>
        <w:rPr>
          <w:rFonts w:hint="eastAsia"/>
        </w:rPr>
        <w:t>总</w:t>
      </w:r>
      <w:r>
        <w:t>新鲜水补充量为1.12 m</w:t>
      </w:r>
      <w:r>
        <w:rPr>
          <w:vertAlign w:val="superscript"/>
        </w:rPr>
        <w:t>3</w:t>
      </w:r>
      <w:r>
        <w:t>/</w:t>
      </w:r>
      <w:r>
        <w:rPr>
          <w:rFonts w:hint="eastAsia"/>
        </w:rPr>
        <w:t>d（</w:t>
      </w:r>
      <w:r>
        <w:t>336m</w:t>
      </w:r>
      <w:r>
        <w:rPr>
          <w:vertAlign w:val="superscript"/>
        </w:rPr>
        <w:t>3</w:t>
      </w:r>
      <w:r>
        <w:t>/a</w:t>
      </w:r>
      <w:r>
        <w:rPr>
          <w:rFonts w:hint="eastAsia"/>
        </w:rPr>
        <w:t>）。冷却水循环使用，不外排。</w:t>
      </w:r>
    </w:p>
    <w:p>
      <w:pPr>
        <w:pStyle w:val="127"/>
        <w:numPr>
          <w:ilvl w:val="0"/>
          <w:numId w:val="32"/>
        </w:numPr>
        <w:snapToGrid w:val="0"/>
        <w:rPr>
          <w:rStyle w:val="63"/>
          <w:color w:val="000000" w:themeColor="text1"/>
          <w14:textFill>
            <w14:solidFill>
              <w14:schemeClr w14:val="tx1"/>
            </w14:solidFill>
          </w14:textFill>
        </w:rPr>
      </w:pPr>
      <w:r>
        <w:rPr>
          <w:rStyle w:val="63"/>
          <w:color w:val="000000" w:themeColor="text1"/>
          <w14:textFill>
            <w14:solidFill>
              <w14:schemeClr w14:val="tx1"/>
            </w14:solidFill>
          </w14:textFill>
        </w:rPr>
        <w:t>喷淋废水</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炼胶废气和硫化废气治理中拟设置水喷淋处理，喷淋塔采用双层喷淋，内附填料，同时由于喷淋过程中水汽挥发，需定期补充新鲜水，控制喷淋塔气液比在正常工作范围内，确保废气吸收效率。喷淋废水每半年更换一次，每次更换水量约5 m</w:t>
      </w:r>
      <w:r>
        <w:rPr>
          <w:rStyle w:val="63"/>
          <w:rFonts w:hint="eastAsia"/>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，则喷淋废水年更换量为10m</w:t>
      </w:r>
      <w:r>
        <w:rPr>
          <w:rStyle w:val="63"/>
          <w:rFonts w:hint="eastAsia"/>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w:t>
      </w:r>
      <w:bookmarkStart w:id="230" w:name="_Hlk12277006"/>
      <w:r>
        <w:rPr>
          <w:rStyle w:val="63"/>
          <w:rFonts w:hint="eastAsia"/>
          <w:color w:val="000000" w:themeColor="text1"/>
          <w14:textFill>
            <w14:solidFill>
              <w14:schemeClr w14:val="tx1"/>
            </w14:solidFill>
          </w14:textFill>
        </w:rPr>
        <w:t>更换的喷淋废水直接委托有资质的单位运走</w:t>
      </w:r>
      <w:bookmarkEnd w:id="230"/>
      <w:r>
        <w:rPr>
          <w:rStyle w:val="63"/>
          <w:rFonts w:hint="eastAsia"/>
          <w:color w:val="000000" w:themeColor="text1"/>
          <w14:textFill>
            <w14:solidFill>
              <w14:schemeClr w14:val="tx1"/>
            </w14:solidFill>
          </w14:textFill>
        </w:rPr>
        <w:t>，本项目厂区内不设废水收集池，本项目无生产废水排放。</w:t>
      </w:r>
    </w:p>
    <w:p>
      <w:pPr>
        <w:pStyle w:val="5"/>
      </w:pPr>
      <w:r>
        <w:rPr>
          <w:rFonts w:hint="eastAsia"/>
        </w:rPr>
        <w:t>营运期</w:t>
      </w:r>
      <w:r>
        <w:t>噪声</w:t>
      </w:r>
      <w:r>
        <w:rPr>
          <w:rFonts w:hint="eastAsia"/>
        </w:rPr>
        <w:t>污染</w:t>
      </w:r>
      <w:r>
        <w:t>源</w:t>
      </w:r>
      <w:r>
        <w:rPr>
          <w:rFonts w:hint="eastAsia"/>
        </w:rPr>
        <w:t>分析</w:t>
      </w:r>
    </w:p>
    <w:p>
      <w:pPr>
        <w:topLinePunct/>
        <w:snapToGrid w:val="0"/>
        <w:ind w:firstLine="480"/>
        <w:rPr>
          <w:rFonts w:eastAsiaTheme="minorEastAsia"/>
        </w:rPr>
      </w:pPr>
      <w:r>
        <w:rPr>
          <w:rFonts w:hint="eastAsia" w:eastAsiaTheme="minorEastAsia"/>
        </w:rPr>
        <w:t>本项目噪声主要来源为炼胶设备、裁切机、硫化机、废气处理设施、水泵等生产及辅助设备，其噪声源强约为65-95dB（A）。项目拟</w:t>
      </w:r>
      <w:r>
        <w:rPr>
          <w:rFonts w:eastAsiaTheme="minorEastAsia"/>
        </w:rPr>
        <w:t>对生产过程中产生的噪声主要采用设备基础减振以及厂房隔声等降噪措施，</w:t>
      </w:r>
      <w:r>
        <w:rPr>
          <w:rFonts w:hint="eastAsia" w:eastAsiaTheme="minorEastAsia"/>
        </w:rPr>
        <w:t>通过墙壁的阻挡和距离衰减</w:t>
      </w:r>
      <w:r>
        <w:rPr>
          <w:rFonts w:eastAsiaTheme="minorEastAsia"/>
        </w:rPr>
        <w:t>控制噪声对周围环境的影响，降噪效果在</w:t>
      </w:r>
      <w:r>
        <w:rPr>
          <w:rFonts w:hint="eastAsia" w:eastAsiaTheme="minorEastAsia"/>
        </w:rPr>
        <w:t>5~20</w:t>
      </w:r>
      <w:r>
        <w:rPr>
          <w:rFonts w:eastAsiaTheme="minorEastAsia"/>
        </w:rPr>
        <w:t>dB(A)</w:t>
      </w:r>
      <w:r>
        <w:rPr>
          <w:rFonts w:hint="eastAsia" w:eastAsiaTheme="minorEastAsia"/>
        </w:rPr>
        <w:t>左右，使项目厂界噪声符合《工业企业厂界环境噪声排放标准》（GB</w:t>
      </w:r>
      <w:r>
        <w:rPr>
          <w:rFonts w:eastAsiaTheme="minorEastAsia"/>
        </w:rPr>
        <w:t xml:space="preserve"> </w:t>
      </w:r>
      <w:r>
        <w:rPr>
          <w:rFonts w:hint="eastAsia" w:eastAsiaTheme="minorEastAsia"/>
        </w:rPr>
        <w:t>12348－2008）</w:t>
      </w:r>
      <w:r>
        <w:rPr>
          <w:rFonts w:eastAsiaTheme="minorEastAsia"/>
        </w:rPr>
        <w:t>2</w:t>
      </w:r>
      <w:r>
        <w:rPr>
          <w:rFonts w:hint="eastAsia" w:eastAsiaTheme="minorEastAsia"/>
        </w:rPr>
        <w:t>类区标准的要求</w:t>
      </w:r>
      <w:r>
        <w:rPr>
          <w:rFonts w:eastAsiaTheme="minorEastAsia"/>
        </w:rPr>
        <w:t>。根据调查及类比同类型企业，各类声源的噪声源强见</w:t>
      </w:r>
      <w:r>
        <w:rPr>
          <w:rFonts w:hint="eastAsia" w:eastAsiaTheme="minorEastAsia"/>
        </w:rPr>
        <w:t>下表</w:t>
      </w:r>
      <w:r>
        <w:rPr>
          <w:rFonts w:eastAsiaTheme="minorEastAsia"/>
        </w:rPr>
        <w:t>。</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2.8</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24</w:t>
      </w:r>
      <w:r>
        <w:fldChar w:fldCharType="end"/>
      </w:r>
      <w:r>
        <w:t xml:space="preserve"> </w:t>
      </w:r>
      <w:r>
        <w:rPr>
          <w:rFonts w:hint="eastAsia"/>
        </w:rPr>
        <w:t>项目主要机械噪声源及其运行噪声声级表</w:t>
      </w:r>
    </w:p>
    <w:tbl>
      <w:tblPr>
        <w:tblStyle w:val="56"/>
        <w:tblW w:w="9060" w:type="dxa"/>
        <w:tblInd w:w="0" w:type="dxa"/>
        <w:tblLayout w:type="fixed"/>
        <w:tblCellMar>
          <w:top w:w="0" w:type="dxa"/>
          <w:left w:w="108" w:type="dxa"/>
          <w:bottom w:w="0" w:type="dxa"/>
          <w:right w:w="108" w:type="dxa"/>
        </w:tblCellMar>
      </w:tblPr>
      <w:tblGrid>
        <w:gridCol w:w="591"/>
        <w:gridCol w:w="1479"/>
        <w:gridCol w:w="857"/>
        <w:gridCol w:w="1210"/>
        <w:gridCol w:w="1330"/>
        <w:gridCol w:w="739"/>
        <w:gridCol w:w="2854"/>
      </w:tblGrid>
      <w:tr>
        <w:tblPrEx>
          <w:tblLayout w:type="fixed"/>
          <w:tblCellMar>
            <w:top w:w="0" w:type="dxa"/>
            <w:left w:w="108" w:type="dxa"/>
            <w:bottom w:w="0" w:type="dxa"/>
            <w:right w:w="108" w:type="dxa"/>
          </w:tblCellMar>
        </w:tblPrEx>
        <w:trPr>
          <w:trHeight w:val="855" w:hRule="atLeast"/>
        </w:trPr>
        <w:tc>
          <w:tcPr>
            <w:tcW w:w="591"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序号</w:t>
            </w:r>
          </w:p>
        </w:tc>
        <w:tc>
          <w:tcPr>
            <w:tcW w:w="2336" w:type="dxa"/>
            <w:gridSpan w:val="2"/>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噪声源</w:t>
            </w:r>
          </w:p>
        </w:tc>
        <w:tc>
          <w:tcPr>
            <w:tcW w:w="1210"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数量</w:t>
            </w:r>
          </w:p>
        </w:tc>
        <w:tc>
          <w:tcPr>
            <w:tcW w:w="1330"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距设备</w:t>
            </w:r>
            <w:r>
              <w:rPr>
                <w:b/>
              </w:rPr>
              <w:t>1m</w:t>
            </w:r>
            <w:r>
              <w:rPr>
                <w:rFonts w:hint="eastAsia"/>
                <w:b/>
              </w:rPr>
              <w:t>处声压级</w:t>
            </w:r>
            <w:r>
              <w:rPr>
                <w:b/>
              </w:rPr>
              <w:t>dB(A)</w:t>
            </w:r>
          </w:p>
        </w:tc>
        <w:tc>
          <w:tcPr>
            <w:tcW w:w="739"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排放规律</w:t>
            </w:r>
          </w:p>
        </w:tc>
        <w:tc>
          <w:tcPr>
            <w:tcW w:w="2854"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rPr>
            </w:pPr>
            <w:r>
              <w:rPr>
                <w:rFonts w:hint="eastAsia"/>
                <w:b/>
              </w:rPr>
              <w:t>控制措施</w:t>
            </w:r>
          </w:p>
        </w:tc>
      </w:tr>
      <w:tr>
        <w:tblPrEx>
          <w:tblLayout w:type="fixed"/>
          <w:tblCellMar>
            <w:top w:w="0" w:type="dxa"/>
            <w:left w:w="108" w:type="dxa"/>
            <w:bottom w:w="0" w:type="dxa"/>
            <w:right w:w="108" w:type="dxa"/>
          </w:tblCellMar>
        </w:tblPrEx>
        <w:trPr>
          <w:trHeight w:val="285"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3"/>
              </w:num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密炼机</w:t>
            </w:r>
          </w:p>
        </w:tc>
        <w:tc>
          <w:tcPr>
            <w:tcW w:w="1210" w:type="dxa"/>
            <w:tcBorders>
              <w:top w:val="nil"/>
              <w:left w:val="nil"/>
              <w:bottom w:val="single" w:color="auto" w:sz="4" w:space="0"/>
              <w:right w:val="single" w:color="auto" w:sz="4" w:space="0"/>
            </w:tcBorders>
            <w:shd w:val="clear" w:color="auto" w:fill="auto"/>
            <w:vAlign w:val="center"/>
          </w:tcPr>
          <w:p>
            <w:pPr>
              <w:pStyle w:val="107"/>
            </w:pPr>
            <w:r>
              <w:t>1</w:t>
            </w:r>
            <w:r>
              <w:rPr>
                <w:rFonts w:hint="eastAsia"/>
              </w:rPr>
              <w:t>台</w:t>
            </w:r>
          </w:p>
        </w:tc>
        <w:tc>
          <w:tcPr>
            <w:tcW w:w="1330" w:type="dxa"/>
            <w:tcBorders>
              <w:top w:val="nil"/>
              <w:left w:val="nil"/>
              <w:bottom w:val="single" w:color="auto" w:sz="4" w:space="0"/>
              <w:right w:val="single" w:color="auto" w:sz="4" w:space="0"/>
            </w:tcBorders>
            <w:shd w:val="clear" w:color="auto" w:fill="auto"/>
            <w:vAlign w:val="center"/>
          </w:tcPr>
          <w:p>
            <w:pPr>
              <w:pStyle w:val="107"/>
            </w:pPr>
            <w:r>
              <w:t>80~85</w:t>
            </w:r>
          </w:p>
        </w:tc>
        <w:tc>
          <w:tcPr>
            <w:tcW w:w="739" w:type="dxa"/>
            <w:tcBorders>
              <w:top w:val="nil"/>
              <w:left w:val="nil"/>
              <w:bottom w:val="single" w:color="auto" w:sz="4" w:space="0"/>
              <w:right w:val="single" w:color="auto" w:sz="4" w:space="0"/>
            </w:tcBorders>
            <w:shd w:val="clear" w:color="auto" w:fill="auto"/>
            <w:vAlign w:val="center"/>
          </w:tcPr>
          <w:p>
            <w:pPr>
              <w:pStyle w:val="107"/>
            </w:pPr>
            <w:r>
              <w:rPr>
                <w:rFonts w:hint="eastAsia"/>
              </w:rPr>
              <w:t>连续</w:t>
            </w:r>
          </w:p>
        </w:tc>
        <w:tc>
          <w:tcPr>
            <w:tcW w:w="2854" w:type="dxa"/>
            <w:tcBorders>
              <w:top w:val="nil"/>
              <w:left w:val="nil"/>
              <w:bottom w:val="single" w:color="auto" w:sz="4" w:space="0"/>
              <w:right w:val="single" w:color="auto" w:sz="4" w:space="0"/>
            </w:tcBorders>
            <w:shd w:val="clear" w:color="auto" w:fill="auto"/>
            <w:vAlign w:val="center"/>
          </w:tcPr>
          <w:p>
            <w:pPr>
              <w:pStyle w:val="107"/>
            </w:pPr>
            <w:r>
              <w:rPr>
                <w:rFonts w:hint="eastAsia"/>
              </w:rPr>
              <w:t>基础减振、厂房隔声</w:t>
            </w:r>
          </w:p>
        </w:tc>
      </w:tr>
      <w:tr>
        <w:tblPrEx>
          <w:tblLayout w:type="fixed"/>
          <w:tblCellMar>
            <w:top w:w="0" w:type="dxa"/>
            <w:left w:w="108" w:type="dxa"/>
            <w:bottom w:w="0" w:type="dxa"/>
            <w:right w:w="108" w:type="dxa"/>
          </w:tblCellMar>
        </w:tblPrEx>
        <w:trPr>
          <w:trHeight w:val="285"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3"/>
              </w:num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开炼机</w:t>
            </w:r>
          </w:p>
        </w:tc>
        <w:tc>
          <w:tcPr>
            <w:tcW w:w="1210" w:type="dxa"/>
            <w:tcBorders>
              <w:top w:val="nil"/>
              <w:left w:val="nil"/>
              <w:bottom w:val="single" w:color="auto" w:sz="4" w:space="0"/>
              <w:right w:val="single" w:color="auto" w:sz="4" w:space="0"/>
            </w:tcBorders>
            <w:shd w:val="clear" w:color="auto" w:fill="auto"/>
            <w:vAlign w:val="center"/>
          </w:tcPr>
          <w:p>
            <w:pPr>
              <w:pStyle w:val="107"/>
            </w:pPr>
            <w:r>
              <w:t>2</w:t>
            </w:r>
            <w:r>
              <w:rPr>
                <w:rFonts w:hint="eastAsia"/>
              </w:rPr>
              <w:t>台</w:t>
            </w:r>
          </w:p>
        </w:tc>
        <w:tc>
          <w:tcPr>
            <w:tcW w:w="1330" w:type="dxa"/>
            <w:tcBorders>
              <w:top w:val="nil"/>
              <w:left w:val="nil"/>
              <w:bottom w:val="single" w:color="auto" w:sz="4" w:space="0"/>
              <w:right w:val="single" w:color="auto" w:sz="4" w:space="0"/>
            </w:tcBorders>
            <w:shd w:val="clear" w:color="auto" w:fill="auto"/>
            <w:vAlign w:val="center"/>
          </w:tcPr>
          <w:p>
            <w:pPr>
              <w:pStyle w:val="107"/>
            </w:pPr>
            <w:r>
              <w:t>80~85</w:t>
            </w:r>
          </w:p>
        </w:tc>
        <w:tc>
          <w:tcPr>
            <w:tcW w:w="739" w:type="dxa"/>
            <w:tcBorders>
              <w:top w:val="nil"/>
              <w:left w:val="nil"/>
              <w:bottom w:val="single" w:color="auto" w:sz="4" w:space="0"/>
              <w:right w:val="single" w:color="auto" w:sz="4" w:space="0"/>
            </w:tcBorders>
            <w:shd w:val="clear" w:color="auto" w:fill="auto"/>
            <w:vAlign w:val="center"/>
          </w:tcPr>
          <w:p>
            <w:pPr>
              <w:pStyle w:val="107"/>
            </w:pPr>
            <w:r>
              <w:rPr>
                <w:rFonts w:hint="eastAsia"/>
              </w:rPr>
              <w:t>连续</w:t>
            </w:r>
          </w:p>
        </w:tc>
        <w:tc>
          <w:tcPr>
            <w:tcW w:w="2854" w:type="dxa"/>
            <w:tcBorders>
              <w:top w:val="nil"/>
              <w:left w:val="nil"/>
              <w:bottom w:val="single" w:color="auto" w:sz="4" w:space="0"/>
              <w:right w:val="single" w:color="auto" w:sz="4" w:space="0"/>
            </w:tcBorders>
            <w:shd w:val="clear" w:color="auto" w:fill="auto"/>
            <w:vAlign w:val="center"/>
          </w:tcPr>
          <w:p>
            <w:pPr>
              <w:pStyle w:val="107"/>
            </w:pPr>
            <w:r>
              <w:rPr>
                <w:rFonts w:hint="eastAsia"/>
              </w:rPr>
              <w:t>基础减振、厂房隔声</w:t>
            </w:r>
          </w:p>
        </w:tc>
      </w:tr>
      <w:tr>
        <w:tblPrEx>
          <w:tblLayout w:type="fixed"/>
          <w:tblCellMar>
            <w:top w:w="0" w:type="dxa"/>
            <w:left w:w="108" w:type="dxa"/>
            <w:bottom w:w="0" w:type="dxa"/>
            <w:right w:w="108" w:type="dxa"/>
          </w:tblCellMar>
        </w:tblPrEx>
        <w:trPr>
          <w:trHeight w:val="285"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3"/>
              </w:num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裁切机</w:t>
            </w:r>
          </w:p>
        </w:tc>
        <w:tc>
          <w:tcPr>
            <w:tcW w:w="1210" w:type="dxa"/>
            <w:tcBorders>
              <w:top w:val="nil"/>
              <w:left w:val="nil"/>
              <w:bottom w:val="single" w:color="auto" w:sz="4" w:space="0"/>
              <w:right w:val="single" w:color="auto" w:sz="4" w:space="0"/>
            </w:tcBorders>
            <w:shd w:val="clear" w:color="auto" w:fill="auto"/>
            <w:vAlign w:val="center"/>
          </w:tcPr>
          <w:p>
            <w:pPr>
              <w:pStyle w:val="107"/>
            </w:pPr>
            <w:r>
              <w:t>1</w:t>
            </w:r>
            <w:r>
              <w:rPr>
                <w:rFonts w:hint="eastAsia"/>
              </w:rPr>
              <w:t>台</w:t>
            </w:r>
          </w:p>
        </w:tc>
        <w:tc>
          <w:tcPr>
            <w:tcW w:w="1330" w:type="dxa"/>
            <w:tcBorders>
              <w:top w:val="nil"/>
              <w:left w:val="nil"/>
              <w:bottom w:val="single" w:color="auto" w:sz="4" w:space="0"/>
              <w:right w:val="single" w:color="auto" w:sz="4" w:space="0"/>
            </w:tcBorders>
            <w:shd w:val="clear" w:color="auto" w:fill="auto"/>
            <w:vAlign w:val="center"/>
          </w:tcPr>
          <w:p>
            <w:pPr>
              <w:pStyle w:val="107"/>
            </w:pPr>
            <w:r>
              <w:t>75~80</w:t>
            </w:r>
          </w:p>
        </w:tc>
        <w:tc>
          <w:tcPr>
            <w:tcW w:w="739" w:type="dxa"/>
            <w:tcBorders>
              <w:top w:val="nil"/>
              <w:left w:val="nil"/>
              <w:bottom w:val="single" w:color="auto" w:sz="4" w:space="0"/>
              <w:right w:val="single" w:color="auto" w:sz="4" w:space="0"/>
            </w:tcBorders>
            <w:shd w:val="clear" w:color="auto" w:fill="auto"/>
            <w:vAlign w:val="center"/>
          </w:tcPr>
          <w:p>
            <w:pPr>
              <w:pStyle w:val="107"/>
            </w:pPr>
            <w:r>
              <w:rPr>
                <w:rFonts w:hint="eastAsia"/>
              </w:rPr>
              <w:t>连续</w:t>
            </w:r>
          </w:p>
        </w:tc>
        <w:tc>
          <w:tcPr>
            <w:tcW w:w="2854" w:type="dxa"/>
            <w:tcBorders>
              <w:top w:val="nil"/>
              <w:left w:val="nil"/>
              <w:bottom w:val="single" w:color="auto" w:sz="4" w:space="0"/>
              <w:right w:val="single" w:color="auto" w:sz="4" w:space="0"/>
            </w:tcBorders>
            <w:shd w:val="clear" w:color="auto" w:fill="auto"/>
            <w:vAlign w:val="center"/>
          </w:tcPr>
          <w:p>
            <w:pPr>
              <w:pStyle w:val="107"/>
            </w:pPr>
            <w:r>
              <w:rPr>
                <w:rFonts w:hint="eastAsia"/>
              </w:rPr>
              <w:t>基础减振、厂房隔声</w:t>
            </w:r>
          </w:p>
        </w:tc>
      </w:tr>
      <w:tr>
        <w:tblPrEx>
          <w:tblLayout w:type="fixed"/>
          <w:tblCellMar>
            <w:top w:w="0" w:type="dxa"/>
            <w:left w:w="108" w:type="dxa"/>
            <w:bottom w:w="0" w:type="dxa"/>
            <w:right w:w="108" w:type="dxa"/>
          </w:tblCellMar>
        </w:tblPrEx>
        <w:trPr>
          <w:trHeight w:val="285"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3"/>
              </w:num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硫化机</w:t>
            </w:r>
          </w:p>
        </w:tc>
        <w:tc>
          <w:tcPr>
            <w:tcW w:w="1210" w:type="dxa"/>
            <w:tcBorders>
              <w:top w:val="nil"/>
              <w:left w:val="nil"/>
              <w:bottom w:val="single" w:color="auto" w:sz="4" w:space="0"/>
              <w:right w:val="single" w:color="auto" w:sz="4" w:space="0"/>
            </w:tcBorders>
            <w:shd w:val="clear" w:color="auto" w:fill="auto"/>
            <w:vAlign w:val="center"/>
          </w:tcPr>
          <w:p>
            <w:pPr>
              <w:pStyle w:val="107"/>
            </w:pPr>
            <w:r>
              <w:t>1</w:t>
            </w:r>
            <w:r>
              <w:rPr>
                <w:rFonts w:hint="eastAsia"/>
              </w:rPr>
              <w:t>0台</w:t>
            </w:r>
          </w:p>
        </w:tc>
        <w:tc>
          <w:tcPr>
            <w:tcW w:w="1330" w:type="dxa"/>
            <w:tcBorders>
              <w:top w:val="nil"/>
              <w:left w:val="nil"/>
              <w:bottom w:val="single" w:color="auto" w:sz="4" w:space="0"/>
              <w:right w:val="single" w:color="auto" w:sz="4" w:space="0"/>
            </w:tcBorders>
            <w:shd w:val="clear" w:color="auto" w:fill="auto"/>
            <w:vAlign w:val="center"/>
          </w:tcPr>
          <w:p>
            <w:pPr>
              <w:pStyle w:val="107"/>
            </w:pPr>
            <w:r>
              <w:t>65~70</w:t>
            </w:r>
          </w:p>
        </w:tc>
        <w:tc>
          <w:tcPr>
            <w:tcW w:w="739" w:type="dxa"/>
            <w:tcBorders>
              <w:top w:val="nil"/>
              <w:left w:val="nil"/>
              <w:bottom w:val="single" w:color="auto" w:sz="4" w:space="0"/>
              <w:right w:val="single" w:color="auto" w:sz="4" w:space="0"/>
            </w:tcBorders>
            <w:shd w:val="clear" w:color="auto" w:fill="auto"/>
            <w:vAlign w:val="center"/>
          </w:tcPr>
          <w:p>
            <w:pPr>
              <w:pStyle w:val="107"/>
            </w:pPr>
            <w:r>
              <w:rPr>
                <w:rFonts w:hint="eastAsia"/>
              </w:rPr>
              <w:t>连续</w:t>
            </w:r>
          </w:p>
        </w:tc>
        <w:tc>
          <w:tcPr>
            <w:tcW w:w="2854" w:type="dxa"/>
            <w:tcBorders>
              <w:top w:val="nil"/>
              <w:left w:val="nil"/>
              <w:bottom w:val="single" w:color="auto" w:sz="4" w:space="0"/>
              <w:right w:val="single" w:color="auto" w:sz="4" w:space="0"/>
            </w:tcBorders>
            <w:shd w:val="clear" w:color="auto" w:fill="auto"/>
            <w:vAlign w:val="center"/>
          </w:tcPr>
          <w:p>
            <w:pPr>
              <w:pStyle w:val="107"/>
            </w:pPr>
            <w:r>
              <w:rPr>
                <w:rFonts w:hint="eastAsia"/>
              </w:rPr>
              <w:t>基础减振、厂房隔声</w:t>
            </w:r>
          </w:p>
        </w:tc>
      </w:tr>
      <w:tr>
        <w:tblPrEx>
          <w:tblLayout w:type="fixed"/>
          <w:tblCellMar>
            <w:top w:w="0" w:type="dxa"/>
            <w:left w:w="108" w:type="dxa"/>
            <w:bottom w:w="0" w:type="dxa"/>
            <w:right w:w="108" w:type="dxa"/>
          </w:tblCellMar>
        </w:tblPrEx>
        <w:trPr>
          <w:trHeight w:val="285"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3"/>
              </w:num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空气压缩机</w:t>
            </w:r>
          </w:p>
        </w:tc>
        <w:tc>
          <w:tcPr>
            <w:tcW w:w="1210" w:type="dxa"/>
            <w:tcBorders>
              <w:top w:val="nil"/>
              <w:left w:val="nil"/>
              <w:bottom w:val="single" w:color="auto" w:sz="4" w:space="0"/>
              <w:right w:val="single" w:color="auto" w:sz="4" w:space="0"/>
            </w:tcBorders>
            <w:shd w:val="clear" w:color="auto" w:fill="auto"/>
            <w:vAlign w:val="center"/>
          </w:tcPr>
          <w:p>
            <w:pPr>
              <w:pStyle w:val="107"/>
            </w:pPr>
            <w:r>
              <w:rPr>
                <w:rFonts w:hint="eastAsia"/>
              </w:rPr>
              <w:t>1台</w:t>
            </w:r>
          </w:p>
        </w:tc>
        <w:tc>
          <w:tcPr>
            <w:tcW w:w="1330" w:type="dxa"/>
            <w:tcBorders>
              <w:top w:val="nil"/>
              <w:left w:val="nil"/>
              <w:bottom w:val="single" w:color="auto" w:sz="4" w:space="0"/>
              <w:right w:val="single" w:color="auto" w:sz="4" w:space="0"/>
            </w:tcBorders>
            <w:shd w:val="clear" w:color="auto" w:fill="auto"/>
            <w:vAlign w:val="center"/>
          </w:tcPr>
          <w:p>
            <w:pPr>
              <w:pStyle w:val="107"/>
            </w:pPr>
            <w:r>
              <w:t>90~95</w:t>
            </w:r>
          </w:p>
        </w:tc>
        <w:tc>
          <w:tcPr>
            <w:tcW w:w="739" w:type="dxa"/>
            <w:tcBorders>
              <w:top w:val="nil"/>
              <w:left w:val="nil"/>
              <w:bottom w:val="single" w:color="auto" w:sz="4" w:space="0"/>
              <w:right w:val="single" w:color="auto" w:sz="4" w:space="0"/>
            </w:tcBorders>
            <w:shd w:val="clear" w:color="auto" w:fill="auto"/>
            <w:vAlign w:val="center"/>
          </w:tcPr>
          <w:p>
            <w:pPr>
              <w:pStyle w:val="107"/>
            </w:pPr>
            <w:r>
              <w:rPr>
                <w:rFonts w:hint="eastAsia"/>
              </w:rPr>
              <w:t>连续</w:t>
            </w:r>
          </w:p>
        </w:tc>
        <w:tc>
          <w:tcPr>
            <w:tcW w:w="2854" w:type="dxa"/>
            <w:tcBorders>
              <w:top w:val="nil"/>
              <w:left w:val="nil"/>
              <w:bottom w:val="single" w:color="auto" w:sz="4" w:space="0"/>
              <w:right w:val="single" w:color="auto" w:sz="4" w:space="0"/>
            </w:tcBorders>
            <w:shd w:val="clear" w:color="auto" w:fill="auto"/>
            <w:vAlign w:val="center"/>
          </w:tcPr>
          <w:p>
            <w:pPr>
              <w:pStyle w:val="107"/>
            </w:pPr>
            <w:r>
              <w:rPr>
                <w:rFonts w:hint="eastAsia"/>
              </w:rPr>
              <w:t>基础减振、厂房隔声</w:t>
            </w:r>
          </w:p>
        </w:tc>
      </w:tr>
      <w:tr>
        <w:tblPrEx>
          <w:tblLayout w:type="fixed"/>
          <w:tblCellMar>
            <w:top w:w="0" w:type="dxa"/>
            <w:left w:w="108" w:type="dxa"/>
            <w:bottom w:w="0" w:type="dxa"/>
            <w:right w:w="108" w:type="dxa"/>
          </w:tblCellMar>
        </w:tblPrEx>
        <w:trPr>
          <w:trHeight w:val="285"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3"/>
              </w:num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抛丸机</w:t>
            </w:r>
          </w:p>
        </w:tc>
        <w:tc>
          <w:tcPr>
            <w:tcW w:w="1210" w:type="dxa"/>
            <w:tcBorders>
              <w:top w:val="nil"/>
              <w:left w:val="nil"/>
              <w:bottom w:val="single" w:color="auto" w:sz="4" w:space="0"/>
              <w:right w:val="single" w:color="auto" w:sz="4" w:space="0"/>
            </w:tcBorders>
            <w:shd w:val="clear" w:color="auto" w:fill="auto"/>
            <w:vAlign w:val="center"/>
          </w:tcPr>
          <w:p>
            <w:pPr>
              <w:pStyle w:val="107"/>
            </w:pPr>
            <w:r>
              <w:rPr>
                <w:rFonts w:hint="eastAsia"/>
              </w:rPr>
              <w:t>1台</w:t>
            </w:r>
          </w:p>
        </w:tc>
        <w:tc>
          <w:tcPr>
            <w:tcW w:w="1330" w:type="dxa"/>
            <w:tcBorders>
              <w:top w:val="nil"/>
              <w:left w:val="nil"/>
              <w:bottom w:val="single" w:color="auto" w:sz="4" w:space="0"/>
              <w:right w:val="single" w:color="auto" w:sz="4" w:space="0"/>
            </w:tcBorders>
            <w:shd w:val="clear" w:color="auto" w:fill="auto"/>
            <w:vAlign w:val="center"/>
          </w:tcPr>
          <w:p>
            <w:pPr>
              <w:pStyle w:val="107"/>
            </w:pPr>
            <w:r>
              <w:t>80~85</w:t>
            </w:r>
          </w:p>
        </w:tc>
        <w:tc>
          <w:tcPr>
            <w:tcW w:w="739" w:type="dxa"/>
            <w:tcBorders>
              <w:top w:val="nil"/>
              <w:left w:val="nil"/>
              <w:bottom w:val="single" w:color="auto" w:sz="4" w:space="0"/>
              <w:right w:val="single" w:color="auto" w:sz="4" w:space="0"/>
            </w:tcBorders>
            <w:shd w:val="clear" w:color="auto" w:fill="auto"/>
            <w:vAlign w:val="center"/>
          </w:tcPr>
          <w:p>
            <w:pPr>
              <w:pStyle w:val="107"/>
            </w:pPr>
            <w:r>
              <w:rPr>
                <w:rFonts w:hint="eastAsia"/>
              </w:rPr>
              <w:t>连续</w:t>
            </w:r>
          </w:p>
        </w:tc>
        <w:tc>
          <w:tcPr>
            <w:tcW w:w="2854" w:type="dxa"/>
            <w:tcBorders>
              <w:top w:val="nil"/>
              <w:left w:val="nil"/>
              <w:bottom w:val="single" w:color="auto" w:sz="4" w:space="0"/>
              <w:right w:val="single" w:color="auto" w:sz="4" w:space="0"/>
            </w:tcBorders>
            <w:shd w:val="clear" w:color="auto" w:fill="auto"/>
            <w:vAlign w:val="center"/>
          </w:tcPr>
          <w:p>
            <w:pPr>
              <w:pStyle w:val="107"/>
            </w:pPr>
            <w:r>
              <w:rPr>
                <w:rFonts w:hint="eastAsia"/>
              </w:rPr>
              <w:t>基础减振、厂房隔声</w:t>
            </w:r>
          </w:p>
        </w:tc>
      </w:tr>
      <w:tr>
        <w:tblPrEx>
          <w:tblLayout w:type="fixed"/>
          <w:tblCellMar>
            <w:top w:w="0" w:type="dxa"/>
            <w:left w:w="108" w:type="dxa"/>
            <w:bottom w:w="0" w:type="dxa"/>
            <w:right w:w="108" w:type="dxa"/>
          </w:tblCellMar>
        </w:tblPrEx>
        <w:trPr>
          <w:trHeight w:val="285" w:hRule="atLeast"/>
        </w:trPr>
        <w:tc>
          <w:tcPr>
            <w:tcW w:w="591"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33"/>
              </w:numPr>
            </w:pPr>
          </w:p>
        </w:tc>
        <w:tc>
          <w:tcPr>
            <w:tcW w:w="2336"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冷却循环水池水泵</w:t>
            </w:r>
          </w:p>
        </w:tc>
        <w:tc>
          <w:tcPr>
            <w:tcW w:w="1210" w:type="dxa"/>
            <w:tcBorders>
              <w:top w:val="nil"/>
              <w:left w:val="nil"/>
              <w:bottom w:val="single" w:color="auto" w:sz="4" w:space="0"/>
              <w:right w:val="single" w:color="auto" w:sz="4" w:space="0"/>
            </w:tcBorders>
            <w:shd w:val="clear" w:color="auto" w:fill="auto"/>
            <w:vAlign w:val="center"/>
          </w:tcPr>
          <w:p>
            <w:pPr>
              <w:pStyle w:val="107"/>
              <w:rPr>
                <w:rFonts w:hint="eastAsia"/>
              </w:rPr>
            </w:pPr>
            <w:r>
              <w:t>3</w:t>
            </w:r>
            <w:r>
              <w:rPr>
                <w:rFonts w:hint="eastAsia"/>
              </w:rPr>
              <w:t>台</w:t>
            </w:r>
          </w:p>
        </w:tc>
        <w:tc>
          <w:tcPr>
            <w:tcW w:w="1330" w:type="dxa"/>
            <w:tcBorders>
              <w:top w:val="nil"/>
              <w:left w:val="nil"/>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rPr>
            </w:pPr>
            <w:r>
              <w:rPr>
                <w:rFonts w:eastAsia="等线" w:cs="Arial"/>
                <w:color w:val="000000"/>
                <w:sz w:val="21"/>
                <w:szCs w:val="21"/>
              </w:rPr>
              <w:t>75~80</w:t>
            </w:r>
          </w:p>
        </w:tc>
        <w:tc>
          <w:tcPr>
            <w:tcW w:w="739" w:type="dxa"/>
            <w:tcBorders>
              <w:top w:val="nil"/>
              <w:left w:val="nil"/>
              <w:bottom w:val="single" w:color="auto" w:sz="4" w:space="0"/>
              <w:right w:val="single" w:color="auto" w:sz="4" w:space="0"/>
            </w:tcBorders>
            <w:shd w:val="clear" w:color="auto" w:fill="auto"/>
            <w:vAlign w:val="center"/>
          </w:tcPr>
          <w:p>
            <w:pPr>
              <w:pStyle w:val="107"/>
            </w:pPr>
            <w:r>
              <w:rPr>
                <w:rFonts w:hint="eastAsia"/>
              </w:rPr>
              <w:t>连续</w:t>
            </w:r>
          </w:p>
        </w:tc>
        <w:tc>
          <w:tcPr>
            <w:tcW w:w="2854" w:type="dxa"/>
            <w:tcBorders>
              <w:top w:val="nil"/>
              <w:left w:val="nil"/>
              <w:bottom w:val="single" w:color="auto" w:sz="4" w:space="0"/>
              <w:right w:val="single" w:color="auto" w:sz="4" w:space="0"/>
            </w:tcBorders>
            <w:shd w:val="clear" w:color="auto" w:fill="auto"/>
            <w:vAlign w:val="center"/>
          </w:tcPr>
          <w:p>
            <w:pPr>
              <w:pStyle w:val="107"/>
            </w:pPr>
            <w:r>
              <w:rPr>
                <w:rFonts w:hint="eastAsia"/>
              </w:rPr>
              <w:t>基础减振、安装消声器</w:t>
            </w:r>
          </w:p>
        </w:tc>
      </w:tr>
      <w:tr>
        <w:tblPrEx>
          <w:tblLayout w:type="fixed"/>
          <w:tblCellMar>
            <w:top w:w="0" w:type="dxa"/>
            <w:left w:w="108" w:type="dxa"/>
            <w:bottom w:w="0" w:type="dxa"/>
            <w:right w:w="108" w:type="dxa"/>
          </w:tblCellMar>
        </w:tblPrEx>
        <w:trPr>
          <w:trHeight w:val="525" w:hRule="atLeast"/>
        </w:trPr>
        <w:tc>
          <w:tcPr>
            <w:tcW w:w="591" w:type="dxa"/>
            <w:tcBorders>
              <w:top w:val="single" w:color="auto" w:sz="4" w:space="0"/>
              <w:left w:val="single" w:color="auto" w:sz="4" w:space="0"/>
              <w:bottom w:val="single" w:color="auto" w:sz="4" w:space="0"/>
              <w:right w:val="single" w:color="auto" w:sz="4" w:space="0"/>
            </w:tcBorders>
            <w:vAlign w:val="center"/>
          </w:tcPr>
          <w:p>
            <w:pPr>
              <w:pStyle w:val="107"/>
              <w:numPr>
                <w:ilvl w:val="0"/>
                <w:numId w:val="33"/>
              </w:numPr>
            </w:pPr>
          </w:p>
        </w:tc>
        <w:tc>
          <w:tcPr>
            <w:tcW w:w="1479"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布袋除尘处理设施</w:t>
            </w:r>
          </w:p>
        </w:tc>
        <w:tc>
          <w:tcPr>
            <w:tcW w:w="857" w:type="dxa"/>
            <w:tcBorders>
              <w:top w:val="nil"/>
              <w:left w:val="nil"/>
              <w:bottom w:val="single" w:color="auto" w:sz="4" w:space="0"/>
              <w:right w:val="single" w:color="auto" w:sz="4" w:space="0"/>
            </w:tcBorders>
            <w:shd w:val="clear" w:color="auto" w:fill="auto"/>
            <w:vAlign w:val="center"/>
          </w:tcPr>
          <w:p>
            <w:pPr>
              <w:pStyle w:val="107"/>
            </w:pPr>
            <w:r>
              <w:rPr>
                <w:rFonts w:hint="eastAsia"/>
              </w:rPr>
              <w:t>配套风机</w:t>
            </w:r>
          </w:p>
        </w:tc>
        <w:tc>
          <w:tcPr>
            <w:tcW w:w="1210" w:type="dxa"/>
            <w:tcBorders>
              <w:top w:val="nil"/>
              <w:left w:val="nil"/>
              <w:bottom w:val="single" w:color="auto" w:sz="4" w:space="0"/>
              <w:right w:val="single" w:color="auto" w:sz="4" w:space="0"/>
            </w:tcBorders>
            <w:shd w:val="clear" w:color="auto" w:fill="auto"/>
            <w:vAlign w:val="center"/>
          </w:tcPr>
          <w:p>
            <w:pPr>
              <w:pStyle w:val="107"/>
            </w:pPr>
            <w:r>
              <w:rPr>
                <w:rFonts w:hint="eastAsia"/>
              </w:rPr>
              <w:t>1套</w:t>
            </w:r>
          </w:p>
        </w:tc>
        <w:tc>
          <w:tcPr>
            <w:tcW w:w="1330" w:type="dxa"/>
            <w:tcBorders>
              <w:top w:val="nil"/>
              <w:left w:val="nil"/>
              <w:bottom w:val="single" w:color="auto" w:sz="4" w:space="0"/>
              <w:right w:val="single" w:color="auto" w:sz="4" w:space="0"/>
            </w:tcBorders>
            <w:shd w:val="clear" w:color="auto" w:fill="auto"/>
            <w:vAlign w:val="center"/>
          </w:tcPr>
          <w:p>
            <w:pPr>
              <w:pStyle w:val="107"/>
            </w:pPr>
            <w:r>
              <w:t>80~85</w:t>
            </w:r>
          </w:p>
        </w:tc>
        <w:tc>
          <w:tcPr>
            <w:tcW w:w="739" w:type="dxa"/>
            <w:tcBorders>
              <w:top w:val="nil"/>
              <w:left w:val="nil"/>
              <w:bottom w:val="single" w:color="auto" w:sz="4" w:space="0"/>
              <w:right w:val="single" w:color="auto" w:sz="4" w:space="0"/>
            </w:tcBorders>
            <w:shd w:val="clear" w:color="auto" w:fill="auto"/>
            <w:vAlign w:val="center"/>
          </w:tcPr>
          <w:p>
            <w:pPr>
              <w:pStyle w:val="107"/>
            </w:pPr>
            <w:r>
              <w:rPr>
                <w:rFonts w:hint="eastAsia"/>
              </w:rPr>
              <w:t>连续</w:t>
            </w:r>
          </w:p>
        </w:tc>
        <w:tc>
          <w:tcPr>
            <w:tcW w:w="2854" w:type="dxa"/>
            <w:tcBorders>
              <w:top w:val="nil"/>
              <w:left w:val="nil"/>
              <w:bottom w:val="single" w:color="auto" w:sz="4" w:space="0"/>
              <w:right w:val="single" w:color="auto" w:sz="4" w:space="0"/>
            </w:tcBorders>
            <w:shd w:val="clear" w:color="auto" w:fill="auto"/>
            <w:vAlign w:val="center"/>
          </w:tcPr>
          <w:p>
            <w:pPr>
              <w:pStyle w:val="107"/>
            </w:pPr>
            <w:r>
              <w:rPr>
                <w:rFonts w:hint="eastAsia"/>
              </w:rPr>
              <w:t>基础减振、厂房隔声、软连接措施</w:t>
            </w:r>
          </w:p>
        </w:tc>
      </w:tr>
      <w:tr>
        <w:tblPrEx>
          <w:tblLayout w:type="fixed"/>
          <w:tblCellMar>
            <w:top w:w="0" w:type="dxa"/>
            <w:left w:w="108" w:type="dxa"/>
            <w:bottom w:w="0" w:type="dxa"/>
            <w:right w:w="108" w:type="dxa"/>
          </w:tblCellMar>
        </w:tblPrEx>
        <w:trPr>
          <w:trHeight w:val="525" w:hRule="atLeast"/>
        </w:trPr>
        <w:tc>
          <w:tcPr>
            <w:tcW w:w="591" w:type="dxa"/>
            <w:tcBorders>
              <w:top w:val="single" w:color="auto" w:sz="4" w:space="0"/>
              <w:left w:val="single" w:color="auto" w:sz="4" w:space="0"/>
              <w:bottom w:val="single" w:color="auto" w:sz="4" w:space="0"/>
              <w:right w:val="single" w:color="auto" w:sz="4" w:space="0"/>
            </w:tcBorders>
            <w:vAlign w:val="center"/>
          </w:tcPr>
          <w:p>
            <w:pPr>
              <w:pStyle w:val="107"/>
              <w:numPr>
                <w:ilvl w:val="0"/>
                <w:numId w:val="33"/>
              </w:numPr>
            </w:pPr>
          </w:p>
        </w:tc>
        <w:tc>
          <w:tcPr>
            <w:tcW w:w="1479"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rPr>
              <w:t>有机废气处理设施</w:t>
            </w:r>
          </w:p>
        </w:tc>
        <w:tc>
          <w:tcPr>
            <w:tcW w:w="857" w:type="dxa"/>
            <w:tcBorders>
              <w:top w:val="nil"/>
              <w:left w:val="nil"/>
              <w:bottom w:val="single" w:color="auto" w:sz="4" w:space="0"/>
              <w:right w:val="single" w:color="auto" w:sz="4" w:space="0"/>
            </w:tcBorders>
            <w:shd w:val="clear" w:color="auto" w:fill="auto"/>
            <w:vAlign w:val="center"/>
          </w:tcPr>
          <w:p>
            <w:pPr>
              <w:pStyle w:val="107"/>
            </w:pPr>
            <w:r>
              <w:rPr>
                <w:rFonts w:hint="eastAsia"/>
              </w:rPr>
              <w:t>配套风机</w:t>
            </w:r>
          </w:p>
        </w:tc>
        <w:tc>
          <w:tcPr>
            <w:tcW w:w="1210" w:type="dxa"/>
            <w:tcBorders>
              <w:top w:val="nil"/>
              <w:left w:val="nil"/>
              <w:bottom w:val="single" w:color="auto" w:sz="4" w:space="0"/>
              <w:right w:val="single" w:color="auto" w:sz="4" w:space="0"/>
            </w:tcBorders>
            <w:shd w:val="clear" w:color="auto" w:fill="auto"/>
            <w:vAlign w:val="center"/>
          </w:tcPr>
          <w:p>
            <w:pPr>
              <w:pStyle w:val="107"/>
            </w:pPr>
            <w:r>
              <w:t>1</w:t>
            </w:r>
            <w:r>
              <w:rPr>
                <w:rFonts w:hint="eastAsia"/>
              </w:rPr>
              <w:t>套</w:t>
            </w:r>
          </w:p>
        </w:tc>
        <w:tc>
          <w:tcPr>
            <w:tcW w:w="1330" w:type="dxa"/>
            <w:tcBorders>
              <w:top w:val="nil"/>
              <w:left w:val="nil"/>
              <w:bottom w:val="single" w:color="auto" w:sz="4" w:space="0"/>
              <w:right w:val="single" w:color="auto" w:sz="4" w:space="0"/>
            </w:tcBorders>
            <w:shd w:val="clear" w:color="auto" w:fill="auto"/>
            <w:vAlign w:val="center"/>
          </w:tcPr>
          <w:p>
            <w:pPr>
              <w:pStyle w:val="107"/>
            </w:pPr>
            <w:r>
              <w:t>80~85</w:t>
            </w:r>
          </w:p>
        </w:tc>
        <w:tc>
          <w:tcPr>
            <w:tcW w:w="739" w:type="dxa"/>
            <w:tcBorders>
              <w:top w:val="nil"/>
              <w:left w:val="nil"/>
              <w:bottom w:val="single" w:color="auto" w:sz="4" w:space="0"/>
              <w:right w:val="single" w:color="auto" w:sz="4" w:space="0"/>
            </w:tcBorders>
            <w:shd w:val="clear" w:color="auto" w:fill="auto"/>
            <w:vAlign w:val="center"/>
          </w:tcPr>
          <w:p>
            <w:pPr>
              <w:pStyle w:val="107"/>
            </w:pPr>
            <w:r>
              <w:rPr>
                <w:rFonts w:hint="eastAsia"/>
              </w:rPr>
              <w:t>连续</w:t>
            </w:r>
          </w:p>
        </w:tc>
        <w:tc>
          <w:tcPr>
            <w:tcW w:w="2854" w:type="dxa"/>
            <w:tcBorders>
              <w:top w:val="nil"/>
              <w:left w:val="nil"/>
              <w:bottom w:val="single" w:color="auto" w:sz="4" w:space="0"/>
              <w:right w:val="single" w:color="auto" w:sz="4" w:space="0"/>
            </w:tcBorders>
            <w:shd w:val="clear" w:color="auto" w:fill="auto"/>
            <w:vAlign w:val="center"/>
          </w:tcPr>
          <w:p>
            <w:pPr>
              <w:pStyle w:val="107"/>
            </w:pPr>
            <w:r>
              <w:rPr>
                <w:rFonts w:hint="eastAsia"/>
              </w:rPr>
              <w:t>基础减振、安装消声器、软连接措施</w:t>
            </w:r>
          </w:p>
        </w:tc>
      </w:tr>
    </w:tbl>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为了解项目厂界噪声达标情况，本次评价委托广州市二轻系统环境监测站于201</w:t>
      </w:r>
      <w:r>
        <w:rPr>
          <w:rStyle w:val="63"/>
          <w:color w:val="000000" w:themeColor="text1"/>
          <w14:textFill>
            <w14:solidFill>
              <w14:schemeClr w14:val="tx1"/>
            </w14:solidFill>
          </w14:textFill>
        </w:rPr>
        <w:t>9</w:t>
      </w:r>
      <w:r>
        <w:rPr>
          <w:rStyle w:val="63"/>
          <w:rFonts w:hint="eastAsia"/>
          <w:color w:val="000000" w:themeColor="text1"/>
          <w14:textFill>
            <w14:solidFill>
              <w14:schemeClr w14:val="tx1"/>
            </w14:solidFill>
          </w14:textFill>
        </w:rPr>
        <w:t>年</w:t>
      </w:r>
      <w:r>
        <w:rPr>
          <w:rStyle w:val="63"/>
          <w:color w:val="000000" w:themeColor="text1"/>
          <w14:textFill>
            <w14:solidFill>
              <w14:schemeClr w14:val="tx1"/>
            </w14:solidFill>
          </w14:textFill>
        </w:rPr>
        <w:t>4</w:t>
      </w:r>
      <w:r>
        <w:rPr>
          <w:rStyle w:val="63"/>
          <w:rFonts w:hint="eastAsia"/>
          <w:color w:val="000000" w:themeColor="text1"/>
          <w14:textFill>
            <w14:solidFill>
              <w14:schemeClr w14:val="tx1"/>
            </w14:solidFill>
          </w14:textFill>
        </w:rPr>
        <w:t>月</w:t>
      </w:r>
      <w:r>
        <w:rPr>
          <w:rStyle w:val="63"/>
          <w:color w:val="000000" w:themeColor="text1"/>
          <w14:textFill>
            <w14:solidFill>
              <w14:schemeClr w14:val="tx1"/>
            </w14:solidFill>
          </w14:textFill>
        </w:rPr>
        <w:t>25</w:t>
      </w:r>
      <w:r>
        <w:rPr>
          <w:rStyle w:val="63"/>
          <w:rFonts w:hint="eastAsia"/>
          <w:color w:val="000000" w:themeColor="text1"/>
          <w14:textFill>
            <w14:solidFill>
              <w14:schemeClr w14:val="tx1"/>
            </w14:solidFill>
          </w14:textFill>
        </w:rPr>
        <w:t>日至201</w:t>
      </w:r>
      <w:r>
        <w:rPr>
          <w:rStyle w:val="63"/>
          <w:color w:val="000000" w:themeColor="text1"/>
          <w14:textFill>
            <w14:solidFill>
              <w14:schemeClr w14:val="tx1"/>
            </w14:solidFill>
          </w14:textFill>
        </w:rPr>
        <w:t>9</w:t>
      </w:r>
      <w:r>
        <w:rPr>
          <w:rStyle w:val="63"/>
          <w:rFonts w:hint="eastAsia"/>
          <w:color w:val="000000" w:themeColor="text1"/>
          <w14:textFill>
            <w14:solidFill>
              <w14:schemeClr w14:val="tx1"/>
            </w14:solidFill>
          </w14:textFill>
        </w:rPr>
        <w:t>年</w:t>
      </w:r>
      <w:r>
        <w:rPr>
          <w:rStyle w:val="63"/>
          <w:color w:val="000000" w:themeColor="text1"/>
          <w14:textFill>
            <w14:solidFill>
              <w14:schemeClr w14:val="tx1"/>
            </w14:solidFill>
          </w14:textFill>
        </w:rPr>
        <w:t>4</w:t>
      </w:r>
      <w:r>
        <w:rPr>
          <w:rStyle w:val="63"/>
          <w:rFonts w:hint="eastAsia"/>
          <w:color w:val="000000" w:themeColor="text1"/>
          <w14:textFill>
            <w14:solidFill>
              <w14:schemeClr w14:val="tx1"/>
            </w14:solidFill>
          </w14:textFill>
        </w:rPr>
        <w:t>月</w:t>
      </w:r>
      <w:r>
        <w:rPr>
          <w:rStyle w:val="63"/>
          <w:color w:val="000000" w:themeColor="text1"/>
          <w14:textFill>
            <w14:solidFill>
              <w14:schemeClr w14:val="tx1"/>
            </w14:solidFill>
          </w14:textFill>
        </w:rPr>
        <w:t>26</w:t>
      </w:r>
      <w:r>
        <w:rPr>
          <w:rStyle w:val="63"/>
          <w:rFonts w:hint="eastAsia"/>
          <w:color w:val="000000" w:themeColor="text1"/>
          <w14:textFill>
            <w14:solidFill>
              <w14:schemeClr w14:val="tx1"/>
            </w14:solidFill>
          </w14:textFill>
        </w:rPr>
        <w:t>日期间对项目厂界噪声进行了监测，监测期间工况为正常生产。现有厂界噪声监测结果</w:t>
      </w:r>
      <w:r>
        <w:rPr>
          <w:rStyle w:val="63"/>
          <w:color w:val="000000" w:themeColor="text1"/>
          <w14:textFill>
            <w14:solidFill>
              <w14:schemeClr w14:val="tx1"/>
            </w14:solidFill>
          </w14:textFill>
        </w:rPr>
        <w:t>见</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REF _Ref536808747 \h  \* MERGEFORMAT </w:instrText>
      </w:r>
      <w:r>
        <w:rPr>
          <w:rStyle w:val="63"/>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25</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t>。</w:t>
      </w:r>
    </w:p>
    <w:p>
      <w:pPr>
        <w:pStyle w:val="18"/>
        <w:rPr>
          <w:rStyle w:val="63"/>
          <w:color w:val="000000" w:themeColor="text1"/>
          <w14:textFill>
            <w14:solidFill>
              <w14:schemeClr w14:val="tx1"/>
            </w14:solidFill>
          </w14:textFill>
        </w:rPr>
      </w:pPr>
      <w:bookmarkStart w:id="231" w:name="_Ref536808747"/>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25</w:t>
      </w:r>
      <w:r>
        <w:rPr>
          <w:rStyle w:val="63"/>
          <w:color w:val="000000" w:themeColor="text1"/>
          <w14:textFill>
            <w14:solidFill>
              <w14:schemeClr w14:val="tx1"/>
            </w14:solidFill>
          </w14:textFill>
        </w:rPr>
        <w:fldChar w:fldCharType="end"/>
      </w:r>
      <w:bookmarkEnd w:id="231"/>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项目边界噪声监测结果</w:t>
      </w:r>
      <w:r>
        <w:rPr>
          <w:rStyle w:val="63"/>
          <w:color w:val="000000" w:themeColor="text1"/>
          <w14:textFill>
            <w14:solidFill>
              <w14:schemeClr w14:val="tx1"/>
            </w14:solidFill>
          </w14:textFill>
        </w:rPr>
        <w:tab/>
      </w:r>
      <w:r>
        <w:rPr>
          <w:rStyle w:val="63"/>
          <w:rFonts w:hint="eastAsia"/>
          <w:color w:val="000000" w:themeColor="text1"/>
          <w14:textFill>
            <w14:solidFill>
              <w14:schemeClr w14:val="tx1"/>
            </w14:solidFill>
          </w14:textFill>
        </w:rPr>
        <w:t>单位：dB（A）</w:t>
      </w:r>
    </w:p>
    <w:tbl>
      <w:tblPr>
        <w:tblStyle w:val="56"/>
        <w:tblW w:w="9060" w:type="dxa"/>
        <w:tblInd w:w="0" w:type="dxa"/>
        <w:tblLayout w:type="fixed"/>
        <w:tblCellMar>
          <w:top w:w="0" w:type="dxa"/>
          <w:left w:w="108" w:type="dxa"/>
          <w:bottom w:w="0" w:type="dxa"/>
          <w:right w:w="108" w:type="dxa"/>
        </w:tblCellMar>
      </w:tblPr>
      <w:tblGrid>
        <w:gridCol w:w="1162"/>
        <w:gridCol w:w="1259"/>
        <w:gridCol w:w="1259"/>
        <w:gridCol w:w="1259"/>
        <w:gridCol w:w="1261"/>
        <w:gridCol w:w="1430"/>
        <w:gridCol w:w="1430"/>
      </w:tblGrid>
      <w:tr>
        <w:tblPrEx>
          <w:tblLayout w:type="fixed"/>
          <w:tblCellMar>
            <w:top w:w="0" w:type="dxa"/>
            <w:left w:w="108" w:type="dxa"/>
            <w:bottom w:w="0" w:type="dxa"/>
            <w:right w:w="108" w:type="dxa"/>
          </w:tblCellMar>
        </w:tblPrEx>
        <w:trPr>
          <w:trHeight w:val="341" w:hRule="atLeast"/>
        </w:trPr>
        <w:tc>
          <w:tcPr>
            <w:tcW w:w="1162"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监测点位</w:t>
            </w:r>
          </w:p>
        </w:tc>
        <w:tc>
          <w:tcPr>
            <w:tcW w:w="5038" w:type="dxa"/>
            <w:gridSpan w:val="4"/>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噪声值</w:t>
            </w:r>
            <w:r>
              <w:rPr>
                <w:rStyle w:val="63"/>
                <w:color w:val="000000" w:themeColor="text1"/>
                <w14:textFill>
                  <w14:solidFill>
                    <w14:schemeClr w14:val="tx1"/>
                  </w14:solidFill>
                </w14:textFill>
              </w:rPr>
              <w:t>Leq</w:t>
            </w:r>
          </w:p>
        </w:tc>
        <w:tc>
          <w:tcPr>
            <w:tcW w:w="2860"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执行《工业企业厂界环境噪声排放标准》（GB 12348-2008）2类标准</w:t>
            </w:r>
          </w:p>
        </w:tc>
      </w:tr>
      <w:tr>
        <w:tblPrEx>
          <w:tblLayout w:type="fixed"/>
          <w:tblCellMar>
            <w:top w:w="0" w:type="dxa"/>
            <w:left w:w="108" w:type="dxa"/>
            <w:bottom w:w="0" w:type="dxa"/>
            <w:right w:w="108" w:type="dxa"/>
          </w:tblCellMar>
        </w:tblPrEx>
        <w:trPr>
          <w:trHeight w:val="270" w:hRule="atLeast"/>
        </w:trPr>
        <w:tc>
          <w:tcPr>
            <w:tcW w:w="1162" w:type="dxa"/>
            <w:vMerge w:val="continue"/>
            <w:tcBorders>
              <w:top w:val="single" w:color="auto" w:sz="4" w:space="0"/>
              <w:left w:val="single" w:color="auto" w:sz="4" w:space="0"/>
              <w:bottom w:val="single" w:color="000000" w:sz="4" w:space="0"/>
              <w:right w:val="single" w:color="auto" w:sz="4" w:space="0"/>
            </w:tcBorders>
            <w:vAlign w:val="center"/>
          </w:tcPr>
          <w:p>
            <w:pPr>
              <w:pStyle w:val="107"/>
              <w:rPr>
                <w:rStyle w:val="63"/>
                <w:color w:val="000000" w:themeColor="text1"/>
                <w14:textFill>
                  <w14:solidFill>
                    <w14:schemeClr w14:val="tx1"/>
                  </w14:solidFill>
                </w14:textFill>
              </w:rPr>
            </w:pPr>
          </w:p>
        </w:tc>
        <w:tc>
          <w:tcPr>
            <w:tcW w:w="251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2019年4月25日</w:t>
            </w:r>
          </w:p>
        </w:tc>
        <w:tc>
          <w:tcPr>
            <w:tcW w:w="2520" w:type="dxa"/>
            <w:gridSpan w:val="2"/>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2019年4月26日</w:t>
            </w:r>
          </w:p>
        </w:tc>
        <w:tc>
          <w:tcPr>
            <w:tcW w:w="2860"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r>
      <w:tr>
        <w:tblPrEx>
          <w:tblLayout w:type="fixed"/>
          <w:tblCellMar>
            <w:top w:w="0" w:type="dxa"/>
            <w:left w:w="108" w:type="dxa"/>
            <w:bottom w:w="0" w:type="dxa"/>
            <w:right w:w="108" w:type="dxa"/>
          </w:tblCellMar>
        </w:tblPrEx>
        <w:trPr>
          <w:trHeight w:val="270" w:hRule="atLeast"/>
        </w:trPr>
        <w:tc>
          <w:tcPr>
            <w:tcW w:w="1162" w:type="dxa"/>
            <w:vMerge w:val="continue"/>
            <w:tcBorders>
              <w:top w:val="single" w:color="auto" w:sz="4" w:space="0"/>
              <w:left w:val="single" w:color="auto" w:sz="4" w:space="0"/>
              <w:bottom w:val="single" w:color="000000" w:sz="4" w:space="0"/>
              <w:right w:val="single" w:color="auto" w:sz="4" w:space="0"/>
            </w:tcBorders>
            <w:vAlign w:val="center"/>
          </w:tcPr>
          <w:p>
            <w:pPr>
              <w:pStyle w:val="107"/>
              <w:rPr>
                <w:rStyle w:val="63"/>
                <w:color w:val="000000" w:themeColor="text1"/>
                <w14:textFill>
                  <w14:solidFill>
                    <w14:schemeClr w14:val="tx1"/>
                  </w14:solidFill>
                </w14:textFill>
              </w:rPr>
            </w:pPr>
          </w:p>
        </w:tc>
        <w:tc>
          <w:tcPr>
            <w:tcW w:w="12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昼间</w:t>
            </w:r>
          </w:p>
        </w:tc>
        <w:tc>
          <w:tcPr>
            <w:tcW w:w="12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夜间</w:t>
            </w:r>
          </w:p>
        </w:tc>
        <w:tc>
          <w:tcPr>
            <w:tcW w:w="12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昼间</w:t>
            </w:r>
          </w:p>
        </w:tc>
        <w:tc>
          <w:tcPr>
            <w:tcW w:w="1261"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夜间</w:t>
            </w:r>
          </w:p>
        </w:tc>
        <w:tc>
          <w:tcPr>
            <w:tcW w:w="1430"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昼间</w:t>
            </w:r>
          </w:p>
        </w:tc>
        <w:tc>
          <w:tcPr>
            <w:tcW w:w="1430"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夜间</w:t>
            </w:r>
          </w:p>
        </w:tc>
      </w:tr>
      <w:tr>
        <w:tblPrEx>
          <w:tblLayout w:type="fixed"/>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东侧</w:t>
            </w:r>
          </w:p>
        </w:tc>
        <w:tc>
          <w:tcPr>
            <w:tcW w:w="12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57.8</w:t>
            </w:r>
          </w:p>
        </w:tc>
        <w:tc>
          <w:tcPr>
            <w:tcW w:w="12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44.6</w:t>
            </w:r>
          </w:p>
        </w:tc>
        <w:tc>
          <w:tcPr>
            <w:tcW w:w="12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58.6</w:t>
            </w:r>
          </w:p>
        </w:tc>
        <w:tc>
          <w:tcPr>
            <w:tcW w:w="1261"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47.1</w:t>
            </w:r>
          </w:p>
        </w:tc>
        <w:tc>
          <w:tcPr>
            <w:tcW w:w="143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60</w:t>
            </w:r>
          </w:p>
        </w:tc>
        <w:tc>
          <w:tcPr>
            <w:tcW w:w="143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50</w:t>
            </w:r>
          </w:p>
        </w:tc>
      </w:tr>
      <w:tr>
        <w:tblPrEx>
          <w:tblLayout w:type="fixed"/>
          <w:tblCellMar>
            <w:top w:w="0" w:type="dxa"/>
            <w:left w:w="108" w:type="dxa"/>
            <w:bottom w:w="0" w:type="dxa"/>
            <w:right w:w="108" w:type="dxa"/>
          </w:tblCellMar>
        </w:tblPrEx>
        <w:trPr>
          <w:trHeight w:val="480" w:hRule="atLeast"/>
        </w:trPr>
        <w:tc>
          <w:tcPr>
            <w:tcW w:w="1162" w:type="dxa"/>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南侧</w:t>
            </w:r>
          </w:p>
        </w:tc>
        <w:tc>
          <w:tcPr>
            <w:tcW w:w="12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58.1</w:t>
            </w:r>
          </w:p>
        </w:tc>
        <w:tc>
          <w:tcPr>
            <w:tcW w:w="12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47.1</w:t>
            </w:r>
          </w:p>
        </w:tc>
        <w:tc>
          <w:tcPr>
            <w:tcW w:w="12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58.5</w:t>
            </w:r>
          </w:p>
        </w:tc>
        <w:tc>
          <w:tcPr>
            <w:tcW w:w="1261"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48.8</w:t>
            </w:r>
          </w:p>
        </w:tc>
        <w:tc>
          <w:tcPr>
            <w:tcW w:w="143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43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r>
      <w:tr>
        <w:tblPrEx>
          <w:tblLayout w:type="fixed"/>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西侧</w:t>
            </w:r>
          </w:p>
        </w:tc>
        <w:tc>
          <w:tcPr>
            <w:tcW w:w="12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58.3</w:t>
            </w:r>
          </w:p>
        </w:tc>
        <w:tc>
          <w:tcPr>
            <w:tcW w:w="12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46.9</w:t>
            </w:r>
          </w:p>
        </w:tc>
        <w:tc>
          <w:tcPr>
            <w:tcW w:w="12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56.9</w:t>
            </w:r>
          </w:p>
        </w:tc>
        <w:tc>
          <w:tcPr>
            <w:tcW w:w="1261"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47.6</w:t>
            </w:r>
          </w:p>
        </w:tc>
        <w:tc>
          <w:tcPr>
            <w:tcW w:w="143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43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r>
      <w:tr>
        <w:tblPrEx>
          <w:tblLayout w:type="fixed"/>
          <w:tblCellMar>
            <w:top w:w="0" w:type="dxa"/>
            <w:left w:w="108" w:type="dxa"/>
            <w:bottom w:w="0" w:type="dxa"/>
            <w:right w:w="108" w:type="dxa"/>
          </w:tblCellMar>
        </w:tblPrEx>
        <w:trPr>
          <w:trHeight w:val="480" w:hRule="atLeast"/>
        </w:trPr>
        <w:tc>
          <w:tcPr>
            <w:tcW w:w="1162" w:type="dxa"/>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北侧</w:t>
            </w:r>
          </w:p>
        </w:tc>
        <w:tc>
          <w:tcPr>
            <w:tcW w:w="12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57.4</w:t>
            </w:r>
          </w:p>
        </w:tc>
        <w:tc>
          <w:tcPr>
            <w:tcW w:w="12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47.2</w:t>
            </w:r>
          </w:p>
        </w:tc>
        <w:tc>
          <w:tcPr>
            <w:tcW w:w="125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56.8</w:t>
            </w:r>
          </w:p>
        </w:tc>
        <w:tc>
          <w:tcPr>
            <w:tcW w:w="1261"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48.6</w:t>
            </w:r>
          </w:p>
        </w:tc>
        <w:tc>
          <w:tcPr>
            <w:tcW w:w="143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43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r>
    </w:tbl>
    <w:p>
      <w:pPr>
        <w:ind w:firstLine="480"/>
        <w:rPr>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由</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REF _Ref536808747 \h  \* MERGEFORMAT </w:instrText>
      </w:r>
      <w:r>
        <w:rPr>
          <w:rStyle w:val="63"/>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t>2.8</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25</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可知，项目厂界噪声可满足《工业企业厂界环境噪声排放标准》（GB 12348-2008）2类标准。</w:t>
      </w:r>
    </w:p>
    <w:p>
      <w:pPr>
        <w:pStyle w:val="5"/>
      </w:pPr>
      <w:bookmarkStart w:id="232" w:name="_Hlk3523308"/>
      <w:r>
        <w:rPr>
          <w:rFonts w:hint="eastAsia"/>
        </w:rPr>
        <w:t>营运期</w:t>
      </w:r>
      <w:r>
        <w:t>固体废物</w:t>
      </w:r>
      <w:r>
        <w:rPr>
          <w:rFonts w:hint="eastAsia"/>
        </w:rPr>
        <w:t>分析</w:t>
      </w:r>
    </w:p>
    <w:bookmarkEnd w:id="232"/>
    <w:p>
      <w:pPr>
        <w:ind w:firstLine="480"/>
        <w:rPr>
          <w:rFonts w:eastAsiaTheme="minorEastAsia"/>
        </w:rPr>
      </w:pPr>
      <w:r>
        <w:rPr>
          <w:rFonts w:hint="eastAsia" w:eastAsiaTheme="minorEastAsia"/>
          <w:snapToGrid w:val="0"/>
        </w:rPr>
        <w:t>本项目</w:t>
      </w:r>
      <w:r>
        <w:rPr>
          <w:rFonts w:eastAsiaTheme="minorEastAsia"/>
        </w:rPr>
        <w:t>产生的固体</w:t>
      </w:r>
      <w:r>
        <w:rPr>
          <w:rFonts w:hint="eastAsia" w:eastAsiaTheme="minorEastAsia"/>
        </w:rPr>
        <w:t>废物分为一般工业固体废物、危险废物和生活垃圾。一般工业固体废物主要包括废包装材料、橡胶边角料、布袋除尘装置收集的除尘灰、不合格产品；根据《国家危险废物名录》中有关分类，本项目产生的危险废物主要包括有机废气处理产生的废饱和活性炭以及设备维修过程中产生的</w:t>
      </w:r>
      <w:r>
        <w:rPr>
          <w:rFonts w:hint="eastAsia"/>
        </w:rPr>
        <w:t>废润滑油、含油废抹布</w:t>
      </w:r>
      <w:r>
        <w:rPr>
          <w:rFonts w:hint="eastAsia" w:eastAsiaTheme="minorEastAsia"/>
        </w:rPr>
        <w:t>；生活废物主要为生活垃圾。</w:t>
      </w:r>
    </w:p>
    <w:p>
      <w:pPr>
        <w:pStyle w:val="99"/>
        <w:numPr>
          <w:ilvl w:val="0"/>
          <w:numId w:val="34"/>
        </w:numPr>
        <w:ind w:left="0" w:firstLineChars="0"/>
        <w:rPr>
          <w:rFonts w:eastAsiaTheme="minorEastAsia"/>
          <w:b/>
        </w:rPr>
      </w:pPr>
      <w:r>
        <w:rPr>
          <w:rFonts w:hint="eastAsia" w:eastAsiaTheme="minorEastAsia"/>
          <w:b/>
        </w:rPr>
        <w:t>一般固体废弃物</w:t>
      </w:r>
    </w:p>
    <w:p>
      <w:pPr>
        <w:pStyle w:val="99"/>
        <w:numPr>
          <w:ilvl w:val="0"/>
          <w:numId w:val="35"/>
        </w:numPr>
        <w:ind w:firstLineChars="0"/>
        <w:rPr>
          <w:rFonts w:eastAsiaTheme="minorEastAsia"/>
          <w:b/>
        </w:rPr>
      </w:pPr>
      <w:r>
        <w:rPr>
          <w:rFonts w:hint="eastAsia" w:eastAsiaTheme="minorEastAsia"/>
          <w:b/>
        </w:rPr>
        <w:t>废包装材料</w:t>
      </w:r>
    </w:p>
    <w:p>
      <w:pPr>
        <w:ind w:firstLine="480"/>
        <w:rPr>
          <w:rFonts w:eastAsiaTheme="minorEastAsia"/>
        </w:rPr>
      </w:pPr>
      <w:r>
        <w:rPr>
          <w:rFonts w:hint="eastAsia" w:eastAsiaTheme="minorEastAsia"/>
        </w:rPr>
        <w:t>本项目所用原料均为外来运输物资， 会产生一定量的废包装材料。废包装材料主要成分为塑料袋、编织袋及纸箱等，产生量约为</w:t>
      </w:r>
      <w:r>
        <w:rPr>
          <w:rFonts w:eastAsiaTheme="minorEastAsia"/>
        </w:rPr>
        <w:t xml:space="preserve">0.35 </w:t>
      </w:r>
      <w:r>
        <w:rPr>
          <w:rFonts w:hint="eastAsia" w:eastAsiaTheme="minorEastAsia"/>
        </w:rPr>
        <w:t>t/a，集中收集后外卖给资源回收单位综合利用。</w:t>
      </w:r>
    </w:p>
    <w:p>
      <w:pPr>
        <w:pStyle w:val="99"/>
        <w:numPr>
          <w:ilvl w:val="0"/>
          <w:numId w:val="35"/>
        </w:numPr>
        <w:ind w:firstLineChars="0"/>
        <w:rPr>
          <w:rFonts w:eastAsiaTheme="minorEastAsia"/>
          <w:b/>
        </w:rPr>
      </w:pPr>
      <w:r>
        <w:rPr>
          <w:rFonts w:hint="eastAsia" w:eastAsiaTheme="minorEastAsia"/>
          <w:b/>
        </w:rPr>
        <w:t>布袋除尘装置收集的粉尘</w:t>
      </w:r>
    </w:p>
    <w:p>
      <w:pPr>
        <w:ind w:firstLine="480"/>
        <w:rPr>
          <w:rFonts w:eastAsiaTheme="minorEastAsia"/>
        </w:rPr>
      </w:pPr>
      <w:r>
        <w:rPr>
          <w:rFonts w:hint="eastAsia" w:eastAsiaTheme="minorEastAsia"/>
        </w:rPr>
        <w:t>项目</w:t>
      </w:r>
      <w:r>
        <w:rPr>
          <w:rStyle w:val="63"/>
          <w:rFonts w:hint="eastAsia"/>
          <w:color w:val="000000" w:themeColor="text1"/>
          <w14:textFill>
            <w14:solidFill>
              <w14:schemeClr w14:val="tx1"/>
            </w14:solidFill>
          </w14:textFill>
        </w:rPr>
        <w:t>解包配料过程，密炼机投料、运行及卸料过程</w:t>
      </w:r>
      <w:r>
        <w:rPr>
          <w:rFonts w:hint="eastAsia" w:eastAsiaTheme="minorEastAsia"/>
        </w:rPr>
        <w:t>产生少量的粉尘，经布袋除尘设施进行处理，人工定期清理时会产生少量的粉尘。根据工程分析可知，项目粉尘收集装置收集的粉尘量约0.</w:t>
      </w:r>
      <w:r>
        <w:rPr>
          <w:rFonts w:eastAsiaTheme="minorEastAsia"/>
        </w:rPr>
        <w:t>402</w:t>
      </w:r>
      <w:r>
        <w:rPr>
          <w:rFonts w:hint="eastAsia" w:eastAsiaTheme="minorEastAsia"/>
        </w:rPr>
        <w:t>t/a，作为填充剂原料回用密炼工序，不外排。</w:t>
      </w:r>
    </w:p>
    <w:p>
      <w:pPr>
        <w:pStyle w:val="99"/>
        <w:numPr>
          <w:ilvl w:val="0"/>
          <w:numId w:val="35"/>
        </w:numPr>
        <w:ind w:firstLineChars="0"/>
        <w:rPr>
          <w:rFonts w:eastAsiaTheme="minorEastAsia"/>
          <w:b/>
        </w:rPr>
      </w:pPr>
      <w:r>
        <w:rPr>
          <w:rFonts w:hint="eastAsia" w:eastAsiaTheme="minorEastAsia"/>
          <w:b/>
        </w:rPr>
        <w:t>橡胶边角料</w:t>
      </w:r>
    </w:p>
    <w:p>
      <w:pPr>
        <w:ind w:firstLine="480"/>
        <w:rPr>
          <w:rFonts w:eastAsiaTheme="minorEastAsia"/>
        </w:rPr>
      </w:pPr>
      <w:r>
        <w:rPr>
          <w:rFonts w:hint="eastAsia" w:eastAsiaTheme="minorEastAsia"/>
        </w:rPr>
        <w:t>项目在分条、裁切时会产生边角料，约为</w:t>
      </w:r>
      <w:r>
        <w:rPr>
          <w:rFonts w:eastAsiaTheme="minorEastAsia"/>
        </w:rPr>
        <w:t>8</w:t>
      </w:r>
      <w:r>
        <w:rPr>
          <w:rFonts w:hint="eastAsia" w:eastAsiaTheme="minorEastAsia"/>
        </w:rPr>
        <w:t xml:space="preserve"> t/a，此部分回用于生产，不外排。此外，修边过程也会产生少量边角料，约为</w:t>
      </w:r>
      <w:r>
        <w:rPr>
          <w:rFonts w:eastAsiaTheme="minorEastAsia"/>
        </w:rPr>
        <w:t xml:space="preserve">2 </w:t>
      </w:r>
      <w:r>
        <w:rPr>
          <w:rFonts w:hint="eastAsia" w:eastAsiaTheme="minorEastAsia"/>
        </w:rPr>
        <w:t>t/a，集中收集后外售给资源回收单位综合利用。</w:t>
      </w:r>
    </w:p>
    <w:p>
      <w:pPr>
        <w:pStyle w:val="99"/>
        <w:numPr>
          <w:ilvl w:val="0"/>
          <w:numId w:val="35"/>
        </w:numPr>
        <w:ind w:firstLineChars="0"/>
        <w:rPr>
          <w:rFonts w:eastAsiaTheme="minorEastAsia"/>
          <w:b/>
        </w:rPr>
      </w:pPr>
      <w:r>
        <w:rPr>
          <w:rFonts w:hint="eastAsia" w:eastAsiaTheme="minorEastAsia"/>
          <w:b/>
        </w:rPr>
        <w:t>不合格品</w:t>
      </w:r>
    </w:p>
    <w:p>
      <w:pPr>
        <w:ind w:firstLine="480"/>
        <w:rPr>
          <w:rFonts w:eastAsiaTheme="minorEastAsia"/>
        </w:rPr>
      </w:pPr>
      <w:r>
        <w:rPr>
          <w:rFonts w:hint="eastAsia" w:eastAsiaTheme="minorEastAsia"/>
        </w:rPr>
        <w:t>检验过程中会产生少量的不合格产品，根据建设单位提供的资料，约为</w:t>
      </w:r>
      <w:r>
        <w:rPr>
          <w:rFonts w:hint="eastAsia"/>
        </w:rPr>
        <w:t>9.</w:t>
      </w:r>
      <w:r>
        <w:t>2627</w:t>
      </w:r>
      <w:r>
        <w:rPr>
          <w:rFonts w:hint="eastAsia" w:eastAsiaTheme="minorEastAsia"/>
        </w:rPr>
        <w:t>t/a，集中收集后外卖给资源回收单位综合利用。</w:t>
      </w:r>
    </w:p>
    <w:p>
      <w:pPr>
        <w:pStyle w:val="99"/>
        <w:numPr>
          <w:ilvl w:val="0"/>
          <w:numId w:val="35"/>
        </w:numPr>
        <w:ind w:firstLineChars="0"/>
        <w:rPr>
          <w:rFonts w:eastAsiaTheme="minorEastAsia"/>
          <w:b/>
        </w:rPr>
      </w:pPr>
      <w:r>
        <w:rPr>
          <w:rFonts w:hint="eastAsia" w:eastAsiaTheme="minorEastAsia"/>
          <w:b/>
        </w:rPr>
        <w:t>抛丸收集粉尘</w:t>
      </w:r>
    </w:p>
    <w:p>
      <w:pPr>
        <w:pStyle w:val="99"/>
        <w:ind w:left="400" w:firstLine="240" w:firstLineChars="100"/>
        <w:rPr>
          <w:rFonts w:eastAsiaTheme="minorEastAsia"/>
          <w:b/>
        </w:rPr>
      </w:pPr>
      <w:r>
        <w:rPr>
          <w:rFonts w:hint="eastAsia" w:eastAsiaTheme="minorEastAsia"/>
        </w:rPr>
        <w:t>抛丸过程会产生金属粉尘，粉尘经除尘器收集，收集量为1</w:t>
      </w:r>
      <w:r>
        <w:rPr>
          <w:rFonts w:eastAsiaTheme="minorEastAsia"/>
        </w:rPr>
        <w:t>.8</w:t>
      </w:r>
      <w:r>
        <w:rPr>
          <w:rFonts w:hint="eastAsia" w:eastAsiaTheme="minorEastAsia"/>
        </w:rPr>
        <w:t>t/a，集中收集后外售给资源回收单位综合利用。</w:t>
      </w:r>
    </w:p>
    <w:p>
      <w:pPr>
        <w:pStyle w:val="99"/>
        <w:numPr>
          <w:ilvl w:val="0"/>
          <w:numId w:val="34"/>
        </w:numPr>
        <w:ind w:left="0" w:firstLineChars="0"/>
        <w:rPr>
          <w:rFonts w:eastAsiaTheme="minorEastAsia"/>
          <w:b/>
        </w:rPr>
      </w:pPr>
      <w:r>
        <w:rPr>
          <w:rFonts w:hint="eastAsia" w:eastAsiaTheme="minorEastAsia"/>
          <w:b/>
        </w:rPr>
        <w:t>危险废物</w:t>
      </w:r>
    </w:p>
    <w:p>
      <w:pPr>
        <w:pStyle w:val="99"/>
        <w:numPr>
          <w:ilvl w:val="0"/>
          <w:numId w:val="4"/>
        </w:numPr>
        <w:ind w:firstLineChars="0"/>
        <w:rPr>
          <w:rFonts w:eastAsiaTheme="minorEastAsia"/>
          <w:b/>
        </w:rPr>
      </w:pPr>
      <w:r>
        <w:rPr>
          <w:rFonts w:hint="eastAsia" w:eastAsiaTheme="minorEastAsia"/>
          <w:b/>
        </w:rPr>
        <w:t>废饱和活性炭</w:t>
      </w:r>
    </w:p>
    <w:p>
      <w:pPr>
        <w:ind w:firstLine="480"/>
        <w:rPr>
          <w:rFonts w:eastAsiaTheme="minorEastAsia"/>
        </w:rPr>
      </w:pPr>
      <w:r>
        <w:rPr>
          <w:rFonts w:hint="eastAsia" w:eastAsiaTheme="minorEastAsia"/>
        </w:rPr>
        <w:t>项目炼胶及硫化废气经水喷淋、U</w:t>
      </w:r>
      <w:r>
        <w:rPr>
          <w:rFonts w:eastAsiaTheme="minorEastAsia"/>
        </w:rPr>
        <w:t>V</w:t>
      </w:r>
      <w:r>
        <w:rPr>
          <w:rFonts w:hint="eastAsia" w:eastAsiaTheme="minorEastAsia"/>
        </w:rPr>
        <w:t>光解处理后，仍需要使用活性炭</w:t>
      </w:r>
      <w:r>
        <w:rPr>
          <w:rFonts w:eastAsiaTheme="minorEastAsia"/>
        </w:rPr>
        <w:t>吸附处理，活性炭吸附装置使用一段时间后活性炭逐渐趋向饱和，定期更换将产生含吸附物的活性</w:t>
      </w:r>
      <w:r>
        <w:rPr>
          <w:rFonts w:hint="eastAsia" w:eastAsiaTheme="minorEastAsia"/>
        </w:rPr>
        <w:t>炭</w:t>
      </w:r>
      <w:r>
        <w:rPr>
          <w:rFonts w:eastAsiaTheme="minorEastAsia"/>
        </w:rPr>
        <w:t>。</w:t>
      </w:r>
      <w:r>
        <w:rPr>
          <w:rFonts w:hint="eastAsia" w:eastAsiaTheme="minorEastAsia"/>
        </w:rPr>
        <w:t>废饱和活性炭废物类型属于HW49其他废物，废物代码900-041-49，危害特性为</w:t>
      </w:r>
      <w:r>
        <w:rPr>
          <w:rFonts w:eastAsiaTheme="minorEastAsia"/>
        </w:rPr>
        <w:t>T/In</w:t>
      </w:r>
      <w:r>
        <w:rPr>
          <w:rFonts w:hint="eastAsia" w:eastAsiaTheme="minorEastAsia"/>
        </w:rPr>
        <w:t>，主要含有有机废气。</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根据同类企业实际运行情况，以1kg活性炭吸附0.2kg有机污染物达到饱和计，饱和活性炭产生量按</w:t>
      </w:r>
      <w:r>
        <w:rPr>
          <w:rStyle w:val="63"/>
          <w:color w:val="000000" w:themeColor="text1"/>
          <w14:textFill>
            <w14:solidFill>
              <w14:schemeClr w14:val="tx1"/>
            </w14:solidFill>
          </w14:textFill>
        </w:rPr>
        <w:t>6</w:t>
      </w:r>
      <w:r>
        <w:rPr>
          <w:rStyle w:val="63"/>
          <w:rFonts w:hint="eastAsia"/>
          <w:color w:val="000000" w:themeColor="text1"/>
          <w14:textFill>
            <w14:solidFill>
              <w14:schemeClr w14:val="tx1"/>
            </w14:solidFill>
          </w14:textFill>
        </w:rPr>
        <w:t>倍</w:t>
      </w:r>
      <w:r>
        <w:rPr>
          <w:rStyle w:val="63"/>
          <w:color w:val="000000" w:themeColor="text1"/>
          <w14:textFill>
            <w14:solidFill>
              <w14:schemeClr w14:val="tx1"/>
            </w14:solidFill>
          </w14:textFill>
        </w:rPr>
        <w:t>NMHC</w:t>
      </w:r>
      <w:r>
        <w:rPr>
          <w:rStyle w:val="63"/>
          <w:rFonts w:hint="eastAsia"/>
          <w:color w:val="000000" w:themeColor="text1"/>
          <w14:textFill>
            <w14:solidFill>
              <w14:schemeClr w14:val="tx1"/>
            </w14:solidFill>
          </w14:textFill>
        </w:rPr>
        <w:t>削减量计算（活性炭耗用量为</w:t>
      </w:r>
      <w:r>
        <w:rPr>
          <w:rStyle w:val="63"/>
          <w:color w:val="000000" w:themeColor="text1"/>
          <w14:textFill>
            <w14:solidFill>
              <w14:schemeClr w14:val="tx1"/>
            </w14:solidFill>
          </w14:textFill>
        </w:rPr>
        <w:t>NMHC</w:t>
      </w:r>
      <w:r>
        <w:rPr>
          <w:rStyle w:val="63"/>
          <w:rFonts w:hint="eastAsia"/>
          <w:color w:val="000000" w:themeColor="text1"/>
          <w14:textFill>
            <w14:solidFill>
              <w14:schemeClr w14:val="tx1"/>
            </w14:solidFill>
          </w14:textFill>
        </w:rPr>
        <w:t>削减量的</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倍，加上被吸附的</w:t>
      </w:r>
      <w:r>
        <w:rPr>
          <w:rStyle w:val="63"/>
          <w:color w:val="000000" w:themeColor="text1"/>
          <w14:textFill>
            <w14:solidFill>
              <w14:schemeClr w14:val="tx1"/>
            </w14:solidFill>
          </w14:textFill>
        </w:rPr>
        <w:t>NMHC</w:t>
      </w:r>
      <w:r>
        <w:rPr>
          <w:rStyle w:val="63"/>
          <w:rFonts w:hint="eastAsia"/>
          <w:color w:val="000000" w:themeColor="text1"/>
          <w14:textFill>
            <w14:solidFill>
              <w14:schemeClr w14:val="tx1"/>
            </w14:solidFill>
          </w14:textFill>
        </w:rPr>
        <w:t>本身的重量，废饱和活性炭产生量为</w:t>
      </w:r>
      <w:r>
        <w:rPr>
          <w:rStyle w:val="63"/>
          <w:color w:val="000000" w:themeColor="text1"/>
          <w14:textFill>
            <w14:solidFill>
              <w14:schemeClr w14:val="tx1"/>
            </w14:solidFill>
          </w14:textFill>
        </w:rPr>
        <w:t>NMHC</w:t>
      </w:r>
      <w:r>
        <w:rPr>
          <w:rStyle w:val="63"/>
          <w:rFonts w:hint="eastAsia"/>
          <w:color w:val="000000" w:themeColor="text1"/>
          <w14:textFill>
            <w14:solidFill>
              <w14:schemeClr w14:val="tx1"/>
            </w14:solidFill>
          </w14:textFill>
        </w:rPr>
        <w:t>削减量的</w:t>
      </w:r>
      <w:r>
        <w:rPr>
          <w:rStyle w:val="63"/>
          <w:color w:val="000000" w:themeColor="text1"/>
          <w14:textFill>
            <w14:solidFill>
              <w14:schemeClr w14:val="tx1"/>
            </w14:solidFill>
          </w14:textFill>
        </w:rPr>
        <w:t>6</w:t>
      </w:r>
      <w:r>
        <w:rPr>
          <w:rStyle w:val="63"/>
          <w:rFonts w:hint="eastAsia"/>
          <w:color w:val="000000" w:themeColor="text1"/>
          <w14:textFill>
            <w14:solidFill>
              <w14:schemeClr w14:val="tx1"/>
            </w14:solidFill>
          </w14:textFill>
        </w:rPr>
        <w:t>倍），以总</w:t>
      </w:r>
      <w:r>
        <w:rPr>
          <w:rStyle w:val="63"/>
          <w:color w:val="000000" w:themeColor="text1"/>
          <w14:textFill>
            <w14:solidFill>
              <w14:schemeClr w14:val="tx1"/>
            </w14:solidFill>
          </w14:textFill>
        </w:rPr>
        <w:t>NMHC</w:t>
      </w:r>
      <w:r>
        <w:rPr>
          <w:rStyle w:val="63"/>
          <w:rFonts w:hint="eastAsia"/>
          <w:color w:val="000000" w:themeColor="text1"/>
          <w14:textFill>
            <w14:solidFill>
              <w14:schemeClr w14:val="tx1"/>
            </w14:solidFill>
          </w14:textFill>
        </w:rPr>
        <w:t>的产生量进行计算。</w:t>
      </w:r>
    </w:p>
    <w:p>
      <w:pPr>
        <w:ind w:firstLine="480"/>
        <w:rPr>
          <w:rFonts w:eastAsiaTheme="minorEastAsia"/>
        </w:rPr>
      </w:pPr>
      <w:r>
        <w:rPr>
          <w:rStyle w:val="63"/>
          <w:rFonts w:hint="eastAsia"/>
          <w:color w:val="000000" w:themeColor="text1"/>
          <w14:textFill>
            <w14:solidFill>
              <w14:schemeClr w14:val="tx1"/>
            </w14:solidFill>
          </w14:textFill>
        </w:rPr>
        <w:t>根据物料平衡可知，实施整改前</w:t>
      </w:r>
      <w:r>
        <w:rPr>
          <w:rStyle w:val="63"/>
          <w:color w:val="000000" w:themeColor="text1"/>
          <w14:textFill>
            <w14:solidFill>
              <w14:schemeClr w14:val="tx1"/>
            </w14:solidFill>
          </w14:textFill>
        </w:rPr>
        <w:t>项</w:t>
      </w:r>
      <w:r>
        <w:rPr>
          <w:rStyle w:val="63"/>
          <w:rFonts w:hint="eastAsia"/>
          <w:color w:val="000000" w:themeColor="text1"/>
          <w14:textFill>
            <w14:solidFill>
              <w14:schemeClr w14:val="tx1"/>
            </w14:solidFill>
          </w14:textFill>
        </w:rPr>
        <w:t>目密炼、炼胶及硫化废气中N</w:t>
      </w:r>
      <w:r>
        <w:rPr>
          <w:rStyle w:val="63"/>
          <w:color w:val="000000" w:themeColor="text1"/>
          <w14:textFill>
            <w14:solidFill>
              <w14:schemeClr w14:val="tx1"/>
            </w14:solidFill>
          </w14:textFill>
        </w:rPr>
        <w:t>MHC</w:t>
      </w:r>
      <w:r>
        <w:rPr>
          <w:rStyle w:val="63"/>
          <w:rFonts w:hint="eastAsia"/>
          <w:color w:val="000000" w:themeColor="text1"/>
          <w14:textFill>
            <w14:solidFill>
              <w14:schemeClr w14:val="tx1"/>
            </w14:solidFill>
          </w14:textFill>
        </w:rPr>
        <w:t>经</w:t>
      </w:r>
      <w:r>
        <w:rPr>
          <w:rStyle w:val="63"/>
          <w:color w:val="000000" w:themeColor="text1"/>
          <w14:textFill>
            <w14:solidFill>
              <w14:schemeClr w14:val="tx1"/>
            </w14:solidFill>
          </w14:textFill>
        </w:rPr>
        <w:t>活性炭吸附的总削减量</w:t>
      </w:r>
      <w:r>
        <w:rPr>
          <w:rStyle w:val="63"/>
          <w:rFonts w:hint="eastAsia"/>
          <w:color w:val="000000" w:themeColor="text1"/>
          <w14:textFill>
            <w14:solidFill>
              <w14:schemeClr w14:val="tx1"/>
            </w14:solidFill>
          </w14:textFill>
        </w:rPr>
        <w:t>约</w:t>
      </w:r>
      <w:r>
        <w:rPr>
          <w:rStyle w:val="63"/>
          <w:color w:val="000000" w:themeColor="text1"/>
          <w14:textFill>
            <w14:solidFill>
              <w14:schemeClr w14:val="tx1"/>
            </w14:solidFill>
          </w14:textFill>
        </w:rPr>
        <w:t>200.141kg/a，则</w:t>
      </w:r>
      <w:r>
        <w:rPr>
          <w:rStyle w:val="63"/>
          <w:rFonts w:hint="eastAsia"/>
          <w:color w:val="000000" w:themeColor="text1"/>
          <w14:textFill>
            <w14:solidFill>
              <w14:schemeClr w14:val="tx1"/>
            </w14:solidFill>
          </w14:textFill>
        </w:rPr>
        <w:t>需要活性炭的用量为</w:t>
      </w:r>
      <w:r>
        <w:rPr>
          <w:rStyle w:val="63"/>
          <w:color w:val="000000" w:themeColor="text1"/>
          <w14:textFill>
            <w14:solidFill>
              <w14:schemeClr w14:val="tx1"/>
            </w14:solidFill>
          </w14:textFill>
        </w:rPr>
        <w:t>200.141×</w:t>
      </w:r>
      <w:r>
        <w:rPr>
          <w:rStyle w:val="63"/>
          <w:rFonts w:hint="eastAsia"/>
          <w:color w:val="000000" w:themeColor="text1"/>
          <w14:textFill>
            <w14:solidFill>
              <w14:schemeClr w14:val="tx1"/>
            </w14:solidFill>
          </w14:textFill>
        </w:rPr>
        <w:t>5</w:t>
      </w:r>
      <w:r>
        <w:rPr>
          <w:rStyle w:val="63"/>
          <w:color w:val="000000" w:themeColor="text1"/>
          <w14:textFill>
            <w14:solidFill>
              <w14:schemeClr w14:val="tx1"/>
            </w14:solidFill>
          </w14:textFill>
        </w:rPr>
        <w:t>/1000=1 t/a</w:t>
      </w:r>
      <w:r>
        <w:rPr>
          <w:rStyle w:val="63"/>
          <w:rFonts w:hint="eastAsia"/>
          <w:color w:val="000000" w:themeColor="text1"/>
          <w14:textFill>
            <w14:solidFill>
              <w14:schemeClr w14:val="tx1"/>
            </w14:solidFill>
          </w14:textFill>
        </w:rPr>
        <w:t>，废饱和活性炭产生量约为</w:t>
      </w:r>
      <w:r>
        <w:rPr>
          <w:rStyle w:val="63"/>
          <w:color w:val="000000" w:themeColor="text1"/>
          <w14:textFill>
            <w14:solidFill>
              <w14:schemeClr w14:val="tx1"/>
            </w14:solidFill>
          </w14:textFill>
        </w:rPr>
        <w:t>1.2t/a</w:t>
      </w:r>
      <w:r>
        <w:rPr>
          <w:rStyle w:val="63"/>
          <w:rFonts w:hint="eastAsia"/>
          <w:color w:val="000000" w:themeColor="text1"/>
          <w14:textFill>
            <w14:solidFill>
              <w14:schemeClr w14:val="tx1"/>
            </w14:solidFill>
          </w14:textFill>
        </w:rPr>
        <w:t>；实施整改后</w:t>
      </w:r>
      <w:r>
        <w:rPr>
          <w:rStyle w:val="63"/>
          <w:color w:val="000000" w:themeColor="text1"/>
          <w14:textFill>
            <w14:solidFill>
              <w14:schemeClr w14:val="tx1"/>
            </w14:solidFill>
          </w14:textFill>
        </w:rPr>
        <w:t>项目</w:t>
      </w:r>
      <w:r>
        <w:rPr>
          <w:rStyle w:val="63"/>
          <w:rFonts w:hint="eastAsia"/>
          <w:color w:val="000000" w:themeColor="text1"/>
          <w14:textFill>
            <w14:solidFill>
              <w14:schemeClr w14:val="tx1"/>
            </w14:solidFill>
          </w14:textFill>
        </w:rPr>
        <w:t>炼胶及硫化废气中N</w:t>
      </w:r>
      <w:r>
        <w:rPr>
          <w:rStyle w:val="63"/>
          <w:color w:val="000000" w:themeColor="text1"/>
          <w14:textFill>
            <w14:solidFill>
              <w14:schemeClr w14:val="tx1"/>
            </w14:solidFill>
          </w14:textFill>
        </w:rPr>
        <w:t>MHC</w:t>
      </w:r>
      <w:r>
        <w:rPr>
          <w:rStyle w:val="63"/>
          <w:rFonts w:hint="eastAsia"/>
          <w:color w:val="000000" w:themeColor="text1"/>
          <w14:textFill>
            <w14:solidFill>
              <w14:schemeClr w14:val="tx1"/>
            </w14:solidFill>
          </w14:textFill>
        </w:rPr>
        <w:t>均先经过</w:t>
      </w:r>
      <w:r>
        <w:rPr>
          <w:rStyle w:val="63"/>
          <w:color w:val="000000" w:themeColor="text1"/>
          <w14:textFill>
            <w14:solidFill>
              <w14:schemeClr w14:val="tx1"/>
            </w14:solidFill>
          </w14:textFill>
        </w:rPr>
        <w:t>的水喷淋、</w:t>
      </w:r>
      <w:r>
        <w:rPr>
          <w:rStyle w:val="63"/>
          <w:rFonts w:hint="eastAsia"/>
          <w:color w:val="000000" w:themeColor="text1"/>
          <w14:textFill>
            <w14:solidFill>
              <w14:schemeClr w14:val="tx1"/>
            </w14:solidFill>
          </w14:textFill>
        </w:rPr>
        <w:t>U</w:t>
      </w:r>
      <w:r>
        <w:rPr>
          <w:rStyle w:val="63"/>
          <w:color w:val="000000" w:themeColor="text1"/>
          <w14:textFill>
            <w14:solidFill>
              <w14:schemeClr w14:val="tx1"/>
            </w14:solidFill>
          </w14:textFill>
        </w:rPr>
        <w:t>V光解处理，再经活性炭吸附装置处理，</w:t>
      </w:r>
      <w:r>
        <w:rPr>
          <w:rStyle w:val="63"/>
          <w:rFonts w:hint="eastAsia"/>
          <w:color w:val="000000" w:themeColor="text1"/>
          <w14:textFill>
            <w14:solidFill>
              <w14:schemeClr w14:val="tx1"/>
            </w14:solidFill>
          </w14:textFill>
        </w:rPr>
        <w:t>根据物料平衡可知，项目密炼、开炼、硫化废气中N</w:t>
      </w:r>
      <w:r>
        <w:rPr>
          <w:rStyle w:val="63"/>
          <w:color w:val="000000" w:themeColor="text1"/>
          <w14:textFill>
            <w14:solidFill>
              <w14:schemeClr w14:val="tx1"/>
            </w14:solidFill>
          </w14:textFill>
        </w:rPr>
        <w:t>MHC总收集量为274.18kg/a，</w:t>
      </w:r>
      <w:r>
        <w:rPr>
          <w:rStyle w:val="63"/>
          <w:rFonts w:hint="eastAsia"/>
          <w:color w:val="000000" w:themeColor="text1"/>
          <w14:textFill>
            <w14:solidFill>
              <w14:schemeClr w14:val="tx1"/>
            </w14:solidFill>
          </w14:textFill>
        </w:rPr>
        <w:t>本评价中</w:t>
      </w:r>
      <w:r>
        <w:rPr>
          <w:rStyle w:val="63"/>
          <w:color w:val="000000" w:themeColor="text1"/>
          <w14:textFill>
            <w14:solidFill>
              <w14:schemeClr w14:val="tx1"/>
            </w14:solidFill>
          </w14:textFill>
        </w:rPr>
        <w:t>水喷淋去除效率取</w:t>
      </w: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0%，UV光解去除效率取</w:t>
      </w:r>
      <w:r>
        <w:rPr>
          <w:rStyle w:val="63"/>
          <w:rFonts w:hint="eastAsia"/>
          <w:color w:val="000000" w:themeColor="text1"/>
          <w14:textFill>
            <w14:solidFill>
              <w14:schemeClr w14:val="tx1"/>
            </w14:solidFill>
          </w14:textFill>
        </w:rPr>
        <w:t>4</w:t>
      </w:r>
      <w:r>
        <w:rPr>
          <w:rStyle w:val="63"/>
          <w:color w:val="000000" w:themeColor="text1"/>
          <w14:textFill>
            <w14:solidFill>
              <w14:schemeClr w14:val="tx1"/>
            </w14:solidFill>
          </w14:textFill>
        </w:rPr>
        <w:t>0%，活性炭吸附去除效率取</w:t>
      </w:r>
      <w:r>
        <w:rPr>
          <w:rStyle w:val="63"/>
          <w:rFonts w:hint="eastAsia"/>
          <w:color w:val="000000" w:themeColor="text1"/>
          <w14:textFill>
            <w14:solidFill>
              <w14:schemeClr w14:val="tx1"/>
            </w14:solidFill>
          </w14:textFill>
        </w:rPr>
        <w:t>8</w:t>
      </w:r>
      <w:r>
        <w:rPr>
          <w:rStyle w:val="63"/>
          <w:color w:val="000000" w:themeColor="text1"/>
          <w14:textFill>
            <w14:solidFill>
              <w14:schemeClr w14:val="tx1"/>
            </w14:solidFill>
          </w14:textFill>
        </w:rPr>
        <w:t>5%，则通过活性炭吸附的</w:t>
      </w:r>
      <w:r>
        <w:rPr>
          <w:rStyle w:val="63"/>
          <w:rFonts w:hint="eastAsia"/>
          <w:color w:val="000000" w:themeColor="text1"/>
          <w14:textFill>
            <w14:solidFill>
              <w14:schemeClr w14:val="tx1"/>
            </w14:solidFill>
          </w14:textFill>
        </w:rPr>
        <w:t>N</w:t>
      </w:r>
      <w:r>
        <w:rPr>
          <w:rStyle w:val="63"/>
          <w:color w:val="000000" w:themeColor="text1"/>
          <w14:textFill>
            <w14:solidFill>
              <w14:schemeClr w14:val="tx1"/>
            </w14:solidFill>
          </w14:textFill>
        </w:rPr>
        <w:t>MHC量为274.18×</w:t>
      </w: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-20%</w:t>
      </w:r>
      <w:r>
        <w:rPr>
          <w:rStyle w:val="63"/>
          <w:rFonts w:hint="eastAsia"/>
          <w:color w:val="000000" w:themeColor="text1"/>
          <w14:textFill>
            <w14:solidFill>
              <w14:schemeClr w14:val="tx1"/>
            </w14:solidFill>
          </w14:textFill>
        </w:rPr>
        <w:t>）</w:t>
      </w:r>
      <w:r>
        <w:rPr>
          <w:rStyle w:val="63"/>
          <w:color w:val="000000" w:themeColor="text1"/>
          <w14:textFill>
            <w14:solidFill>
              <w14:schemeClr w14:val="tx1"/>
            </w14:solidFill>
          </w14:textFill>
        </w:rPr>
        <w:t>×</w:t>
      </w: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-40%</w:t>
      </w:r>
      <w:r>
        <w:rPr>
          <w:rStyle w:val="63"/>
          <w:rFonts w:hint="eastAsia"/>
          <w:color w:val="000000" w:themeColor="text1"/>
          <w14:textFill>
            <w14:solidFill>
              <w14:schemeClr w14:val="tx1"/>
            </w14:solidFill>
          </w14:textFill>
        </w:rPr>
        <w:t>）</w:t>
      </w:r>
      <w:r>
        <w:rPr>
          <w:rStyle w:val="63"/>
          <w:color w:val="000000" w:themeColor="text1"/>
          <w14:textFill>
            <w14:solidFill>
              <w14:schemeClr w14:val="tx1"/>
            </w14:solidFill>
          </w14:textFill>
        </w:rPr>
        <w:t>×</w:t>
      </w:r>
      <w:r>
        <w:rPr>
          <w:rStyle w:val="63"/>
          <w:rFonts w:hint="eastAsia"/>
          <w:color w:val="000000" w:themeColor="text1"/>
          <w14:textFill>
            <w14:solidFill>
              <w14:schemeClr w14:val="tx1"/>
            </w14:solidFill>
          </w14:textFill>
        </w:rPr>
        <w:t>8</w:t>
      </w:r>
      <w:r>
        <w:rPr>
          <w:rStyle w:val="63"/>
          <w:color w:val="000000" w:themeColor="text1"/>
          <w14:textFill>
            <w14:solidFill>
              <w14:schemeClr w14:val="tx1"/>
            </w14:solidFill>
          </w14:textFill>
        </w:rPr>
        <w:t>5%=111.866kg/a，</w:t>
      </w:r>
      <w:r>
        <w:rPr>
          <w:rStyle w:val="63"/>
          <w:rFonts w:hint="eastAsia"/>
          <w:color w:val="000000" w:themeColor="text1"/>
          <w14:textFill>
            <w14:solidFill>
              <w14:schemeClr w14:val="tx1"/>
            </w14:solidFill>
          </w14:textFill>
        </w:rPr>
        <w:t>需要活性炭的用量为</w:t>
      </w:r>
      <w:r>
        <w:rPr>
          <w:rStyle w:val="63"/>
          <w:color w:val="000000" w:themeColor="text1"/>
          <w14:textFill>
            <w14:solidFill>
              <w14:schemeClr w14:val="tx1"/>
            </w14:solidFill>
          </w14:textFill>
        </w:rPr>
        <w:t>111.866×</w:t>
      </w:r>
      <w:r>
        <w:rPr>
          <w:rStyle w:val="63"/>
          <w:rFonts w:hint="eastAsia"/>
          <w:color w:val="000000" w:themeColor="text1"/>
          <w14:textFill>
            <w14:solidFill>
              <w14:schemeClr w14:val="tx1"/>
            </w14:solidFill>
          </w14:textFill>
        </w:rPr>
        <w:t>5</w:t>
      </w:r>
      <w:r>
        <w:rPr>
          <w:rStyle w:val="63"/>
          <w:color w:val="000000" w:themeColor="text1"/>
          <w14:textFill>
            <w14:solidFill>
              <w14:schemeClr w14:val="tx1"/>
            </w14:solidFill>
          </w14:textFill>
        </w:rPr>
        <w:t>/1000= 0.559t/a</w:t>
      </w:r>
      <w:r>
        <w:rPr>
          <w:rStyle w:val="63"/>
          <w:rFonts w:hint="eastAsia"/>
          <w:color w:val="000000" w:themeColor="text1"/>
          <w14:textFill>
            <w14:solidFill>
              <w14:schemeClr w14:val="tx1"/>
            </w14:solidFill>
          </w14:textFill>
        </w:rPr>
        <w:t>，废饱和活性炭产生量约为</w:t>
      </w:r>
      <w:r>
        <w:rPr>
          <w:rStyle w:val="63"/>
          <w:color w:val="000000" w:themeColor="text1"/>
          <w14:textFill>
            <w14:solidFill>
              <w14:schemeClr w14:val="tx1"/>
            </w14:solidFill>
          </w14:textFill>
        </w:rPr>
        <w:t>0.671t/a</w:t>
      </w:r>
      <w:r>
        <w:rPr>
          <w:rStyle w:val="63"/>
          <w:rFonts w:hint="eastAsia"/>
          <w:color w:val="000000" w:themeColor="text1"/>
          <w14:textFill>
            <w14:solidFill>
              <w14:schemeClr w14:val="tx1"/>
            </w14:solidFill>
          </w14:textFill>
        </w:rPr>
        <w:t>。</w:t>
      </w:r>
      <w:r>
        <w:rPr>
          <w:rFonts w:hint="eastAsia" w:eastAsiaTheme="minorEastAsia"/>
          <w:color w:val="000000" w:themeColor="text1"/>
          <w14:textFill>
            <w14:solidFill>
              <w14:schemeClr w14:val="tx1"/>
            </w14:solidFill>
          </w14:textFill>
        </w:rPr>
        <w:t>废活性炭</w:t>
      </w:r>
      <w:r>
        <w:rPr>
          <w:rFonts w:hint="eastAsia" w:eastAsiaTheme="minorEastAsia"/>
        </w:rPr>
        <w:t>暂存于厂区危险废物暂存仓库内，定期委托有资质单位进行处理处置。</w:t>
      </w:r>
    </w:p>
    <w:p>
      <w:pPr>
        <w:pStyle w:val="99"/>
        <w:numPr>
          <w:ilvl w:val="0"/>
          <w:numId w:val="4"/>
        </w:numPr>
        <w:ind w:firstLineChars="0"/>
        <w:rPr>
          <w:rFonts w:eastAsiaTheme="minorEastAsia"/>
          <w:b/>
        </w:rPr>
      </w:pPr>
      <w:r>
        <w:rPr>
          <w:rFonts w:hint="eastAsia"/>
          <w:b/>
        </w:rPr>
        <w:t>废润滑油、含油废抹布</w:t>
      </w:r>
    </w:p>
    <w:p>
      <w:pPr>
        <w:ind w:firstLine="480"/>
        <w:rPr>
          <w:rFonts w:eastAsiaTheme="minorEastAsia"/>
        </w:rPr>
      </w:pPr>
      <w:r>
        <w:rPr>
          <w:rFonts w:hint="eastAsia" w:eastAsiaTheme="minorEastAsia"/>
        </w:rPr>
        <w:t>项目设备维修、保养过程中会产生少量废润滑油以及含油废抹布，根据建设单位提供的资料，产生量分</w:t>
      </w:r>
      <w:r>
        <w:rPr>
          <w:rFonts w:hint="eastAsia" w:eastAsiaTheme="minorEastAsia"/>
          <w:color w:val="000000" w:themeColor="text1"/>
          <w14:textFill>
            <w14:solidFill>
              <w14:schemeClr w14:val="tx1"/>
            </w14:solidFill>
          </w14:textFill>
        </w:rPr>
        <w:t>别为</w:t>
      </w:r>
      <w:r>
        <w:rPr>
          <w:rStyle w:val="63"/>
          <w:color w:val="000000" w:themeColor="text1"/>
          <w14:textFill>
            <w14:solidFill>
              <w14:schemeClr w14:val="tx1"/>
            </w14:solidFill>
          </w14:textFill>
        </w:rPr>
        <w:t>0.8</w:t>
      </w:r>
      <w:r>
        <w:rPr>
          <w:rStyle w:val="63"/>
          <w:rFonts w:hint="eastAsia"/>
          <w:color w:val="000000" w:themeColor="text1"/>
          <w14:textFill>
            <w14:solidFill>
              <w14:schemeClr w14:val="tx1"/>
            </w14:solidFill>
          </w14:textFill>
        </w:rPr>
        <w:t>t/a</w:t>
      </w:r>
      <w:r>
        <w:rPr>
          <w:rFonts w:hint="eastAsia" w:eastAsiaTheme="minorEastAsia"/>
          <w:color w:val="000000" w:themeColor="text1"/>
          <w14:textFill>
            <w14:solidFill>
              <w14:schemeClr w14:val="tx1"/>
            </w14:solidFill>
          </w14:textFill>
        </w:rPr>
        <w:t>、0.</w:t>
      </w:r>
      <w:r>
        <w:rPr>
          <w:rFonts w:eastAsiaTheme="minorEastAsia"/>
          <w:color w:val="000000" w:themeColor="text1"/>
          <w14:textFill>
            <w14:solidFill>
              <w14:schemeClr w14:val="tx1"/>
            </w14:solidFill>
          </w14:textFill>
        </w:rPr>
        <w:t>1</w:t>
      </w:r>
      <w:r>
        <w:rPr>
          <w:rFonts w:hint="eastAsia" w:eastAsiaTheme="minorEastAsia"/>
          <w:color w:val="000000" w:themeColor="text1"/>
          <w14:textFill>
            <w14:solidFill>
              <w14:schemeClr w14:val="tx1"/>
            </w14:solidFill>
          </w14:textFill>
        </w:rPr>
        <w:t>t/a</w:t>
      </w:r>
      <w:r>
        <w:rPr>
          <w:rFonts w:hint="eastAsia" w:eastAsiaTheme="minorEastAsia"/>
        </w:rPr>
        <w:t>。废润滑油属于《国家危险废物名录》（2016年）中“HW08废矿物油与含矿物油废物，非特定行业：使用工业齿轮油进行机械设备润滑过程中产生的废润滑油”，废物代码</w:t>
      </w:r>
      <w:r>
        <w:rPr>
          <w:rFonts w:eastAsiaTheme="minorEastAsia"/>
        </w:rPr>
        <w:t>900-217-08</w:t>
      </w:r>
      <w:r>
        <w:rPr>
          <w:rFonts w:hint="eastAsia" w:eastAsiaTheme="minorEastAsia"/>
        </w:rPr>
        <w:t>，含油废抹布属于《国家危险废物名录》（2016 年）中“HW49 其他废物，非特定行业：含有或沾染毒性、感染性危险废物的废弃包装物、容器、过滤吸附介质”，废物代码900-041-49，妥善收集后，需交由有资质的单位处理。</w:t>
      </w:r>
    </w:p>
    <w:p>
      <w:pPr>
        <w:ind w:firstLine="480"/>
        <w:rPr>
          <w:rFonts w:eastAsiaTheme="minorEastAsia"/>
        </w:rPr>
      </w:pPr>
      <w:r>
        <w:rPr>
          <w:rFonts w:hint="eastAsia" w:eastAsiaTheme="minorEastAsia"/>
        </w:rPr>
        <w:t>项目危险废物汇总情况详见</w:t>
      </w:r>
      <w:r>
        <w:rPr>
          <w:rFonts w:eastAsiaTheme="minorEastAsia"/>
        </w:rPr>
        <w:fldChar w:fldCharType="begin"/>
      </w:r>
      <w:r>
        <w:rPr>
          <w:rFonts w:eastAsiaTheme="minorEastAsia"/>
        </w:rPr>
        <w:instrText xml:space="preserve"> </w:instrText>
      </w:r>
      <w:r>
        <w:rPr>
          <w:rFonts w:hint="eastAsia" w:eastAsiaTheme="minorEastAsia"/>
        </w:rPr>
        <w:instrText xml:space="preserve">REF _Ref531251766 \h</w:instrText>
      </w:r>
      <w:r>
        <w:rPr>
          <w:rFonts w:eastAsiaTheme="minorEastAsia"/>
        </w:rPr>
        <w:instrText xml:space="preserve"> </w:instrText>
      </w:r>
      <w:r>
        <w:rPr>
          <w:rFonts w:eastAsiaTheme="minorEastAsia"/>
        </w:rPr>
        <w:fldChar w:fldCharType="separate"/>
      </w:r>
      <w:r>
        <w:rPr>
          <w:rFonts w:hint="eastAsia"/>
        </w:rPr>
        <w:t xml:space="preserve">表 </w:t>
      </w:r>
      <w:r>
        <w:t>2.8</w:t>
      </w:r>
      <w:r>
        <w:noBreakHyphen/>
      </w:r>
      <w:r>
        <w:t>27</w:t>
      </w:r>
      <w:r>
        <w:rPr>
          <w:rFonts w:eastAsiaTheme="minorEastAsia"/>
        </w:rPr>
        <w:fldChar w:fldCharType="end"/>
      </w:r>
      <w:r>
        <w:rPr>
          <w:rFonts w:hint="eastAsia" w:eastAsiaTheme="minorEastAsia"/>
        </w:rPr>
        <w:t>。</w:t>
      </w:r>
    </w:p>
    <w:p>
      <w:pPr>
        <w:pStyle w:val="99"/>
        <w:numPr>
          <w:ilvl w:val="0"/>
          <w:numId w:val="34"/>
        </w:numPr>
        <w:ind w:left="0" w:firstLineChars="0"/>
        <w:rPr>
          <w:rFonts w:eastAsiaTheme="minorEastAsia"/>
          <w:b/>
        </w:rPr>
      </w:pPr>
      <w:r>
        <w:rPr>
          <w:rFonts w:hint="eastAsia" w:eastAsiaTheme="minorEastAsia"/>
          <w:b/>
        </w:rPr>
        <w:t>生活垃圾</w:t>
      </w:r>
    </w:p>
    <w:p>
      <w:pPr>
        <w:ind w:firstLine="480"/>
        <w:rPr>
          <w:rFonts w:eastAsiaTheme="minorEastAsia"/>
        </w:rPr>
      </w:pPr>
      <w:r>
        <w:rPr>
          <w:rFonts w:eastAsiaTheme="minorEastAsia"/>
        </w:rPr>
        <w:t>本项目劳动定员共计3</w:t>
      </w:r>
      <w:r>
        <w:rPr>
          <w:rFonts w:hint="eastAsia" w:eastAsiaTheme="minorEastAsia"/>
        </w:rPr>
        <w:t>0</w:t>
      </w:r>
      <w:r>
        <w:rPr>
          <w:rFonts w:eastAsiaTheme="minorEastAsia"/>
        </w:rPr>
        <w:t>人，生活垃圾产生量每人每天按0.5kg计算，垃圾</w:t>
      </w:r>
      <w:r>
        <w:rPr>
          <w:rFonts w:hint="eastAsia" w:eastAsiaTheme="minorEastAsia"/>
        </w:rPr>
        <w:t>产生</w:t>
      </w:r>
      <w:r>
        <w:rPr>
          <w:rFonts w:eastAsiaTheme="minorEastAsia"/>
        </w:rPr>
        <w:t>量为</w:t>
      </w:r>
      <w:r>
        <w:rPr>
          <w:rFonts w:hint="eastAsia" w:eastAsiaTheme="minorEastAsia"/>
        </w:rPr>
        <w:t>1</w:t>
      </w:r>
      <w:r>
        <w:rPr>
          <w:rFonts w:eastAsiaTheme="minorEastAsia"/>
        </w:rPr>
        <w:t>5kg/d（4.5t/a）</w:t>
      </w:r>
      <w:r>
        <w:rPr>
          <w:rFonts w:hint="eastAsia" w:eastAsiaTheme="minorEastAsia"/>
        </w:rPr>
        <w:t>。厂内集中收集后定期送交环卫部门集中处理</w:t>
      </w:r>
      <w:r>
        <w:rPr>
          <w:rFonts w:eastAsiaTheme="minorEastAsia"/>
        </w:rPr>
        <w:t>。</w:t>
      </w:r>
    </w:p>
    <w:p>
      <w:pPr>
        <w:ind w:firstLine="480"/>
        <w:rPr>
          <w:rFonts w:eastAsiaTheme="minorEastAsia"/>
        </w:rPr>
      </w:pPr>
      <w:r>
        <w:rPr>
          <w:rFonts w:hint="eastAsia" w:eastAsiaTheme="minorEastAsia"/>
        </w:rPr>
        <w:t>综上，本项目产生固体废物总量为</w:t>
      </w:r>
      <w:r>
        <w:rPr>
          <w:rFonts w:eastAsiaTheme="minorEastAsia"/>
        </w:rPr>
        <w:t>27.8857t/a</w:t>
      </w:r>
      <w:r>
        <w:rPr>
          <w:rFonts w:hint="eastAsia" w:eastAsiaTheme="minorEastAsia"/>
        </w:rPr>
        <w:t>。各固体废物组成、产生源、产生量及处理方式见</w:t>
      </w:r>
      <w:r>
        <w:rPr>
          <w:rFonts w:eastAsiaTheme="minorEastAsia"/>
        </w:rPr>
        <w:fldChar w:fldCharType="begin"/>
      </w:r>
      <w:r>
        <w:rPr>
          <w:rFonts w:eastAsiaTheme="minorEastAsia"/>
        </w:rPr>
        <w:instrText xml:space="preserve"> </w:instrText>
      </w:r>
      <w:r>
        <w:rPr>
          <w:rFonts w:hint="eastAsia" w:eastAsiaTheme="minorEastAsia"/>
        </w:rPr>
        <w:instrText xml:space="preserve">REF _Ref530328808 \h</w:instrText>
      </w:r>
      <w:r>
        <w:rPr>
          <w:rFonts w:eastAsiaTheme="minorEastAsia"/>
        </w:rPr>
        <w:instrText xml:space="preserve"> </w:instrText>
      </w:r>
      <w:r>
        <w:rPr>
          <w:rFonts w:eastAsiaTheme="minorEastAsia"/>
        </w:rPr>
        <w:fldChar w:fldCharType="separate"/>
      </w:r>
      <w:r>
        <w:rPr>
          <w:rFonts w:hint="eastAsia"/>
        </w:rPr>
        <w:t xml:space="preserve">表 </w:t>
      </w:r>
      <w:r>
        <w:t>2.8</w:t>
      </w:r>
      <w:r>
        <w:noBreakHyphen/>
      </w:r>
      <w:r>
        <w:t>26</w:t>
      </w:r>
      <w:r>
        <w:rPr>
          <w:rFonts w:eastAsiaTheme="minorEastAsia"/>
        </w:rPr>
        <w:fldChar w:fldCharType="end"/>
      </w:r>
      <w:r>
        <w:rPr>
          <w:rFonts w:hint="eastAsia" w:eastAsiaTheme="minorEastAsia"/>
        </w:rPr>
        <w:t>。</w:t>
      </w:r>
    </w:p>
    <w:p>
      <w:pPr>
        <w:pStyle w:val="18"/>
      </w:pPr>
      <w:bookmarkStart w:id="233" w:name="_Ref530328808"/>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2.8</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26</w:t>
      </w:r>
      <w:r>
        <w:fldChar w:fldCharType="end"/>
      </w:r>
      <w:bookmarkEnd w:id="233"/>
      <w:r>
        <w:t xml:space="preserve"> </w:t>
      </w:r>
      <w:r>
        <w:rPr>
          <w:rFonts w:hint="eastAsia"/>
        </w:rPr>
        <w:t>项目固体废物产生及处理情况</w:t>
      </w:r>
    </w:p>
    <w:tbl>
      <w:tblPr>
        <w:tblStyle w:val="56"/>
        <w:tblW w:w="90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416"/>
        <w:gridCol w:w="1844"/>
        <w:gridCol w:w="1577"/>
        <w:gridCol w:w="1541"/>
        <w:gridCol w:w="19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blHeader/>
        </w:trPr>
        <w:tc>
          <w:tcPr>
            <w:tcW w:w="705" w:type="dxa"/>
            <w:shd w:val="clear" w:color="auto" w:fill="D8D8D8" w:themeFill="background1" w:themeFillShade="D9"/>
            <w:vAlign w:val="center"/>
          </w:tcPr>
          <w:p>
            <w:pPr>
              <w:pStyle w:val="107"/>
              <w:rPr>
                <w:b/>
              </w:rPr>
            </w:pPr>
            <w:r>
              <w:rPr>
                <w:rFonts w:hint="eastAsia"/>
                <w:b/>
              </w:rPr>
              <w:t>序号</w:t>
            </w:r>
          </w:p>
        </w:tc>
        <w:tc>
          <w:tcPr>
            <w:tcW w:w="1416" w:type="dxa"/>
            <w:shd w:val="clear" w:color="auto" w:fill="D8D8D8" w:themeFill="background1" w:themeFillShade="D9"/>
            <w:vAlign w:val="center"/>
          </w:tcPr>
          <w:p>
            <w:pPr>
              <w:pStyle w:val="107"/>
              <w:rPr>
                <w:b/>
              </w:rPr>
            </w:pPr>
            <w:r>
              <w:rPr>
                <w:rFonts w:hint="eastAsia"/>
                <w:b/>
              </w:rPr>
              <w:t>固废类别</w:t>
            </w:r>
          </w:p>
        </w:tc>
        <w:tc>
          <w:tcPr>
            <w:tcW w:w="1844" w:type="dxa"/>
            <w:shd w:val="clear" w:color="auto" w:fill="D8D8D8" w:themeFill="background1" w:themeFillShade="D9"/>
            <w:vAlign w:val="center"/>
          </w:tcPr>
          <w:p>
            <w:pPr>
              <w:pStyle w:val="107"/>
              <w:rPr>
                <w:b/>
              </w:rPr>
            </w:pPr>
            <w:r>
              <w:rPr>
                <w:rFonts w:hint="eastAsia"/>
                <w:b/>
              </w:rPr>
              <w:t>固体废物</w:t>
            </w:r>
          </w:p>
        </w:tc>
        <w:tc>
          <w:tcPr>
            <w:tcW w:w="1577" w:type="dxa"/>
            <w:shd w:val="clear" w:color="auto" w:fill="D8D8D8" w:themeFill="background1" w:themeFillShade="D9"/>
            <w:vAlign w:val="center"/>
          </w:tcPr>
          <w:p>
            <w:pPr>
              <w:pStyle w:val="107"/>
              <w:rPr>
                <w:b/>
              </w:rPr>
            </w:pPr>
            <w:r>
              <w:rPr>
                <w:rFonts w:hint="eastAsia"/>
                <w:b/>
              </w:rPr>
              <w:t>产生工序</w:t>
            </w:r>
          </w:p>
        </w:tc>
        <w:tc>
          <w:tcPr>
            <w:tcW w:w="1541" w:type="dxa"/>
            <w:shd w:val="clear" w:color="auto" w:fill="D8D8D8" w:themeFill="background1" w:themeFillShade="D9"/>
            <w:vAlign w:val="center"/>
          </w:tcPr>
          <w:p>
            <w:pPr>
              <w:pStyle w:val="107"/>
              <w:rPr>
                <w:b/>
              </w:rPr>
            </w:pPr>
            <w:r>
              <w:rPr>
                <w:rFonts w:hint="eastAsia"/>
                <w:b/>
              </w:rPr>
              <w:t>产生量</w:t>
            </w:r>
            <w:r>
              <w:rPr>
                <w:b/>
              </w:rPr>
              <w:t>(t/a)</w:t>
            </w:r>
          </w:p>
        </w:tc>
        <w:tc>
          <w:tcPr>
            <w:tcW w:w="1972" w:type="dxa"/>
            <w:shd w:val="clear" w:color="auto" w:fill="D8D8D8" w:themeFill="background1" w:themeFillShade="D9"/>
            <w:vAlign w:val="center"/>
          </w:tcPr>
          <w:p>
            <w:pPr>
              <w:pStyle w:val="107"/>
              <w:rPr>
                <w:b/>
              </w:rPr>
            </w:pPr>
            <w:r>
              <w:rPr>
                <w:rFonts w:hint="eastAsia"/>
                <w:b/>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eastAsia="等线" w:cs="Arial"/>
              </w:rPr>
            </w:pPr>
            <w:r>
              <w:rPr>
                <w:rFonts w:eastAsia="等线" w:cs="Arial"/>
              </w:rPr>
              <w:t>1</w:t>
            </w:r>
          </w:p>
        </w:tc>
        <w:tc>
          <w:tcPr>
            <w:tcW w:w="1416" w:type="dxa"/>
            <w:vMerge w:val="restart"/>
            <w:shd w:val="clear" w:color="auto" w:fill="auto"/>
            <w:vAlign w:val="center"/>
          </w:tcPr>
          <w:p>
            <w:pPr>
              <w:pStyle w:val="107"/>
            </w:pPr>
            <w:r>
              <w:rPr>
                <w:rFonts w:hint="eastAsia"/>
              </w:rPr>
              <w:t>一般工业固体废弃物</w:t>
            </w:r>
          </w:p>
        </w:tc>
        <w:tc>
          <w:tcPr>
            <w:tcW w:w="1844" w:type="dxa"/>
            <w:shd w:val="clear" w:color="auto" w:fill="auto"/>
            <w:vAlign w:val="center"/>
          </w:tcPr>
          <w:p>
            <w:pPr>
              <w:pStyle w:val="107"/>
            </w:pPr>
            <w:r>
              <w:rPr>
                <w:rFonts w:hint="eastAsia"/>
              </w:rPr>
              <w:t>除尘灰</w:t>
            </w:r>
          </w:p>
        </w:tc>
        <w:tc>
          <w:tcPr>
            <w:tcW w:w="1577" w:type="dxa"/>
            <w:shd w:val="clear" w:color="auto" w:fill="auto"/>
            <w:vAlign w:val="center"/>
          </w:tcPr>
          <w:p>
            <w:pPr>
              <w:pStyle w:val="107"/>
            </w:pPr>
            <w:r>
              <w:rPr>
                <w:rFonts w:hint="eastAsia"/>
              </w:rPr>
              <w:t>布袋除尘</w:t>
            </w:r>
          </w:p>
        </w:tc>
        <w:tc>
          <w:tcPr>
            <w:tcW w:w="1541"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0.4</w:t>
            </w:r>
            <w:r>
              <w:rPr>
                <w:rStyle w:val="63"/>
                <w:color w:val="000000" w:themeColor="text1"/>
                <w14:textFill>
                  <w14:solidFill>
                    <w14:schemeClr w14:val="tx1"/>
                  </w14:solidFill>
                </w14:textFill>
              </w:rPr>
              <w:t>02</w:t>
            </w:r>
            <w:r>
              <w:rPr>
                <w:rStyle w:val="63"/>
                <w:rFonts w:hint="eastAsia"/>
                <w:color w:val="000000" w:themeColor="text1"/>
                <w14:textFill>
                  <w14:solidFill>
                    <w14:schemeClr w14:val="tx1"/>
                  </w14:solidFill>
                </w14:textFill>
              </w:rPr>
              <w:t>t/a</w:t>
            </w:r>
          </w:p>
        </w:tc>
        <w:tc>
          <w:tcPr>
            <w:tcW w:w="1972" w:type="dxa"/>
            <w:vMerge w:val="restart"/>
            <w:shd w:val="clear" w:color="auto" w:fill="auto"/>
            <w:vAlign w:val="center"/>
          </w:tcPr>
          <w:p>
            <w:pPr>
              <w:pStyle w:val="107"/>
            </w:pPr>
            <w:r>
              <w:rPr>
                <w:rFonts w:hint="eastAsia"/>
              </w:rPr>
              <w:t>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eastAsia="等线" w:cs="Arial"/>
              </w:rPr>
            </w:pPr>
            <w:r>
              <w:rPr>
                <w:rFonts w:eastAsia="等线" w:cs="Arial"/>
              </w:rPr>
              <w:t>2</w:t>
            </w:r>
          </w:p>
        </w:tc>
        <w:tc>
          <w:tcPr>
            <w:tcW w:w="1416" w:type="dxa"/>
            <w:vMerge w:val="continue"/>
            <w:vAlign w:val="center"/>
          </w:tcPr>
          <w:p>
            <w:pPr>
              <w:pStyle w:val="107"/>
            </w:pPr>
          </w:p>
        </w:tc>
        <w:tc>
          <w:tcPr>
            <w:tcW w:w="1844" w:type="dxa"/>
            <w:shd w:val="clear" w:color="auto" w:fill="auto"/>
            <w:vAlign w:val="center"/>
          </w:tcPr>
          <w:p>
            <w:pPr>
              <w:pStyle w:val="107"/>
            </w:pPr>
            <w:r>
              <w:rPr>
                <w:rFonts w:hint="eastAsia"/>
              </w:rPr>
              <w:t>切胶橡胶边角料</w:t>
            </w:r>
          </w:p>
        </w:tc>
        <w:tc>
          <w:tcPr>
            <w:tcW w:w="1577" w:type="dxa"/>
            <w:shd w:val="clear" w:color="auto" w:fill="auto"/>
            <w:vAlign w:val="center"/>
          </w:tcPr>
          <w:p>
            <w:pPr>
              <w:pStyle w:val="107"/>
            </w:pPr>
            <w:r>
              <w:rPr>
                <w:rFonts w:hint="eastAsia"/>
              </w:rPr>
              <w:t>切胶</w:t>
            </w:r>
          </w:p>
        </w:tc>
        <w:tc>
          <w:tcPr>
            <w:tcW w:w="1541"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w:t>
            </w:r>
            <w:r>
              <w:rPr>
                <w:rStyle w:val="63"/>
                <w:rFonts w:hint="eastAsia"/>
                <w:color w:val="000000" w:themeColor="text1"/>
                <w14:textFill>
                  <w14:solidFill>
                    <w14:schemeClr w14:val="tx1"/>
                  </w14:solidFill>
                </w14:textFill>
              </w:rPr>
              <w:t>t/a</w:t>
            </w:r>
          </w:p>
        </w:tc>
        <w:tc>
          <w:tcPr>
            <w:tcW w:w="1972" w:type="dxa"/>
            <w:vMerge w:val="continue"/>
            <w:vAlign w:val="center"/>
          </w:tcPr>
          <w:p>
            <w:pPr>
              <w:pStyle w:val="107"/>
              <w:rPr>
                <w:rFonts w:ascii="等线" w:hAnsi="等线" w:eastAsia="等线"/>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eastAsia="等线" w:cs="Arial"/>
              </w:rPr>
            </w:pPr>
            <w:r>
              <w:rPr>
                <w:rFonts w:eastAsia="等线" w:cs="Arial"/>
              </w:rPr>
              <w:t>3</w:t>
            </w:r>
          </w:p>
        </w:tc>
        <w:tc>
          <w:tcPr>
            <w:tcW w:w="1416" w:type="dxa"/>
            <w:vMerge w:val="continue"/>
            <w:vAlign w:val="center"/>
          </w:tcPr>
          <w:p>
            <w:pPr>
              <w:pStyle w:val="107"/>
            </w:pPr>
          </w:p>
        </w:tc>
        <w:tc>
          <w:tcPr>
            <w:tcW w:w="1844" w:type="dxa"/>
            <w:shd w:val="clear" w:color="auto" w:fill="auto"/>
            <w:vAlign w:val="center"/>
          </w:tcPr>
          <w:p>
            <w:pPr>
              <w:pStyle w:val="107"/>
            </w:pPr>
            <w:r>
              <w:rPr>
                <w:rFonts w:hint="eastAsia"/>
              </w:rPr>
              <w:t>废包装材料</w:t>
            </w:r>
          </w:p>
        </w:tc>
        <w:tc>
          <w:tcPr>
            <w:tcW w:w="1577" w:type="dxa"/>
            <w:shd w:val="clear" w:color="auto" w:fill="auto"/>
            <w:vAlign w:val="center"/>
          </w:tcPr>
          <w:p>
            <w:pPr>
              <w:pStyle w:val="107"/>
            </w:pPr>
            <w:r>
              <w:rPr>
                <w:rFonts w:hint="eastAsia"/>
              </w:rPr>
              <w:t>投料</w:t>
            </w:r>
          </w:p>
        </w:tc>
        <w:tc>
          <w:tcPr>
            <w:tcW w:w="1541"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5t/a</w:t>
            </w:r>
          </w:p>
        </w:tc>
        <w:tc>
          <w:tcPr>
            <w:tcW w:w="1972" w:type="dxa"/>
            <w:vMerge w:val="restart"/>
            <w:shd w:val="clear" w:color="auto" w:fill="auto"/>
            <w:vAlign w:val="center"/>
          </w:tcPr>
          <w:p>
            <w:pPr>
              <w:pStyle w:val="107"/>
            </w:pPr>
            <w:r>
              <w:rPr>
                <w:rFonts w:hint="eastAsia"/>
              </w:rPr>
              <w:t>收集后交资源回收单位综合利用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eastAsia="等线" w:cs="Arial"/>
              </w:rPr>
            </w:pPr>
            <w:r>
              <w:rPr>
                <w:rFonts w:eastAsia="等线" w:cs="Arial"/>
              </w:rPr>
              <w:t>4</w:t>
            </w:r>
          </w:p>
        </w:tc>
        <w:tc>
          <w:tcPr>
            <w:tcW w:w="1416" w:type="dxa"/>
            <w:vMerge w:val="continue"/>
            <w:vAlign w:val="center"/>
          </w:tcPr>
          <w:p>
            <w:pPr>
              <w:pStyle w:val="107"/>
            </w:pPr>
          </w:p>
        </w:tc>
        <w:tc>
          <w:tcPr>
            <w:tcW w:w="1844" w:type="dxa"/>
            <w:shd w:val="clear" w:color="auto" w:fill="auto"/>
            <w:vAlign w:val="center"/>
          </w:tcPr>
          <w:p>
            <w:pPr>
              <w:pStyle w:val="107"/>
            </w:pPr>
            <w:r>
              <w:rPr>
                <w:rFonts w:hint="eastAsia"/>
              </w:rPr>
              <w:t>修边橡胶边角料</w:t>
            </w:r>
          </w:p>
        </w:tc>
        <w:tc>
          <w:tcPr>
            <w:tcW w:w="1577" w:type="dxa"/>
            <w:shd w:val="clear" w:color="auto" w:fill="auto"/>
            <w:vAlign w:val="center"/>
          </w:tcPr>
          <w:p>
            <w:pPr>
              <w:pStyle w:val="107"/>
            </w:pPr>
            <w:r>
              <w:rPr>
                <w:rFonts w:hint="eastAsia"/>
              </w:rPr>
              <w:t>修边</w:t>
            </w:r>
          </w:p>
        </w:tc>
        <w:tc>
          <w:tcPr>
            <w:tcW w:w="1541"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 t/a</w:t>
            </w:r>
          </w:p>
        </w:tc>
        <w:tc>
          <w:tcPr>
            <w:tcW w:w="1972"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eastAsia="等线" w:cs="Arial"/>
              </w:rPr>
            </w:pPr>
            <w:r>
              <w:rPr>
                <w:rFonts w:eastAsia="等线" w:cs="Arial"/>
              </w:rPr>
              <w:t>5</w:t>
            </w:r>
          </w:p>
        </w:tc>
        <w:tc>
          <w:tcPr>
            <w:tcW w:w="1416" w:type="dxa"/>
            <w:vMerge w:val="continue"/>
            <w:vAlign w:val="center"/>
          </w:tcPr>
          <w:p>
            <w:pPr>
              <w:pStyle w:val="107"/>
            </w:pPr>
          </w:p>
        </w:tc>
        <w:tc>
          <w:tcPr>
            <w:tcW w:w="1844" w:type="dxa"/>
            <w:shd w:val="clear" w:color="auto" w:fill="auto"/>
            <w:vAlign w:val="center"/>
          </w:tcPr>
          <w:p>
            <w:pPr>
              <w:pStyle w:val="107"/>
            </w:pPr>
            <w:r>
              <w:rPr>
                <w:rFonts w:hint="eastAsia"/>
              </w:rPr>
              <w:t>不合格品</w:t>
            </w:r>
          </w:p>
        </w:tc>
        <w:tc>
          <w:tcPr>
            <w:tcW w:w="1577" w:type="dxa"/>
            <w:shd w:val="clear" w:color="auto" w:fill="auto"/>
            <w:vAlign w:val="center"/>
          </w:tcPr>
          <w:p>
            <w:pPr>
              <w:pStyle w:val="107"/>
            </w:pPr>
            <w:r>
              <w:rPr>
                <w:rFonts w:hint="eastAsia"/>
              </w:rPr>
              <w:t>检验</w:t>
            </w:r>
          </w:p>
        </w:tc>
        <w:tc>
          <w:tcPr>
            <w:tcW w:w="1541" w:type="dxa"/>
            <w:shd w:val="clear" w:color="auto" w:fill="auto"/>
            <w:vAlign w:val="center"/>
          </w:tcPr>
          <w:p>
            <w:pPr>
              <w:pStyle w:val="107"/>
              <w:rPr>
                <w:rStyle w:val="63"/>
                <w:color w:val="000000" w:themeColor="text1"/>
                <w14:textFill>
                  <w14:solidFill>
                    <w14:schemeClr w14:val="tx1"/>
                  </w14:solidFill>
                </w14:textFill>
              </w:rPr>
            </w:pPr>
            <w:r>
              <w:rPr>
                <w:rFonts w:hint="eastAsia"/>
              </w:rPr>
              <w:t>9.</w:t>
            </w:r>
            <w:r>
              <w:t>2627</w:t>
            </w:r>
            <w:r>
              <w:rPr>
                <w:rStyle w:val="63"/>
                <w:rFonts w:hint="eastAsia"/>
                <w:color w:val="000000" w:themeColor="text1"/>
                <w14:textFill>
                  <w14:solidFill>
                    <w14:schemeClr w14:val="tx1"/>
                  </w14:solidFill>
                </w14:textFill>
              </w:rPr>
              <w:t>t/a</w:t>
            </w:r>
          </w:p>
        </w:tc>
        <w:tc>
          <w:tcPr>
            <w:tcW w:w="1972"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eastAsia="等线" w:cs="Arial"/>
              </w:rPr>
            </w:pPr>
            <w:r>
              <w:rPr>
                <w:rFonts w:eastAsia="等线" w:cs="Arial"/>
              </w:rPr>
              <w:t>6</w:t>
            </w:r>
          </w:p>
        </w:tc>
        <w:tc>
          <w:tcPr>
            <w:tcW w:w="1416" w:type="dxa"/>
            <w:vMerge w:val="continue"/>
            <w:vAlign w:val="center"/>
          </w:tcPr>
          <w:p>
            <w:pPr>
              <w:pStyle w:val="107"/>
            </w:pPr>
          </w:p>
        </w:tc>
        <w:tc>
          <w:tcPr>
            <w:tcW w:w="1844" w:type="dxa"/>
            <w:shd w:val="clear" w:color="auto" w:fill="auto"/>
            <w:vAlign w:val="center"/>
          </w:tcPr>
          <w:p>
            <w:pPr>
              <w:pStyle w:val="107"/>
            </w:pPr>
            <w:r>
              <w:rPr>
                <w:rFonts w:hint="eastAsia"/>
              </w:rPr>
              <w:t>抛丸收集粉尘</w:t>
            </w:r>
          </w:p>
        </w:tc>
        <w:tc>
          <w:tcPr>
            <w:tcW w:w="1577" w:type="dxa"/>
            <w:shd w:val="clear" w:color="auto" w:fill="auto"/>
            <w:vAlign w:val="center"/>
          </w:tcPr>
          <w:p>
            <w:pPr>
              <w:pStyle w:val="107"/>
            </w:pPr>
            <w:r>
              <w:rPr>
                <w:rFonts w:hint="eastAsia"/>
              </w:rPr>
              <w:t>抛丸</w:t>
            </w:r>
          </w:p>
        </w:tc>
        <w:tc>
          <w:tcPr>
            <w:tcW w:w="1541" w:type="dxa"/>
            <w:shd w:val="clear" w:color="auto" w:fill="auto"/>
            <w:vAlign w:val="center"/>
          </w:tcPr>
          <w:p>
            <w:pPr>
              <w:pStyle w:val="107"/>
              <w:rPr>
                <w:rStyle w:val="63"/>
                <w:color w:val="000000" w:themeColor="text1"/>
                <w14:textFill>
                  <w14:solidFill>
                    <w14:schemeClr w14:val="tx1"/>
                  </w14:solidFill>
                </w14:textFill>
              </w:rPr>
            </w:pPr>
            <w:r>
              <w:t>1.8</w:t>
            </w:r>
            <w:r>
              <w:rPr>
                <w:rStyle w:val="63"/>
                <w:rFonts w:hint="eastAsia"/>
                <w:color w:val="000000" w:themeColor="text1"/>
                <w14:textFill>
                  <w14:solidFill>
                    <w14:schemeClr w14:val="tx1"/>
                  </w14:solidFill>
                </w14:textFill>
              </w:rPr>
              <w:t>t/a</w:t>
            </w:r>
          </w:p>
        </w:tc>
        <w:tc>
          <w:tcPr>
            <w:tcW w:w="1972"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eastAsia="等线" w:cs="Arial"/>
              </w:rPr>
            </w:pPr>
            <w:r>
              <w:rPr>
                <w:rFonts w:eastAsia="等线" w:cs="Arial"/>
              </w:rPr>
              <w:t>7</w:t>
            </w:r>
          </w:p>
        </w:tc>
        <w:tc>
          <w:tcPr>
            <w:tcW w:w="1416" w:type="dxa"/>
            <w:vMerge w:val="restart"/>
            <w:shd w:val="clear" w:color="auto" w:fill="auto"/>
            <w:vAlign w:val="center"/>
          </w:tcPr>
          <w:p>
            <w:pPr>
              <w:pStyle w:val="107"/>
            </w:pPr>
            <w:r>
              <w:rPr>
                <w:rFonts w:hint="eastAsia"/>
              </w:rPr>
              <w:t>危险废物</w:t>
            </w:r>
          </w:p>
        </w:tc>
        <w:tc>
          <w:tcPr>
            <w:tcW w:w="1844" w:type="dxa"/>
            <w:shd w:val="clear" w:color="auto" w:fill="auto"/>
            <w:vAlign w:val="center"/>
          </w:tcPr>
          <w:p>
            <w:pPr>
              <w:pStyle w:val="107"/>
            </w:pPr>
            <w:r>
              <w:rPr>
                <w:rFonts w:hint="eastAsia"/>
              </w:rPr>
              <w:t>废饱和活性炭</w:t>
            </w:r>
          </w:p>
        </w:tc>
        <w:tc>
          <w:tcPr>
            <w:tcW w:w="1577" w:type="dxa"/>
            <w:shd w:val="clear" w:color="auto" w:fill="auto"/>
            <w:vAlign w:val="center"/>
          </w:tcPr>
          <w:p>
            <w:pPr>
              <w:pStyle w:val="107"/>
            </w:pPr>
            <w:r>
              <w:rPr>
                <w:rFonts w:hint="eastAsia"/>
              </w:rPr>
              <w:t>有机废气治理</w:t>
            </w:r>
          </w:p>
        </w:tc>
        <w:tc>
          <w:tcPr>
            <w:tcW w:w="1541"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671</w:t>
            </w:r>
            <w:r>
              <w:rPr>
                <w:rStyle w:val="63"/>
                <w:rFonts w:hint="eastAsia"/>
                <w:color w:val="000000" w:themeColor="text1"/>
                <w14:textFill>
                  <w14:solidFill>
                    <w14:schemeClr w14:val="tx1"/>
                  </w14:solidFill>
                </w14:textFill>
              </w:rPr>
              <w:t>t/a</w:t>
            </w:r>
          </w:p>
        </w:tc>
        <w:tc>
          <w:tcPr>
            <w:tcW w:w="1972" w:type="dxa"/>
            <w:vMerge w:val="restart"/>
            <w:shd w:val="clear" w:color="auto" w:fill="auto"/>
            <w:vAlign w:val="center"/>
          </w:tcPr>
          <w:p>
            <w:pPr>
              <w:pStyle w:val="107"/>
            </w:pPr>
            <w:r>
              <w:rPr>
                <w:rFonts w:hint="eastAsia"/>
              </w:rPr>
              <w:t>交有资质危险废物处理单位处理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eastAsia="等线" w:cs="Arial"/>
              </w:rPr>
            </w:pPr>
            <w:r>
              <w:rPr>
                <w:rFonts w:eastAsia="等线" w:cs="Arial"/>
              </w:rPr>
              <w:t>8</w:t>
            </w:r>
          </w:p>
        </w:tc>
        <w:tc>
          <w:tcPr>
            <w:tcW w:w="1416" w:type="dxa"/>
            <w:vMerge w:val="continue"/>
            <w:vAlign w:val="center"/>
          </w:tcPr>
          <w:p>
            <w:pPr>
              <w:pStyle w:val="107"/>
            </w:pPr>
          </w:p>
        </w:tc>
        <w:tc>
          <w:tcPr>
            <w:tcW w:w="1844" w:type="dxa"/>
            <w:shd w:val="clear" w:color="auto" w:fill="auto"/>
            <w:vAlign w:val="center"/>
          </w:tcPr>
          <w:p>
            <w:pPr>
              <w:pStyle w:val="107"/>
            </w:pPr>
            <w:r>
              <w:rPr>
                <w:rFonts w:hint="eastAsia"/>
              </w:rPr>
              <w:t>废润滑油</w:t>
            </w:r>
          </w:p>
        </w:tc>
        <w:tc>
          <w:tcPr>
            <w:tcW w:w="1577" w:type="dxa"/>
            <w:vMerge w:val="restart"/>
            <w:shd w:val="clear" w:color="auto" w:fill="auto"/>
            <w:vAlign w:val="center"/>
          </w:tcPr>
          <w:p>
            <w:pPr>
              <w:pStyle w:val="107"/>
            </w:pPr>
            <w:r>
              <w:rPr>
                <w:rFonts w:hint="eastAsia"/>
              </w:rPr>
              <w:t>设备维护、维修</w:t>
            </w:r>
          </w:p>
        </w:tc>
        <w:tc>
          <w:tcPr>
            <w:tcW w:w="1541"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0.8</w:t>
            </w:r>
            <w:r>
              <w:rPr>
                <w:rStyle w:val="63"/>
                <w:rFonts w:hint="eastAsia"/>
                <w:color w:val="000000" w:themeColor="text1"/>
                <w14:textFill>
                  <w14:solidFill>
                    <w14:schemeClr w14:val="tx1"/>
                  </w14:solidFill>
                </w14:textFill>
              </w:rPr>
              <w:t>t/a</w:t>
            </w:r>
          </w:p>
        </w:tc>
        <w:tc>
          <w:tcPr>
            <w:tcW w:w="1972"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eastAsia="等线" w:cs="Arial"/>
              </w:rPr>
            </w:pPr>
            <w:r>
              <w:rPr>
                <w:rFonts w:eastAsia="等线" w:cs="Arial"/>
              </w:rPr>
              <w:t>9</w:t>
            </w:r>
          </w:p>
        </w:tc>
        <w:tc>
          <w:tcPr>
            <w:tcW w:w="1416" w:type="dxa"/>
            <w:vMerge w:val="continue"/>
            <w:vAlign w:val="center"/>
          </w:tcPr>
          <w:p>
            <w:pPr>
              <w:pStyle w:val="107"/>
            </w:pPr>
          </w:p>
        </w:tc>
        <w:tc>
          <w:tcPr>
            <w:tcW w:w="1844" w:type="dxa"/>
            <w:shd w:val="clear" w:color="auto" w:fill="auto"/>
            <w:vAlign w:val="bottom"/>
          </w:tcPr>
          <w:p>
            <w:pPr>
              <w:pStyle w:val="107"/>
            </w:pPr>
            <w:r>
              <w:rPr>
                <w:rFonts w:hint="eastAsia"/>
              </w:rPr>
              <w:t>含油废抹布</w:t>
            </w:r>
          </w:p>
        </w:tc>
        <w:tc>
          <w:tcPr>
            <w:tcW w:w="1577" w:type="dxa"/>
            <w:vMerge w:val="continue"/>
            <w:vAlign w:val="center"/>
          </w:tcPr>
          <w:p>
            <w:pPr>
              <w:pStyle w:val="107"/>
              <w:rPr>
                <w:rFonts w:ascii="等线" w:hAnsi="等线" w:eastAsia="等线"/>
                <w:sz w:val="22"/>
                <w:szCs w:val="22"/>
              </w:rPr>
            </w:pPr>
          </w:p>
        </w:tc>
        <w:tc>
          <w:tcPr>
            <w:tcW w:w="1541" w:type="dxa"/>
            <w:shd w:val="clear" w:color="auto" w:fill="auto"/>
            <w:vAlign w:val="center"/>
          </w:tcPr>
          <w:p>
            <w:pPr>
              <w:pStyle w:val="107"/>
            </w:pPr>
            <w:r>
              <w:rPr>
                <w:rFonts w:hint="eastAsia"/>
                <w:color w:val="000000"/>
              </w:rPr>
              <w:t>0.1t/a</w:t>
            </w:r>
          </w:p>
        </w:tc>
        <w:tc>
          <w:tcPr>
            <w:tcW w:w="1972"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 w:hRule="atLeast"/>
        </w:trPr>
        <w:tc>
          <w:tcPr>
            <w:tcW w:w="705" w:type="dxa"/>
            <w:shd w:val="clear" w:color="auto" w:fill="auto"/>
            <w:vAlign w:val="center"/>
          </w:tcPr>
          <w:p>
            <w:pPr>
              <w:pStyle w:val="107"/>
              <w:rPr>
                <w:rFonts w:eastAsia="等线" w:cs="Arial"/>
              </w:rPr>
            </w:pPr>
            <w:r>
              <w:rPr>
                <w:rFonts w:eastAsia="等线" w:cs="Arial"/>
              </w:rPr>
              <w:t>10</w:t>
            </w:r>
          </w:p>
        </w:tc>
        <w:tc>
          <w:tcPr>
            <w:tcW w:w="1416" w:type="dxa"/>
            <w:shd w:val="clear" w:color="auto" w:fill="auto"/>
            <w:vAlign w:val="center"/>
          </w:tcPr>
          <w:p>
            <w:pPr>
              <w:pStyle w:val="107"/>
            </w:pPr>
            <w:r>
              <w:rPr>
                <w:rFonts w:hint="eastAsia"/>
              </w:rPr>
              <w:t>生活垃圾</w:t>
            </w:r>
          </w:p>
        </w:tc>
        <w:tc>
          <w:tcPr>
            <w:tcW w:w="1844" w:type="dxa"/>
            <w:shd w:val="clear" w:color="auto" w:fill="auto"/>
            <w:vAlign w:val="center"/>
          </w:tcPr>
          <w:p>
            <w:pPr>
              <w:pStyle w:val="107"/>
            </w:pPr>
            <w:r>
              <w:rPr>
                <w:rFonts w:hint="eastAsia"/>
              </w:rPr>
              <w:t>生活垃圾</w:t>
            </w:r>
          </w:p>
        </w:tc>
        <w:tc>
          <w:tcPr>
            <w:tcW w:w="1577" w:type="dxa"/>
            <w:shd w:val="clear" w:color="auto" w:fill="auto"/>
            <w:vAlign w:val="center"/>
          </w:tcPr>
          <w:p>
            <w:pPr>
              <w:pStyle w:val="107"/>
            </w:pPr>
            <w:r>
              <w:rPr>
                <w:rFonts w:hint="eastAsia"/>
              </w:rPr>
              <w:t>办公生活</w:t>
            </w:r>
          </w:p>
        </w:tc>
        <w:tc>
          <w:tcPr>
            <w:tcW w:w="1541" w:type="dxa"/>
            <w:shd w:val="clear" w:color="auto" w:fill="auto"/>
            <w:vAlign w:val="center"/>
          </w:tcPr>
          <w:p>
            <w:pPr>
              <w:pStyle w:val="107"/>
            </w:pPr>
            <w:r>
              <w:rPr>
                <w:color w:val="000000"/>
              </w:rPr>
              <w:t>4.5</w:t>
            </w:r>
            <w:r>
              <w:rPr>
                <w:rFonts w:hint="eastAsia"/>
                <w:color w:val="000000"/>
              </w:rPr>
              <w:t>t/a</w:t>
            </w:r>
          </w:p>
        </w:tc>
        <w:tc>
          <w:tcPr>
            <w:tcW w:w="1972" w:type="dxa"/>
            <w:shd w:val="clear" w:color="auto" w:fill="auto"/>
            <w:vAlign w:val="center"/>
          </w:tcPr>
          <w:p>
            <w:pPr>
              <w:pStyle w:val="107"/>
            </w:pPr>
            <w:r>
              <w:rPr>
                <w:rFonts w:hint="eastAsia"/>
              </w:rPr>
              <w:t>环卫部门清运</w:t>
            </w:r>
          </w:p>
        </w:tc>
      </w:tr>
    </w:tbl>
    <w:p>
      <w:pPr>
        <w:ind w:firstLine="480"/>
      </w:pPr>
      <w:bookmarkStart w:id="234" w:name="_Toc530404469"/>
      <w:bookmarkEnd w:id="234"/>
      <w:r>
        <w:rPr>
          <w:rFonts w:hint="eastAsia"/>
        </w:rPr>
        <w:t>其中，本项目的危险废物汇总如下：</w:t>
      </w:r>
    </w:p>
    <w:p>
      <w:pPr>
        <w:pStyle w:val="107"/>
      </w:pPr>
    </w:p>
    <w:p>
      <w:pPr>
        <w:pStyle w:val="107"/>
        <w:sectPr>
          <w:pgSz w:w="11906" w:h="16838"/>
          <w:pgMar w:top="1418" w:right="1418" w:bottom="1418" w:left="1418" w:header="851" w:footer="992" w:gutter="0"/>
          <w:cols w:space="720" w:num="1"/>
          <w:docGrid w:type="lines" w:linePitch="312" w:charSpace="0"/>
        </w:sectPr>
      </w:pPr>
    </w:p>
    <w:p>
      <w:pPr>
        <w:pStyle w:val="18"/>
      </w:pPr>
      <w:bookmarkStart w:id="235" w:name="_Ref531251766"/>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2.8</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27</w:t>
      </w:r>
      <w:r>
        <w:fldChar w:fldCharType="end"/>
      </w:r>
      <w:bookmarkEnd w:id="235"/>
      <w:r>
        <w:t xml:space="preserve"> </w:t>
      </w:r>
      <w:r>
        <w:rPr>
          <w:rFonts w:hint="eastAsia"/>
        </w:rPr>
        <w:t>危险废物汇总表</w:t>
      </w:r>
    </w:p>
    <w:tbl>
      <w:tblPr>
        <w:tblStyle w:val="56"/>
        <w:tblW w:w="141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1"/>
        <w:gridCol w:w="1340"/>
        <w:gridCol w:w="851"/>
        <w:gridCol w:w="1417"/>
        <w:gridCol w:w="883"/>
        <w:gridCol w:w="992"/>
        <w:gridCol w:w="739"/>
        <w:gridCol w:w="941"/>
        <w:gridCol w:w="1418"/>
        <w:gridCol w:w="871"/>
        <w:gridCol w:w="709"/>
        <w:gridCol w:w="2005"/>
        <w:gridCol w:w="15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0" w:hRule="atLeast"/>
        </w:trPr>
        <w:tc>
          <w:tcPr>
            <w:tcW w:w="471" w:type="dxa"/>
            <w:vMerge w:val="restart"/>
            <w:shd w:val="clear" w:color="auto" w:fill="D8D8D8" w:themeFill="background1" w:themeFillShade="D9"/>
            <w:vAlign w:val="center"/>
          </w:tcPr>
          <w:p>
            <w:pPr>
              <w:pStyle w:val="107"/>
              <w:rPr>
                <w:b/>
              </w:rPr>
            </w:pPr>
            <w:r>
              <w:rPr>
                <w:rFonts w:hint="eastAsia"/>
                <w:b/>
              </w:rPr>
              <w:t>序号</w:t>
            </w:r>
          </w:p>
        </w:tc>
        <w:tc>
          <w:tcPr>
            <w:tcW w:w="1340" w:type="dxa"/>
            <w:vMerge w:val="restart"/>
            <w:shd w:val="clear" w:color="auto" w:fill="D8D8D8" w:themeFill="background1" w:themeFillShade="D9"/>
            <w:vAlign w:val="center"/>
          </w:tcPr>
          <w:p>
            <w:pPr>
              <w:pStyle w:val="107"/>
              <w:rPr>
                <w:b/>
              </w:rPr>
            </w:pPr>
            <w:r>
              <w:rPr>
                <w:rFonts w:hint="eastAsia"/>
                <w:b/>
              </w:rPr>
              <w:t>危险废物名称</w:t>
            </w:r>
          </w:p>
        </w:tc>
        <w:tc>
          <w:tcPr>
            <w:tcW w:w="851" w:type="dxa"/>
            <w:vMerge w:val="restart"/>
            <w:shd w:val="clear" w:color="auto" w:fill="D8D8D8" w:themeFill="background1" w:themeFillShade="D9"/>
            <w:vAlign w:val="center"/>
          </w:tcPr>
          <w:p>
            <w:pPr>
              <w:pStyle w:val="107"/>
              <w:rPr>
                <w:b/>
              </w:rPr>
            </w:pPr>
            <w:r>
              <w:rPr>
                <w:rFonts w:hint="eastAsia"/>
                <w:b/>
              </w:rPr>
              <w:t>危险废物类别</w:t>
            </w:r>
          </w:p>
        </w:tc>
        <w:tc>
          <w:tcPr>
            <w:tcW w:w="1417" w:type="dxa"/>
            <w:vMerge w:val="restart"/>
            <w:shd w:val="clear" w:color="auto" w:fill="D8D8D8" w:themeFill="background1" w:themeFillShade="D9"/>
            <w:vAlign w:val="center"/>
          </w:tcPr>
          <w:p>
            <w:pPr>
              <w:pStyle w:val="107"/>
              <w:rPr>
                <w:b/>
              </w:rPr>
            </w:pPr>
            <w:r>
              <w:rPr>
                <w:rFonts w:hint="eastAsia"/>
                <w:b/>
              </w:rPr>
              <w:t>危险废物代码</w:t>
            </w:r>
          </w:p>
        </w:tc>
        <w:tc>
          <w:tcPr>
            <w:tcW w:w="883" w:type="dxa"/>
            <w:vMerge w:val="restart"/>
            <w:shd w:val="clear" w:color="auto" w:fill="D8D8D8" w:themeFill="background1" w:themeFillShade="D9"/>
            <w:vAlign w:val="center"/>
          </w:tcPr>
          <w:p>
            <w:pPr>
              <w:pStyle w:val="107"/>
              <w:rPr>
                <w:b/>
              </w:rPr>
            </w:pPr>
            <w:r>
              <w:rPr>
                <w:rFonts w:hint="eastAsia"/>
                <w:b/>
              </w:rPr>
              <w:t>产生量（t</w:t>
            </w:r>
            <w:r>
              <w:rPr>
                <w:b/>
              </w:rPr>
              <w:t>/a</w:t>
            </w:r>
            <w:r>
              <w:rPr>
                <w:rFonts w:hint="eastAsia"/>
                <w:b/>
              </w:rPr>
              <w:t>）</w:t>
            </w:r>
          </w:p>
        </w:tc>
        <w:tc>
          <w:tcPr>
            <w:tcW w:w="992" w:type="dxa"/>
            <w:vMerge w:val="restart"/>
            <w:shd w:val="clear" w:color="auto" w:fill="D8D8D8" w:themeFill="background1" w:themeFillShade="D9"/>
            <w:vAlign w:val="center"/>
          </w:tcPr>
          <w:p>
            <w:pPr>
              <w:pStyle w:val="107"/>
              <w:rPr>
                <w:b/>
              </w:rPr>
            </w:pPr>
            <w:r>
              <w:rPr>
                <w:rFonts w:hint="eastAsia"/>
                <w:b/>
              </w:rPr>
              <w:t>产生工序及装置</w:t>
            </w:r>
          </w:p>
        </w:tc>
        <w:tc>
          <w:tcPr>
            <w:tcW w:w="739" w:type="dxa"/>
            <w:vMerge w:val="restart"/>
            <w:shd w:val="clear" w:color="auto" w:fill="D8D8D8" w:themeFill="background1" w:themeFillShade="D9"/>
            <w:vAlign w:val="center"/>
          </w:tcPr>
          <w:p>
            <w:pPr>
              <w:pStyle w:val="107"/>
              <w:rPr>
                <w:b/>
              </w:rPr>
            </w:pPr>
            <w:r>
              <w:rPr>
                <w:rFonts w:hint="eastAsia"/>
                <w:b/>
              </w:rPr>
              <w:t>形态</w:t>
            </w:r>
          </w:p>
        </w:tc>
        <w:tc>
          <w:tcPr>
            <w:tcW w:w="941" w:type="dxa"/>
            <w:vMerge w:val="restart"/>
            <w:shd w:val="clear" w:color="auto" w:fill="D8D8D8" w:themeFill="background1" w:themeFillShade="D9"/>
            <w:vAlign w:val="center"/>
          </w:tcPr>
          <w:p>
            <w:pPr>
              <w:pStyle w:val="107"/>
              <w:rPr>
                <w:b/>
              </w:rPr>
            </w:pPr>
            <w:r>
              <w:rPr>
                <w:rFonts w:hint="eastAsia"/>
                <w:b/>
              </w:rPr>
              <w:t>主要成分</w:t>
            </w:r>
          </w:p>
        </w:tc>
        <w:tc>
          <w:tcPr>
            <w:tcW w:w="1418" w:type="dxa"/>
            <w:vMerge w:val="restart"/>
            <w:shd w:val="clear" w:color="auto" w:fill="D8D8D8" w:themeFill="background1" w:themeFillShade="D9"/>
            <w:vAlign w:val="center"/>
          </w:tcPr>
          <w:p>
            <w:pPr>
              <w:pStyle w:val="107"/>
              <w:rPr>
                <w:b/>
              </w:rPr>
            </w:pPr>
            <w:r>
              <w:rPr>
                <w:rFonts w:hint="eastAsia"/>
                <w:b/>
              </w:rPr>
              <w:t>有害成分</w:t>
            </w:r>
          </w:p>
        </w:tc>
        <w:tc>
          <w:tcPr>
            <w:tcW w:w="871" w:type="dxa"/>
            <w:vMerge w:val="restart"/>
            <w:shd w:val="clear" w:color="auto" w:fill="D8D8D8" w:themeFill="background1" w:themeFillShade="D9"/>
            <w:vAlign w:val="center"/>
          </w:tcPr>
          <w:p>
            <w:pPr>
              <w:pStyle w:val="107"/>
              <w:rPr>
                <w:b/>
              </w:rPr>
            </w:pPr>
            <w:r>
              <w:rPr>
                <w:rFonts w:hint="eastAsia"/>
                <w:b/>
              </w:rPr>
              <w:t>产废周期</w:t>
            </w:r>
          </w:p>
        </w:tc>
        <w:tc>
          <w:tcPr>
            <w:tcW w:w="709" w:type="dxa"/>
            <w:vMerge w:val="restart"/>
            <w:shd w:val="clear" w:color="auto" w:fill="D8D8D8" w:themeFill="background1" w:themeFillShade="D9"/>
            <w:vAlign w:val="center"/>
          </w:tcPr>
          <w:p>
            <w:pPr>
              <w:pStyle w:val="107"/>
              <w:rPr>
                <w:b/>
              </w:rPr>
            </w:pPr>
            <w:r>
              <w:rPr>
                <w:rFonts w:hint="eastAsia"/>
                <w:b/>
              </w:rPr>
              <w:t>危险特性</w:t>
            </w:r>
          </w:p>
        </w:tc>
        <w:tc>
          <w:tcPr>
            <w:tcW w:w="3507" w:type="dxa"/>
            <w:gridSpan w:val="2"/>
            <w:shd w:val="clear" w:color="auto" w:fill="D8D8D8" w:themeFill="background1" w:themeFillShade="D9"/>
            <w:vAlign w:val="center"/>
          </w:tcPr>
          <w:p>
            <w:pPr>
              <w:pStyle w:val="107"/>
              <w:rPr>
                <w:b/>
                <w:sz w:val="22"/>
                <w:szCs w:val="22"/>
              </w:rPr>
            </w:pPr>
            <w:r>
              <w:rPr>
                <w:rFonts w:hint="eastAsia"/>
                <w:b/>
                <w:sz w:val="22"/>
                <w:szCs w:val="22"/>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0" w:hRule="atLeast"/>
        </w:trPr>
        <w:tc>
          <w:tcPr>
            <w:tcW w:w="471" w:type="dxa"/>
            <w:vMerge w:val="continue"/>
            <w:shd w:val="clear" w:color="auto" w:fill="D8D8D8" w:themeFill="background1" w:themeFillShade="D9"/>
            <w:vAlign w:val="center"/>
          </w:tcPr>
          <w:p>
            <w:pPr>
              <w:pStyle w:val="107"/>
              <w:rPr>
                <w:b/>
              </w:rPr>
            </w:pPr>
          </w:p>
        </w:tc>
        <w:tc>
          <w:tcPr>
            <w:tcW w:w="1340" w:type="dxa"/>
            <w:vMerge w:val="continue"/>
            <w:shd w:val="clear" w:color="auto" w:fill="D8D8D8" w:themeFill="background1" w:themeFillShade="D9"/>
            <w:vAlign w:val="center"/>
          </w:tcPr>
          <w:p>
            <w:pPr>
              <w:pStyle w:val="107"/>
              <w:rPr>
                <w:b/>
              </w:rPr>
            </w:pPr>
          </w:p>
        </w:tc>
        <w:tc>
          <w:tcPr>
            <w:tcW w:w="851" w:type="dxa"/>
            <w:vMerge w:val="continue"/>
            <w:shd w:val="clear" w:color="auto" w:fill="D8D8D8" w:themeFill="background1" w:themeFillShade="D9"/>
            <w:vAlign w:val="center"/>
          </w:tcPr>
          <w:p>
            <w:pPr>
              <w:pStyle w:val="107"/>
              <w:rPr>
                <w:b/>
              </w:rPr>
            </w:pPr>
          </w:p>
        </w:tc>
        <w:tc>
          <w:tcPr>
            <w:tcW w:w="1417" w:type="dxa"/>
            <w:vMerge w:val="continue"/>
            <w:shd w:val="clear" w:color="auto" w:fill="D8D8D8" w:themeFill="background1" w:themeFillShade="D9"/>
            <w:vAlign w:val="center"/>
          </w:tcPr>
          <w:p>
            <w:pPr>
              <w:pStyle w:val="107"/>
              <w:rPr>
                <w:b/>
              </w:rPr>
            </w:pPr>
          </w:p>
        </w:tc>
        <w:tc>
          <w:tcPr>
            <w:tcW w:w="883" w:type="dxa"/>
            <w:vMerge w:val="continue"/>
            <w:shd w:val="clear" w:color="auto" w:fill="D8D8D8" w:themeFill="background1" w:themeFillShade="D9"/>
            <w:vAlign w:val="center"/>
          </w:tcPr>
          <w:p>
            <w:pPr>
              <w:pStyle w:val="107"/>
              <w:rPr>
                <w:b/>
              </w:rPr>
            </w:pPr>
          </w:p>
        </w:tc>
        <w:tc>
          <w:tcPr>
            <w:tcW w:w="992" w:type="dxa"/>
            <w:vMerge w:val="continue"/>
            <w:shd w:val="clear" w:color="auto" w:fill="D8D8D8" w:themeFill="background1" w:themeFillShade="D9"/>
            <w:vAlign w:val="center"/>
          </w:tcPr>
          <w:p>
            <w:pPr>
              <w:pStyle w:val="107"/>
              <w:rPr>
                <w:b/>
              </w:rPr>
            </w:pPr>
          </w:p>
        </w:tc>
        <w:tc>
          <w:tcPr>
            <w:tcW w:w="739" w:type="dxa"/>
            <w:vMerge w:val="continue"/>
            <w:shd w:val="clear" w:color="auto" w:fill="D8D8D8" w:themeFill="background1" w:themeFillShade="D9"/>
            <w:vAlign w:val="center"/>
          </w:tcPr>
          <w:p>
            <w:pPr>
              <w:pStyle w:val="107"/>
              <w:rPr>
                <w:b/>
              </w:rPr>
            </w:pPr>
          </w:p>
        </w:tc>
        <w:tc>
          <w:tcPr>
            <w:tcW w:w="941" w:type="dxa"/>
            <w:vMerge w:val="continue"/>
            <w:shd w:val="clear" w:color="auto" w:fill="D8D8D8" w:themeFill="background1" w:themeFillShade="D9"/>
            <w:vAlign w:val="center"/>
          </w:tcPr>
          <w:p>
            <w:pPr>
              <w:pStyle w:val="107"/>
              <w:rPr>
                <w:b/>
              </w:rPr>
            </w:pPr>
          </w:p>
        </w:tc>
        <w:tc>
          <w:tcPr>
            <w:tcW w:w="1418" w:type="dxa"/>
            <w:vMerge w:val="continue"/>
            <w:shd w:val="clear" w:color="auto" w:fill="D8D8D8" w:themeFill="background1" w:themeFillShade="D9"/>
            <w:vAlign w:val="center"/>
          </w:tcPr>
          <w:p>
            <w:pPr>
              <w:pStyle w:val="107"/>
              <w:rPr>
                <w:b/>
              </w:rPr>
            </w:pPr>
          </w:p>
        </w:tc>
        <w:tc>
          <w:tcPr>
            <w:tcW w:w="871" w:type="dxa"/>
            <w:vMerge w:val="continue"/>
            <w:shd w:val="clear" w:color="auto" w:fill="D8D8D8" w:themeFill="background1" w:themeFillShade="D9"/>
            <w:vAlign w:val="center"/>
          </w:tcPr>
          <w:p>
            <w:pPr>
              <w:pStyle w:val="107"/>
              <w:rPr>
                <w:b/>
              </w:rPr>
            </w:pPr>
          </w:p>
        </w:tc>
        <w:tc>
          <w:tcPr>
            <w:tcW w:w="709" w:type="dxa"/>
            <w:vMerge w:val="continue"/>
            <w:shd w:val="clear" w:color="auto" w:fill="D8D8D8" w:themeFill="background1" w:themeFillShade="D9"/>
            <w:vAlign w:val="center"/>
          </w:tcPr>
          <w:p>
            <w:pPr>
              <w:pStyle w:val="107"/>
              <w:rPr>
                <w:b/>
              </w:rPr>
            </w:pPr>
          </w:p>
        </w:tc>
        <w:tc>
          <w:tcPr>
            <w:tcW w:w="2005" w:type="dxa"/>
            <w:shd w:val="clear" w:color="auto" w:fill="D8D8D8" w:themeFill="background1" w:themeFillShade="D9"/>
            <w:vAlign w:val="center"/>
          </w:tcPr>
          <w:p>
            <w:pPr>
              <w:pStyle w:val="107"/>
              <w:rPr>
                <w:b/>
                <w:sz w:val="22"/>
                <w:szCs w:val="22"/>
              </w:rPr>
            </w:pPr>
            <w:r>
              <w:rPr>
                <w:rFonts w:hint="eastAsia"/>
                <w:b/>
                <w:sz w:val="22"/>
                <w:szCs w:val="22"/>
              </w:rPr>
              <w:t>贮存</w:t>
            </w:r>
          </w:p>
        </w:tc>
        <w:tc>
          <w:tcPr>
            <w:tcW w:w="1502" w:type="dxa"/>
            <w:shd w:val="clear" w:color="auto" w:fill="D8D8D8" w:themeFill="background1" w:themeFillShade="D9"/>
            <w:vAlign w:val="center"/>
          </w:tcPr>
          <w:p>
            <w:pPr>
              <w:pStyle w:val="107"/>
              <w:rPr>
                <w:b/>
                <w:sz w:val="22"/>
                <w:szCs w:val="22"/>
              </w:rPr>
            </w:pPr>
            <w:r>
              <w:rPr>
                <w:rFonts w:hint="eastAsia"/>
                <w:b/>
                <w:sz w:val="22"/>
                <w:szCs w:val="22"/>
              </w:rPr>
              <w:t>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1" w:type="dxa"/>
            <w:shd w:val="clear" w:color="auto" w:fill="auto"/>
            <w:vAlign w:val="center"/>
          </w:tcPr>
          <w:p>
            <w:pPr>
              <w:pStyle w:val="107"/>
              <w:numPr>
                <w:ilvl w:val="0"/>
                <w:numId w:val="36"/>
              </w:numPr>
              <w:rPr>
                <w:rFonts w:cs="Arial"/>
              </w:rPr>
            </w:pPr>
          </w:p>
        </w:tc>
        <w:tc>
          <w:tcPr>
            <w:tcW w:w="1340" w:type="dxa"/>
            <w:shd w:val="clear" w:color="auto" w:fill="auto"/>
            <w:vAlign w:val="center"/>
          </w:tcPr>
          <w:p>
            <w:pPr>
              <w:pStyle w:val="107"/>
              <w:rPr>
                <w:sz w:val="22"/>
                <w:szCs w:val="22"/>
              </w:rPr>
            </w:pPr>
            <w:r>
              <w:rPr>
                <w:rFonts w:hint="eastAsia"/>
                <w:sz w:val="22"/>
                <w:szCs w:val="22"/>
              </w:rPr>
              <w:t>废饱和活性炭</w:t>
            </w:r>
          </w:p>
        </w:tc>
        <w:tc>
          <w:tcPr>
            <w:tcW w:w="851" w:type="dxa"/>
            <w:shd w:val="clear" w:color="auto" w:fill="auto"/>
            <w:vAlign w:val="center"/>
          </w:tcPr>
          <w:p>
            <w:pPr>
              <w:pStyle w:val="107"/>
              <w:rPr>
                <w:sz w:val="22"/>
                <w:szCs w:val="22"/>
              </w:rPr>
            </w:pPr>
            <w:r>
              <w:rPr>
                <w:rFonts w:hint="eastAsia"/>
                <w:sz w:val="22"/>
                <w:szCs w:val="22"/>
              </w:rPr>
              <w:t>HW49</w:t>
            </w:r>
          </w:p>
        </w:tc>
        <w:tc>
          <w:tcPr>
            <w:tcW w:w="1417" w:type="dxa"/>
            <w:shd w:val="clear" w:color="auto" w:fill="auto"/>
            <w:vAlign w:val="center"/>
          </w:tcPr>
          <w:p>
            <w:pPr>
              <w:pStyle w:val="107"/>
              <w:rPr>
                <w:sz w:val="22"/>
                <w:szCs w:val="22"/>
              </w:rPr>
            </w:pPr>
            <w:r>
              <w:rPr>
                <w:rFonts w:cs="Arial"/>
              </w:rPr>
              <w:t>900-041-49</w:t>
            </w:r>
          </w:p>
        </w:tc>
        <w:tc>
          <w:tcPr>
            <w:tcW w:w="883"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0.671</w:t>
            </w:r>
          </w:p>
        </w:tc>
        <w:tc>
          <w:tcPr>
            <w:tcW w:w="992" w:type="dxa"/>
            <w:shd w:val="clear" w:color="auto" w:fill="auto"/>
            <w:vAlign w:val="center"/>
          </w:tcPr>
          <w:p>
            <w:pPr>
              <w:pStyle w:val="107"/>
              <w:rPr>
                <w:sz w:val="22"/>
                <w:szCs w:val="22"/>
              </w:rPr>
            </w:pPr>
            <w:r>
              <w:rPr>
                <w:rFonts w:hint="eastAsia"/>
                <w:sz w:val="22"/>
                <w:szCs w:val="22"/>
              </w:rPr>
              <w:t>有机废气治理</w:t>
            </w:r>
          </w:p>
        </w:tc>
        <w:tc>
          <w:tcPr>
            <w:tcW w:w="739" w:type="dxa"/>
            <w:shd w:val="clear" w:color="auto" w:fill="auto"/>
            <w:vAlign w:val="center"/>
          </w:tcPr>
          <w:p>
            <w:pPr>
              <w:pStyle w:val="107"/>
              <w:rPr>
                <w:sz w:val="22"/>
                <w:szCs w:val="22"/>
              </w:rPr>
            </w:pPr>
            <w:r>
              <w:rPr>
                <w:rFonts w:hint="eastAsia"/>
                <w:sz w:val="22"/>
                <w:szCs w:val="22"/>
              </w:rPr>
              <w:t>固态</w:t>
            </w:r>
          </w:p>
        </w:tc>
        <w:tc>
          <w:tcPr>
            <w:tcW w:w="941" w:type="dxa"/>
            <w:shd w:val="clear" w:color="auto" w:fill="auto"/>
            <w:vAlign w:val="center"/>
          </w:tcPr>
          <w:p>
            <w:pPr>
              <w:pStyle w:val="107"/>
            </w:pPr>
            <w:r>
              <w:rPr>
                <w:rFonts w:hint="eastAsia"/>
              </w:rPr>
              <w:t>活性炭</w:t>
            </w:r>
          </w:p>
        </w:tc>
        <w:tc>
          <w:tcPr>
            <w:tcW w:w="1418" w:type="dxa"/>
            <w:shd w:val="clear" w:color="auto" w:fill="auto"/>
            <w:vAlign w:val="center"/>
          </w:tcPr>
          <w:p>
            <w:pPr>
              <w:pStyle w:val="107"/>
              <w:rPr>
                <w:sz w:val="22"/>
                <w:szCs w:val="22"/>
              </w:rPr>
            </w:pPr>
            <w:r>
              <w:rPr>
                <w:rFonts w:hint="eastAsia"/>
                <w:sz w:val="22"/>
                <w:szCs w:val="22"/>
              </w:rPr>
              <w:t>吸附的非甲烷总烃、硫化氢等</w:t>
            </w:r>
          </w:p>
        </w:tc>
        <w:tc>
          <w:tcPr>
            <w:tcW w:w="871" w:type="dxa"/>
            <w:shd w:val="clear" w:color="auto" w:fill="auto"/>
            <w:vAlign w:val="center"/>
          </w:tcPr>
          <w:p>
            <w:pPr>
              <w:pStyle w:val="107"/>
            </w:pPr>
            <w:r>
              <w:rPr>
                <w:rFonts w:hint="eastAsia"/>
              </w:rPr>
              <w:t>6个月/次</w:t>
            </w:r>
          </w:p>
        </w:tc>
        <w:tc>
          <w:tcPr>
            <w:tcW w:w="709" w:type="dxa"/>
            <w:shd w:val="clear" w:color="auto" w:fill="auto"/>
            <w:vAlign w:val="center"/>
          </w:tcPr>
          <w:p>
            <w:pPr>
              <w:pStyle w:val="107"/>
            </w:pPr>
            <w:r>
              <w:rPr>
                <w:rFonts w:hint="eastAsia"/>
              </w:rPr>
              <w:t>T</w:t>
            </w:r>
          </w:p>
        </w:tc>
        <w:tc>
          <w:tcPr>
            <w:tcW w:w="2005" w:type="dxa"/>
            <w:vMerge w:val="restart"/>
            <w:shd w:val="clear" w:color="auto" w:fill="auto"/>
            <w:vAlign w:val="center"/>
          </w:tcPr>
          <w:p>
            <w:pPr>
              <w:pStyle w:val="107"/>
            </w:pPr>
            <w:r>
              <w:rPr>
                <w:rFonts w:hint="eastAsia"/>
              </w:rPr>
              <w:t>置于室内；采取防渗措施；应配备通讯设备、照明设施和消防设施；每个贮存区域之间宜设置挡墙间隔；建立危险废物贮存的台帐制度</w:t>
            </w:r>
          </w:p>
        </w:tc>
        <w:tc>
          <w:tcPr>
            <w:tcW w:w="1502" w:type="dxa"/>
            <w:vMerge w:val="restart"/>
            <w:shd w:val="clear" w:color="auto" w:fill="auto"/>
            <w:vAlign w:val="center"/>
          </w:tcPr>
          <w:p>
            <w:pPr>
              <w:pStyle w:val="107"/>
            </w:pPr>
            <w:r>
              <w:rPr>
                <w:rFonts w:hint="eastAsia"/>
              </w:rPr>
              <w:t>委托具有危险废物许可证处置单位进行处理；按《危险废物转移联单管理办法》执行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1" w:type="dxa"/>
            <w:shd w:val="clear" w:color="auto" w:fill="auto"/>
            <w:vAlign w:val="center"/>
          </w:tcPr>
          <w:p>
            <w:pPr>
              <w:pStyle w:val="107"/>
              <w:numPr>
                <w:ilvl w:val="0"/>
                <w:numId w:val="36"/>
              </w:numPr>
              <w:rPr>
                <w:rFonts w:cs="Arial"/>
              </w:rPr>
            </w:pPr>
          </w:p>
        </w:tc>
        <w:tc>
          <w:tcPr>
            <w:tcW w:w="1340" w:type="dxa"/>
            <w:shd w:val="clear" w:color="auto" w:fill="auto"/>
            <w:vAlign w:val="center"/>
          </w:tcPr>
          <w:p>
            <w:pPr>
              <w:pStyle w:val="107"/>
              <w:rPr>
                <w:sz w:val="22"/>
                <w:szCs w:val="22"/>
              </w:rPr>
            </w:pPr>
            <w:r>
              <w:rPr>
                <w:rFonts w:hint="eastAsia"/>
                <w:sz w:val="22"/>
                <w:szCs w:val="22"/>
              </w:rPr>
              <w:t>废润滑油</w:t>
            </w:r>
          </w:p>
        </w:tc>
        <w:tc>
          <w:tcPr>
            <w:tcW w:w="851" w:type="dxa"/>
            <w:shd w:val="clear" w:color="auto" w:fill="auto"/>
            <w:vAlign w:val="center"/>
          </w:tcPr>
          <w:p>
            <w:pPr>
              <w:pStyle w:val="107"/>
              <w:rPr>
                <w:sz w:val="22"/>
                <w:szCs w:val="22"/>
              </w:rPr>
            </w:pPr>
            <w:r>
              <w:rPr>
                <w:rFonts w:hint="eastAsia"/>
                <w:sz w:val="22"/>
                <w:szCs w:val="22"/>
              </w:rPr>
              <w:t>HW08</w:t>
            </w:r>
          </w:p>
        </w:tc>
        <w:tc>
          <w:tcPr>
            <w:tcW w:w="1417" w:type="dxa"/>
            <w:shd w:val="clear" w:color="auto" w:fill="auto"/>
            <w:vAlign w:val="center"/>
          </w:tcPr>
          <w:p>
            <w:pPr>
              <w:pStyle w:val="107"/>
              <w:rPr>
                <w:rFonts w:cs="Arial"/>
              </w:rPr>
            </w:pPr>
            <w:r>
              <w:rPr>
                <w:rFonts w:cs="Arial"/>
              </w:rPr>
              <w:t>900-217-08</w:t>
            </w:r>
          </w:p>
        </w:tc>
        <w:tc>
          <w:tcPr>
            <w:tcW w:w="883"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0.8</w:t>
            </w:r>
          </w:p>
        </w:tc>
        <w:tc>
          <w:tcPr>
            <w:tcW w:w="992" w:type="dxa"/>
            <w:vMerge w:val="restart"/>
            <w:shd w:val="clear" w:color="auto" w:fill="auto"/>
            <w:vAlign w:val="center"/>
          </w:tcPr>
          <w:p>
            <w:pPr>
              <w:pStyle w:val="107"/>
              <w:rPr>
                <w:sz w:val="22"/>
                <w:szCs w:val="22"/>
              </w:rPr>
            </w:pPr>
            <w:r>
              <w:rPr>
                <w:rFonts w:hint="eastAsia"/>
                <w:sz w:val="22"/>
                <w:szCs w:val="22"/>
              </w:rPr>
              <w:t>设备维护、维修</w:t>
            </w:r>
          </w:p>
        </w:tc>
        <w:tc>
          <w:tcPr>
            <w:tcW w:w="739" w:type="dxa"/>
            <w:shd w:val="clear" w:color="auto" w:fill="auto"/>
            <w:vAlign w:val="center"/>
          </w:tcPr>
          <w:p>
            <w:pPr>
              <w:pStyle w:val="107"/>
              <w:rPr>
                <w:sz w:val="22"/>
                <w:szCs w:val="22"/>
              </w:rPr>
            </w:pPr>
            <w:r>
              <w:rPr>
                <w:rFonts w:hint="eastAsia"/>
                <w:sz w:val="22"/>
                <w:szCs w:val="22"/>
              </w:rPr>
              <w:t>液态</w:t>
            </w:r>
          </w:p>
        </w:tc>
        <w:tc>
          <w:tcPr>
            <w:tcW w:w="941" w:type="dxa"/>
            <w:shd w:val="clear" w:color="auto" w:fill="auto"/>
            <w:vAlign w:val="center"/>
          </w:tcPr>
          <w:p>
            <w:pPr>
              <w:pStyle w:val="107"/>
            </w:pPr>
            <w:r>
              <w:rPr>
                <w:rFonts w:hint="eastAsia"/>
              </w:rPr>
              <w:t>矿物油</w:t>
            </w:r>
          </w:p>
        </w:tc>
        <w:tc>
          <w:tcPr>
            <w:tcW w:w="1418" w:type="dxa"/>
            <w:shd w:val="clear" w:color="auto" w:fill="auto"/>
            <w:vAlign w:val="center"/>
          </w:tcPr>
          <w:p>
            <w:pPr>
              <w:pStyle w:val="107"/>
            </w:pPr>
            <w:r>
              <w:rPr>
                <w:rFonts w:hint="eastAsia"/>
              </w:rPr>
              <w:t>矿物油</w:t>
            </w:r>
          </w:p>
        </w:tc>
        <w:tc>
          <w:tcPr>
            <w:tcW w:w="871" w:type="dxa"/>
            <w:shd w:val="clear" w:color="auto" w:fill="auto"/>
            <w:vAlign w:val="center"/>
          </w:tcPr>
          <w:p>
            <w:pPr>
              <w:pStyle w:val="107"/>
            </w:pPr>
            <w:r>
              <w:rPr>
                <w:rFonts w:hint="eastAsia"/>
              </w:rPr>
              <w:t>1年/次</w:t>
            </w:r>
          </w:p>
        </w:tc>
        <w:tc>
          <w:tcPr>
            <w:tcW w:w="709" w:type="dxa"/>
            <w:shd w:val="clear" w:color="auto" w:fill="auto"/>
            <w:vAlign w:val="center"/>
          </w:tcPr>
          <w:p>
            <w:pPr>
              <w:pStyle w:val="107"/>
              <w:rPr>
                <w:rFonts w:cs="Arial"/>
              </w:rPr>
            </w:pPr>
            <w:r>
              <w:rPr>
                <w:rFonts w:cs="Arial"/>
              </w:rPr>
              <w:t>T</w:t>
            </w:r>
            <w:r>
              <w:rPr>
                <w:rFonts w:hint="eastAsia" w:cs="Arial"/>
              </w:rPr>
              <w:t>，</w:t>
            </w:r>
            <w:r>
              <w:rPr>
                <w:rFonts w:cs="Arial"/>
              </w:rPr>
              <w:t>I</w:t>
            </w:r>
          </w:p>
        </w:tc>
        <w:tc>
          <w:tcPr>
            <w:tcW w:w="2005" w:type="dxa"/>
            <w:vMerge w:val="continue"/>
            <w:vAlign w:val="center"/>
          </w:tcPr>
          <w:p>
            <w:pPr>
              <w:pStyle w:val="107"/>
            </w:pPr>
          </w:p>
        </w:tc>
        <w:tc>
          <w:tcPr>
            <w:tcW w:w="1502"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1" w:type="dxa"/>
            <w:shd w:val="clear" w:color="auto" w:fill="auto"/>
            <w:vAlign w:val="center"/>
          </w:tcPr>
          <w:p>
            <w:pPr>
              <w:pStyle w:val="107"/>
              <w:numPr>
                <w:ilvl w:val="0"/>
                <w:numId w:val="36"/>
              </w:numPr>
              <w:rPr>
                <w:rFonts w:cs="Arial"/>
              </w:rPr>
            </w:pPr>
          </w:p>
        </w:tc>
        <w:tc>
          <w:tcPr>
            <w:tcW w:w="1340" w:type="dxa"/>
            <w:shd w:val="clear" w:color="auto" w:fill="auto"/>
            <w:vAlign w:val="center"/>
          </w:tcPr>
          <w:p>
            <w:pPr>
              <w:pStyle w:val="107"/>
              <w:rPr>
                <w:sz w:val="22"/>
                <w:szCs w:val="22"/>
              </w:rPr>
            </w:pPr>
            <w:r>
              <w:rPr>
                <w:rFonts w:hint="eastAsia"/>
                <w:sz w:val="22"/>
                <w:szCs w:val="22"/>
              </w:rPr>
              <w:t>含油废抹布</w:t>
            </w:r>
          </w:p>
        </w:tc>
        <w:tc>
          <w:tcPr>
            <w:tcW w:w="851" w:type="dxa"/>
            <w:shd w:val="clear" w:color="auto" w:fill="auto"/>
            <w:vAlign w:val="center"/>
          </w:tcPr>
          <w:p>
            <w:pPr>
              <w:pStyle w:val="107"/>
              <w:rPr>
                <w:sz w:val="22"/>
                <w:szCs w:val="22"/>
              </w:rPr>
            </w:pPr>
            <w:r>
              <w:rPr>
                <w:rFonts w:hint="eastAsia"/>
                <w:sz w:val="22"/>
                <w:szCs w:val="22"/>
              </w:rPr>
              <w:t>HW49</w:t>
            </w:r>
          </w:p>
        </w:tc>
        <w:tc>
          <w:tcPr>
            <w:tcW w:w="1417" w:type="dxa"/>
            <w:shd w:val="clear" w:color="auto" w:fill="auto"/>
            <w:vAlign w:val="center"/>
          </w:tcPr>
          <w:p>
            <w:pPr>
              <w:pStyle w:val="107"/>
              <w:rPr>
                <w:rFonts w:cs="Arial"/>
              </w:rPr>
            </w:pPr>
            <w:r>
              <w:rPr>
                <w:rFonts w:cs="Arial"/>
              </w:rPr>
              <w:t>900-041-49</w:t>
            </w:r>
          </w:p>
        </w:tc>
        <w:tc>
          <w:tcPr>
            <w:tcW w:w="883" w:type="dxa"/>
            <w:shd w:val="clear" w:color="auto" w:fill="auto"/>
            <w:vAlign w:val="center"/>
          </w:tcPr>
          <w:p>
            <w:pPr>
              <w:pStyle w:val="107"/>
              <w:rPr>
                <w:rFonts w:cs="Arial"/>
              </w:rPr>
            </w:pPr>
            <w:r>
              <w:rPr>
                <w:rFonts w:hint="eastAsia" w:cs="Arial"/>
              </w:rPr>
              <w:t>0.1</w:t>
            </w:r>
          </w:p>
        </w:tc>
        <w:tc>
          <w:tcPr>
            <w:tcW w:w="992" w:type="dxa"/>
            <w:vMerge w:val="continue"/>
            <w:vAlign w:val="center"/>
          </w:tcPr>
          <w:p>
            <w:pPr>
              <w:pStyle w:val="107"/>
              <w:rPr>
                <w:sz w:val="22"/>
                <w:szCs w:val="22"/>
              </w:rPr>
            </w:pPr>
          </w:p>
        </w:tc>
        <w:tc>
          <w:tcPr>
            <w:tcW w:w="739" w:type="dxa"/>
            <w:shd w:val="clear" w:color="auto" w:fill="auto"/>
            <w:vAlign w:val="center"/>
          </w:tcPr>
          <w:p>
            <w:pPr>
              <w:pStyle w:val="107"/>
              <w:rPr>
                <w:sz w:val="22"/>
                <w:szCs w:val="22"/>
              </w:rPr>
            </w:pPr>
            <w:r>
              <w:rPr>
                <w:rFonts w:hint="eastAsia"/>
                <w:sz w:val="22"/>
                <w:szCs w:val="22"/>
              </w:rPr>
              <w:t>固态</w:t>
            </w:r>
          </w:p>
        </w:tc>
        <w:tc>
          <w:tcPr>
            <w:tcW w:w="941" w:type="dxa"/>
            <w:shd w:val="clear" w:color="auto" w:fill="auto"/>
            <w:vAlign w:val="center"/>
          </w:tcPr>
          <w:p>
            <w:pPr>
              <w:pStyle w:val="107"/>
            </w:pPr>
            <w:r>
              <w:rPr>
                <w:rFonts w:hint="eastAsia"/>
              </w:rPr>
              <w:t>布料</w:t>
            </w:r>
          </w:p>
        </w:tc>
        <w:tc>
          <w:tcPr>
            <w:tcW w:w="1418" w:type="dxa"/>
            <w:shd w:val="clear" w:color="auto" w:fill="auto"/>
            <w:vAlign w:val="center"/>
          </w:tcPr>
          <w:p>
            <w:pPr>
              <w:pStyle w:val="107"/>
            </w:pPr>
            <w:r>
              <w:rPr>
                <w:rFonts w:hint="eastAsia"/>
              </w:rPr>
              <w:t>矿物油</w:t>
            </w:r>
          </w:p>
        </w:tc>
        <w:tc>
          <w:tcPr>
            <w:tcW w:w="871" w:type="dxa"/>
            <w:shd w:val="clear" w:color="auto" w:fill="auto"/>
            <w:vAlign w:val="center"/>
          </w:tcPr>
          <w:p>
            <w:pPr>
              <w:pStyle w:val="107"/>
            </w:pPr>
            <w:r>
              <w:rPr>
                <w:rFonts w:hint="eastAsia"/>
              </w:rPr>
              <w:t>1年/次</w:t>
            </w:r>
          </w:p>
        </w:tc>
        <w:tc>
          <w:tcPr>
            <w:tcW w:w="709" w:type="dxa"/>
            <w:shd w:val="clear" w:color="auto" w:fill="auto"/>
            <w:vAlign w:val="center"/>
          </w:tcPr>
          <w:p>
            <w:pPr>
              <w:pStyle w:val="107"/>
              <w:rPr>
                <w:rFonts w:cs="Arial"/>
              </w:rPr>
            </w:pPr>
            <w:r>
              <w:rPr>
                <w:rFonts w:cs="Arial"/>
              </w:rPr>
              <w:t>T</w:t>
            </w:r>
            <w:r>
              <w:rPr>
                <w:rFonts w:hint="eastAsia" w:cs="Arial"/>
              </w:rPr>
              <w:t>，</w:t>
            </w:r>
            <w:r>
              <w:rPr>
                <w:rFonts w:cs="Arial"/>
              </w:rPr>
              <w:t>I</w:t>
            </w:r>
          </w:p>
        </w:tc>
        <w:tc>
          <w:tcPr>
            <w:tcW w:w="2005" w:type="dxa"/>
            <w:vMerge w:val="continue"/>
            <w:vAlign w:val="center"/>
          </w:tcPr>
          <w:p>
            <w:pPr>
              <w:pStyle w:val="107"/>
            </w:pPr>
          </w:p>
        </w:tc>
        <w:tc>
          <w:tcPr>
            <w:tcW w:w="1502" w:type="dxa"/>
            <w:vMerge w:val="continue"/>
            <w:vAlign w:val="center"/>
          </w:tcPr>
          <w:p>
            <w:pPr>
              <w:pStyle w:val="107"/>
            </w:pPr>
          </w:p>
        </w:tc>
      </w:tr>
    </w:tbl>
    <w:p>
      <w:pPr>
        <w:widowControl w:val="0"/>
        <w:ind w:firstLine="0" w:firstLineChars="0"/>
        <w:rPr>
          <w:rFonts w:cs="Times New Roman" w:eastAsiaTheme="minorEastAsia"/>
          <w:color w:val="3333FF"/>
          <w:kern w:val="2"/>
          <w:sz w:val="21"/>
          <w:szCs w:val="21"/>
        </w:rPr>
      </w:pPr>
      <w:r>
        <w:rPr>
          <w:rFonts w:hint="eastAsia" w:cs="Times New Roman" w:eastAsiaTheme="minorEastAsia"/>
          <w:kern w:val="2"/>
          <w:sz w:val="21"/>
          <w:szCs w:val="21"/>
        </w:rPr>
        <w:t>【</w:t>
      </w:r>
      <w:r>
        <w:rPr>
          <w:rFonts w:cs="Times New Roman" w:eastAsiaTheme="minorEastAsia"/>
          <w:kern w:val="2"/>
          <w:sz w:val="21"/>
          <w:szCs w:val="21"/>
        </w:rPr>
        <w:t>注</w:t>
      </w:r>
      <w:r>
        <w:rPr>
          <w:rFonts w:hint="eastAsia" w:cs="Times New Roman" w:eastAsiaTheme="minorEastAsia"/>
          <w:kern w:val="2"/>
          <w:sz w:val="21"/>
          <w:szCs w:val="21"/>
        </w:rPr>
        <w:t>】</w:t>
      </w:r>
      <w:r>
        <w:rPr>
          <w:rFonts w:cs="Times New Roman" w:eastAsiaTheme="minorEastAsia"/>
          <w:kern w:val="2"/>
          <w:sz w:val="21"/>
          <w:szCs w:val="21"/>
        </w:rPr>
        <w:t>危险特性中T：毒性、C：腐蚀性、I易燃性、R反应性、In：感染性</w:t>
      </w:r>
      <w:r>
        <w:rPr>
          <w:rFonts w:cs="Times New Roman" w:eastAsiaTheme="minorEastAsia"/>
          <w:color w:val="3333FF"/>
          <w:kern w:val="2"/>
          <w:sz w:val="21"/>
          <w:szCs w:val="21"/>
        </w:rPr>
        <w:t>。</w:t>
      </w:r>
    </w:p>
    <w:p>
      <w:pPr>
        <w:pStyle w:val="107"/>
      </w:pPr>
    </w:p>
    <w:p>
      <w:pPr>
        <w:pStyle w:val="107"/>
      </w:pPr>
    </w:p>
    <w:p>
      <w:pPr>
        <w:pStyle w:val="107"/>
        <w:sectPr>
          <w:pgSz w:w="16838" w:h="11906" w:orient="landscape"/>
          <w:pgMar w:top="1418" w:right="1418" w:bottom="1418" w:left="1418" w:header="851" w:footer="992" w:gutter="0"/>
          <w:cols w:space="720" w:num="1"/>
          <w:docGrid w:type="lines" w:linePitch="326" w:charSpace="0"/>
        </w:sectPr>
      </w:pPr>
    </w:p>
    <w:p>
      <w:pPr>
        <w:pStyle w:val="4"/>
      </w:pPr>
      <w:bookmarkStart w:id="236" w:name="_Ref531365641"/>
      <w:bookmarkStart w:id="237" w:name="_Toc3538786"/>
      <w:r>
        <w:rPr>
          <w:rFonts w:hint="eastAsia"/>
        </w:rPr>
        <w:t>全厂污染排放量汇总</w:t>
      </w:r>
      <w:bookmarkEnd w:id="236"/>
      <w:bookmarkEnd w:id="237"/>
    </w:p>
    <w:p>
      <w:pPr>
        <w:ind w:firstLine="480"/>
        <w:rPr>
          <w:rStyle w:val="63"/>
          <w:color w:val="000000" w:themeColor="text1"/>
          <w14:textFill>
            <w14:solidFill>
              <w14:schemeClr w14:val="tx1"/>
            </w14:solidFill>
          </w14:textFill>
        </w:rPr>
      </w:pPr>
      <w:r>
        <w:rPr>
          <w:rFonts w:hint="eastAsia" w:eastAsiaTheme="minorEastAsia"/>
        </w:rPr>
        <w:t>根据前文工程污染源分析，项</w:t>
      </w:r>
      <w:r>
        <w:rPr>
          <w:rFonts w:hint="eastAsia" w:eastAsiaTheme="minorEastAsia"/>
          <w:color w:val="000000" w:themeColor="text1"/>
          <w14:textFill>
            <w14:solidFill>
              <w14:schemeClr w14:val="tx1"/>
            </w14:solidFill>
          </w14:textFill>
        </w:rPr>
        <w:t>目</w:t>
      </w:r>
      <w:r>
        <w:rPr>
          <w:rStyle w:val="63"/>
          <w:rFonts w:hint="eastAsia"/>
          <w:color w:val="000000" w:themeColor="text1"/>
          <w14:textFill>
            <w14:solidFill>
              <w14:schemeClr w14:val="tx1"/>
            </w14:solidFill>
          </w14:textFill>
        </w:rPr>
        <w:t>针对配料废气、密炼废气、开炼废气、硫化废气及生活污水处理等采取了整改措施， 整改前后污染物排放情况发生了变化，项目整治前后各污染因素对比及排放量变化情况见</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REF _Ref3378682 \h</w:instrText>
      </w:r>
      <w:r>
        <w:rPr>
          <w:rStyle w:val="63"/>
          <w:color w:val="000000" w:themeColor="text1"/>
          <w14:textFill>
            <w14:solidFill>
              <w14:schemeClr w14:val="tx1"/>
            </w14:solidFill>
          </w14:textFill>
        </w:rPr>
        <w:instrText xml:space="preserve">  \* MERGEFORMAT </w:instrText>
      </w:r>
      <w:r>
        <w:rPr>
          <w:rStyle w:val="63"/>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t>2.9</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1</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t>。</w:t>
      </w:r>
    </w:p>
    <w:p>
      <w:pPr>
        <w:pStyle w:val="18"/>
        <w:rPr>
          <w:rStyle w:val="63"/>
          <w:color w:val="000000" w:themeColor="text1"/>
          <w14:textFill>
            <w14:solidFill>
              <w14:schemeClr w14:val="tx1"/>
            </w14:solidFill>
          </w14:textFill>
        </w:rPr>
      </w:pPr>
      <w:bookmarkStart w:id="238" w:name="_Ref3378682"/>
      <w:bookmarkStart w:id="239" w:name="_Hlk3524220"/>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2.9</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1</w:t>
      </w:r>
      <w:r>
        <w:rPr>
          <w:rStyle w:val="63"/>
          <w:color w:val="000000" w:themeColor="text1"/>
          <w14:textFill>
            <w14:solidFill>
              <w14:schemeClr w14:val="tx1"/>
            </w14:solidFill>
          </w14:textFill>
        </w:rPr>
        <w:fldChar w:fldCharType="end"/>
      </w:r>
      <w:bookmarkEnd w:id="238"/>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项目各污染物整改前后排放量一览表</w:t>
      </w:r>
    </w:p>
    <w:bookmarkEnd w:id="239"/>
    <w:tbl>
      <w:tblPr>
        <w:tblStyle w:val="56"/>
        <w:tblW w:w="9060" w:type="dxa"/>
        <w:tblInd w:w="0" w:type="dxa"/>
        <w:tblLayout w:type="fixed"/>
        <w:tblCellMar>
          <w:top w:w="0" w:type="dxa"/>
          <w:left w:w="108" w:type="dxa"/>
          <w:bottom w:w="0" w:type="dxa"/>
          <w:right w:w="108" w:type="dxa"/>
        </w:tblCellMar>
      </w:tblPr>
      <w:tblGrid>
        <w:gridCol w:w="755"/>
        <w:gridCol w:w="650"/>
        <w:gridCol w:w="1189"/>
        <w:gridCol w:w="715"/>
        <w:gridCol w:w="899"/>
        <w:gridCol w:w="898"/>
        <w:gridCol w:w="959"/>
        <w:gridCol w:w="961"/>
        <w:gridCol w:w="971"/>
        <w:gridCol w:w="1063"/>
      </w:tblGrid>
      <w:tr>
        <w:tblPrEx>
          <w:tblLayout w:type="fixed"/>
          <w:tblCellMar>
            <w:top w:w="0" w:type="dxa"/>
            <w:left w:w="108" w:type="dxa"/>
            <w:bottom w:w="0" w:type="dxa"/>
            <w:right w:w="108" w:type="dxa"/>
          </w:tblCellMar>
        </w:tblPrEx>
        <w:trPr>
          <w:trHeight w:val="20" w:hRule="atLeast"/>
          <w:tblHeader/>
        </w:trPr>
        <w:tc>
          <w:tcPr>
            <w:tcW w:w="75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污染源类别</w:t>
            </w:r>
          </w:p>
        </w:tc>
        <w:tc>
          <w:tcPr>
            <w:tcW w:w="1839"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污染物</w:t>
            </w:r>
          </w:p>
        </w:tc>
        <w:tc>
          <w:tcPr>
            <w:tcW w:w="715"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单位</w:t>
            </w:r>
          </w:p>
        </w:tc>
        <w:tc>
          <w:tcPr>
            <w:tcW w:w="899"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产生量</w:t>
            </w:r>
          </w:p>
        </w:tc>
        <w:tc>
          <w:tcPr>
            <w:tcW w:w="1857"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整改前排放量</w:t>
            </w:r>
          </w:p>
        </w:tc>
        <w:tc>
          <w:tcPr>
            <w:tcW w:w="1932"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整改后排放量</w:t>
            </w:r>
          </w:p>
        </w:tc>
        <w:tc>
          <w:tcPr>
            <w:tcW w:w="1063"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整改削减量</w:t>
            </w:r>
          </w:p>
        </w:tc>
      </w:tr>
      <w:tr>
        <w:tblPrEx>
          <w:tblLayout w:type="fixed"/>
          <w:tblCellMar>
            <w:top w:w="0" w:type="dxa"/>
            <w:left w:w="108" w:type="dxa"/>
            <w:bottom w:w="0" w:type="dxa"/>
            <w:right w:w="108" w:type="dxa"/>
          </w:tblCellMar>
        </w:tblPrEx>
        <w:trPr>
          <w:trHeight w:val="20" w:hRule="atLeast"/>
        </w:trPr>
        <w:tc>
          <w:tcPr>
            <w:tcW w:w="755"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废水</w:t>
            </w:r>
          </w:p>
        </w:tc>
        <w:tc>
          <w:tcPr>
            <w:tcW w:w="65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生活污水</w:t>
            </w:r>
          </w:p>
        </w:tc>
        <w:tc>
          <w:tcPr>
            <w:tcW w:w="118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废水量</w:t>
            </w:r>
          </w:p>
        </w:tc>
        <w:tc>
          <w:tcPr>
            <w:tcW w:w="715"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m</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 xml:space="preserve"> /a</w:t>
            </w:r>
          </w:p>
        </w:tc>
        <w:tc>
          <w:tcPr>
            <w:tcW w:w="89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3</w:t>
            </w:r>
            <w:r>
              <w:rPr>
                <w:rStyle w:val="63"/>
                <w:color w:val="000000" w:themeColor="text1"/>
                <w14:textFill>
                  <w14:solidFill>
                    <w14:schemeClr w14:val="tx1"/>
                  </w14:solidFill>
                </w14:textFill>
              </w:rPr>
              <w:t>24</w:t>
            </w:r>
          </w:p>
        </w:tc>
        <w:tc>
          <w:tcPr>
            <w:tcW w:w="1857"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324</w:t>
            </w:r>
          </w:p>
        </w:tc>
        <w:tc>
          <w:tcPr>
            <w:tcW w:w="1932"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324</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0" w:hRule="atLeast"/>
        </w:trPr>
        <w:tc>
          <w:tcPr>
            <w:tcW w:w="75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65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18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COD</w:t>
            </w:r>
            <w:r>
              <w:rPr>
                <w:rStyle w:val="63"/>
                <w:color w:val="000000" w:themeColor="text1"/>
                <w:vertAlign w:val="subscript"/>
                <w14:textFill>
                  <w14:solidFill>
                    <w14:schemeClr w14:val="tx1"/>
                  </w14:solidFill>
                </w14:textFill>
              </w:rPr>
              <w:t>Cr</w:t>
            </w:r>
          </w:p>
        </w:tc>
        <w:tc>
          <w:tcPr>
            <w:tcW w:w="715"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t/a</w:t>
            </w:r>
          </w:p>
        </w:tc>
        <w:tc>
          <w:tcPr>
            <w:tcW w:w="89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0.081 </w:t>
            </w:r>
          </w:p>
        </w:tc>
        <w:tc>
          <w:tcPr>
            <w:tcW w:w="1857"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0194</w:t>
            </w:r>
          </w:p>
        </w:tc>
        <w:tc>
          <w:tcPr>
            <w:tcW w:w="1932"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0194</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0" w:hRule="atLeast"/>
        </w:trPr>
        <w:tc>
          <w:tcPr>
            <w:tcW w:w="75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65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18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BOD</w:t>
            </w:r>
            <w:r>
              <w:rPr>
                <w:rStyle w:val="63"/>
                <w:color w:val="000000" w:themeColor="text1"/>
                <w:vertAlign w:val="subscript"/>
                <w14:textFill>
                  <w14:solidFill>
                    <w14:schemeClr w14:val="tx1"/>
                  </w14:solidFill>
                </w14:textFill>
              </w:rPr>
              <w:t>5</w:t>
            </w:r>
          </w:p>
        </w:tc>
        <w:tc>
          <w:tcPr>
            <w:tcW w:w="715"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t/a</w:t>
            </w:r>
          </w:p>
        </w:tc>
        <w:tc>
          <w:tcPr>
            <w:tcW w:w="89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0.0486 </w:t>
            </w:r>
          </w:p>
        </w:tc>
        <w:tc>
          <w:tcPr>
            <w:tcW w:w="1857"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032</w:t>
            </w:r>
          </w:p>
        </w:tc>
        <w:tc>
          <w:tcPr>
            <w:tcW w:w="1932"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032</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0" w:hRule="atLeast"/>
        </w:trPr>
        <w:tc>
          <w:tcPr>
            <w:tcW w:w="75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65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18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SS</w:t>
            </w:r>
          </w:p>
        </w:tc>
        <w:tc>
          <w:tcPr>
            <w:tcW w:w="715"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t/a</w:t>
            </w:r>
          </w:p>
        </w:tc>
        <w:tc>
          <w:tcPr>
            <w:tcW w:w="89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0.0648</w:t>
            </w:r>
          </w:p>
        </w:tc>
        <w:tc>
          <w:tcPr>
            <w:tcW w:w="1857"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0032</w:t>
            </w:r>
          </w:p>
        </w:tc>
        <w:tc>
          <w:tcPr>
            <w:tcW w:w="1932"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0032</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0" w:hRule="atLeast"/>
        </w:trPr>
        <w:tc>
          <w:tcPr>
            <w:tcW w:w="75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65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18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NH</w:t>
            </w:r>
            <w:r>
              <w:rPr>
                <w:rStyle w:val="63"/>
                <w:color w:val="000000" w:themeColor="text1"/>
                <w:vertAlign w:val="subscript"/>
                <w14:textFill>
                  <w14:solidFill>
                    <w14:schemeClr w14:val="tx1"/>
                  </w14:solidFill>
                </w14:textFill>
              </w:rPr>
              <w:t>3</w:t>
            </w:r>
            <w:r>
              <w:rPr>
                <w:rStyle w:val="63"/>
                <w:color w:val="000000" w:themeColor="text1"/>
                <w14:textFill>
                  <w14:solidFill>
                    <w14:schemeClr w14:val="tx1"/>
                  </w14:solidFill>
                </w14:textFill>
              </w:rPr>
              <w:t>-N</w:t>
            </w:r>
          </w:p>
        </w:tc>
        <w:tc>
          <w:tcPr>
            <w:tcW w:w="715"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t/a</w:t>
            </w:r>
          </w:p>
        </w:tc>
        <w:tc>
          <w:tcPr>
            <w:tcW w:w="89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0.0097 </w:t>
            </w:r>
          </w:p>
        </w:tc>
        <w:tc>
          <w:tcPr>
            <w:tcW w:w="1857"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16</w:t>
            </w:r>
          </w:p>
        </w:tc>
        <w:tc>
          <w:tcPr>
            <w:tcW w:w="1932"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16</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0" w:hRule="atLeast"/>
        </w:trPr>
        <w:tc>
          <w:tcPr>
            <w:tcW w:w="75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65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18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动植物油</w:t>
            </w:r>
          </w:p>
        </w:tc>
        <w:tc>
          <w:tcPr>
            <w:tcW w:w="715"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t/a</w:t>
            </w:r>
          </w:p>
        </w:tc>
        <w:tc>
          <w:tcPr>
            <w:tcW w:w="89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0.0097 </w:t>
            </w:r>
          </w:p>
        </w:tc>
        <w:tc>
          <w:tcPr>
            <w:tcW w:w="1857"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0097</w:t>
            </w:r>
          </w:p>
        </w:tc>
        <w:tc>
          <w:tcPr>
            <w:tcW w:w="1932"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0097</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0" w:hRule="atLeast"/>
        </w:trPr>
        <w:tc>
          <w:tcPr>
            <w:tcW w:w="75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650"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喷淋废水</w:t>
            </w:r>
          </w:p>
        </w:tc>
        <w:tc>
          <w:tcPr>
            <w:tcW w:w="118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废水量</w:t>
            </w:r>
          </w:p>
        </w:tc>
        <w:tc>
          <w:tcPr>
            <w:tcW w:w="715"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m</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 xml:space="preserve"> /a</w:t>
            </w:r>
          </w:p>
        </w:tc>
        <w:tc>
          <w:tcPr>
            <w:tcW w:w="8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10</w:t>
            </w:r>
          </w:p>
        </w:tc>
        <w:tc>
          <w:tcPr>
            <w:tcW w:w="1857"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w:t>
            </w:r>
          </w:p>
        </w:tc>
        <w:tc>
          <w:tcPr>
            <w:tcW w:w="1932"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10</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w:t>
            </w:r>
          </w:p>
        </w:tc>
      </w:tr>
      <w:tr>
        <w:tblPrEx>
          <w:tblLayout w:type="fixed"/>
          <w:tblCellMar>
            <w:top w:w="0" w:type="dxa"/>
            <w:left w:w="108" w:type="dxa"/>
            <w:bottom w:w="0" w:type="dxa"/>
            <w:right w:w="108" w:type="dxa"/>
          </w:tblCellMar>
        </w:tblPrEx>
        <w:trPr>
          <w:trHeight w:val="20" w:hRule="atLeast"/>
        </w:trPr>
        <w:tc>
          <w:tcPr>
            <w:tcW w:w="755" w:type="dxa"/>
            <w:vMerge w:val="restart"/>
            <w:tcBorders>
              <w:top w:val="nil"/>
              <w:left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废气</w:t>
            </w:r>
          </w:p>
        </w:tc>
        <w:tc>
          <w:tcPr>
            <w:tcW w:w="1839" w:type="dxa"/>
            <w:gridSpan w:val="2"/>
            <w:vMerge w:val="restart"/>
            <w:tcBorders>
              <w:top w:val="single" w:color="auto" w:sz="4" w:space="0"/>
              <w:left w:val="single" w:color="auto" w:sz="4" w:space="0"/>
              <w:bottom w:val="single" w:color="000000"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污染物</w:t>
            </w:r>
          </w:p>
        </w:tc>
        <w:tc>
          <w:tcPr>
            <w:tcW w:w="715" w:type="dxa"/>
            <w:vMerge w:val="restart"/>
            <w:tcBorders>
              <w:top w:val="nil"/>
              <w:left w:val="single" w:color="auto" w:sz="4" w:space="0"/>
              <w:bottom w:val="single" w:color="000000"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单位</w:t>
            </w:r>
          </w:p>
        </w:tc>
        <w:tc>
          <w:tcPr>
            <w:tcW w:w="899" w:type="dxa"/>
            <w:vMerge w:val="restart"/>
            <w:tcBorders>
              <w:top w:val="nil"/>
              <w:left w:val="single" w:color="auto" w:sz="4" w:space="0"/>
              <w:bottom w:val="single" w:color="000000"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产生量</w:t>
            </w:r>
          </w:p>
        </w:tc>
        <w:tc>
          <w:tcPr>
            <w:tcW w:w="1857"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整改前</w:t>
            </w:r>
          </w:p>
        </w:tc>
        <w:tc>
          <w:tcPr>
            <w:tcW w:w="1932"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整改后</w:t>
            </w:r>
          </w:p>
        </w:tc>
        <w:tc>
          <w:tcPr>
            <w:tcW w:w="1063" w:type="dxa"/>
            <w:vMerge w:val="restart"/>
            <w:tcBorders>
              <w:top w:val="nil"/>
              <w:left w:val="single" w:color="auto" w:sz="4" w:space="0"/>
              <w:bottom w:val="single" w:color="000000"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整改削减量</w:t>
            </w:r>
          </w:p>
        </w:tc>
      </w:tr>
      <w:tr>
        <w:tblPrEx>
          <w:tblLayout w:type="fixed"/>
          <w:tblCellMar>
            <w:top w:w="0" w:type="dxa"/>
            <w:left w:w="108" w:type="dxa"/>
            <w:bottom w:w="0" w:type="dxa"/>
            <w:right w:w="108" w:type="dxa"/>
          </w:tblCellMar>
        </w:tblPrEx>
        <w:trPr>
          <w:trHeight w:val="20" w:hRule="atLeast"/>
        </w:trPr>
        <w:tc>
          <w:tcPr>
            <w:tcW w:w="755" w:type="dxa"/>
            <w:vMerge w:val="continue"/>
            <w:tcBorders>
              <w:left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839" w:type="dxa"/>
            <w:gridSpan w:val="2"/>
            <w:vMerge w:val="continue"/>
            <w:tcBorders>
              <w:top w:val="single" w:color="auto" w:sz="4" w:space="0"/>
              <w:left w:val="single" w:color="auto" w:sz="4" w:space="0"/>
              <w:bottom w:val="single" w:color="000000" w:sz="4" w:space="0"/>
              <w:right w:val="single" w:color="000000" w:sz="4" w:space="0"/>
            </w:tcBorders>
            <w:vAlign w:val="center"/>
          </w:tcPr>
          <w:p>
            <w:pPr>
              <w:pStyle w:val="107"/>
              <w:rPr>
                <w:rStyle w:val="63"/>
                <w:color w:val="000000" w:themeColor="text1"/>
                <w14:textFill>
                  <w14:solidFill>
                    <w14:schemeClr w14:val="tx1"/>
                  </w14:solidFill>
                </w14:textFill>
              </w:rPr>
            </w:pPr>
          </w:p>
        </w:tc>
        <w:tc>
          <w:tcPr>
            <w:tcW w:w="715" w:type="dxa"/>
            <w:vMerge w:val="continue"/>
            <w:tcBorders>
              <w:top w:val="nil"/>
              <w:left w:val="single" w:color="auto" w:sz="4" w:space="0"/>
              <w:bottom w:val="single" w:color="000000" w:sz="4" w:space="0"/>
              <w:right w:val="single" w:color="auto" w:sz="4" w:space="0"/>
            </w:tcBorders>
            <w:vAlign w:val="center"/>
          </w:tcPr>
          <w:p>
            <w:pPr>
              <w:pStyle w:val="107"/>
              <w:rPr>
                <w:rStyle w:val="63"/>
                <w:color w:val="000000" w:themeColor="text1"/>
                <w14:textFill>
                  <w14:solidFill>
                    <w14:schemeClr w14:val="tx1"/>
                  </w14:solidFill>
                </w14:textFill>
              </w:rPr>
            </w:pPr>
          </w:p>
        </w:tc>
        <w:tc>
          <w:tcPr>
            <w:tcW w:w="899" w:type="dxa"/>
            <w:vMerge w:val="continue"/>
            <w:tcBorders>
              <w:top w:val="nil"/>
              <w:left w:val="single" w:color="auto" w:sz="4" w:space="0"/>
              <w:bottom w:val="single" w:color="000000" w:sz="4" w:space="0"/>
              <w:right w:val="single" w:color="auto" w:sz="4" w:space="0"/>
            </w:tcBorders>
            <w:vAlign w:val="center"/>
          </w:tcPr>
          <w:p>
            <w:pPr>
              <w:pStyle w:val="107"/>
              <w:rPr>
                <w:rStyle w:val="63"/>
                <w:color w:val="000000" w:themeColor="text1"/>
                <w14:textFill>
                  <w14:solidFill>
                    <w14:schemeClr w14:val="tx1"/>
                  </w14:solidFill>
                </w14:textFill>
              </w:rPr>
            </w:pPr>
          </w:p>
        </w:tc>
        <w:tc>
          <w:tcPr>
            <w:tcW w:w="8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w:t>
            </w:r>
          </w:p>
        </w:tc>
        <w:tc>
          <w:tcPr>
            <w:tcW w:w="9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无组织</w:t>
            </w:r>
          </w:p>
        </w:tc>
        <w:tc>
          <w:tcPr>
            <w:tcW w:w="96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有组织</w:t>
            </w:r>
          </w:p>
        </w:tc>
        <w:tc>
          <w:tcPr>
            <w:tcW w:w="97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无组织</w:t>
            </w:r>
          </w:p>
        </w:tc>
        <w:tc>
          <w:tcPr>
            <w:tcW w:w="1063" w:type="dxa"/>
            <w:vMerge w:val="continue"/>
            <w:tcBorders>
              <w:top w:val="nil"/>
              <w:left w:val="single" w:color="auto" w:sz="4" w:space="0"/>
              <w:bottom w:val="single" w:color="000000" w:sz="4" w:space="0"/>
              <w:right w:val="single" w:color="auto" w:sz="4" w:space="0"/>
            </w:tcBorders>
            <w:vAlign w:val="center"/>
          </w:tcPr>
          <w:p>
            <w:pPr>
              <w:pStyle w:val="107"/>
              <w:rPr>
                <w:rStyle w:val="63"/>
                <w:color w:val="000000" w:themeColor="text1"/>
                <w14:textFill>
                  <w14:solidFill>
                    <w14:schemeClr w14:val="tx1"/>
                  </w14:solidFill>
                </w14:textFill>
              </w:rPr>
            </w:pPr>
          </w:p>
        </w:tc>
      </w:tr>
      <w:tr>
        <w:tblPrEx>
          <w:tblLayout w:type="fixed"/>
          <w:tblCellMar>
            <w:top w:w="0" w:type="dxa"/>
            <w:left w:w="108" w:type="dxa"/>
            <w:bottom w:w="0" w:type="dxa"/>
            <w:right w:w="108" w:type="dxa"/>
          </w:tblCellMar>
        </w:tblPrEx>
        <w:trPr>
          <w:trHeight w:val="20" w:hRule="atLeast"/>
        </w:trPr>
        <w:tc>
          <w:tcPr>
            <w:tcW w:w="755" w:type="dxa"/>
            <w:vMerge w:val="continue"/>
            <w:tcBorders>
              <w:left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839"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颗粒物</w:t>
            </w:r>
          </w:p>
        </w:tc>
        <w:tc>
          <w:tcPr>
            <w:tcW w:w="715"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kg/a</w:t>
            </w:r>
          </w:p>
        </w:tc>
        <w:tc>
          <w:tcPr>
            <w:tcW w:w="8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4</w:t>
            </w:r>
            <w:r>
              <w:rPr>
                <w:rStyle w:val="63"/>
                <w:color w:val="000000" w:themeColor="text1"/>
                <w14:textFill>
                  <w14:solidFill>
                    <w14:schemeClr w14:val="tx1"/>
                  </w14:solidFill>
                </w14:textFill>
              </w:rPr>
              <w:t>28.096</w:t>
            </w:r>
            <w:r>
              <w:rPr>
                <w:rStyle w:val="63"/>
                <w:rFonts w:hint="eastAsia"/>
                <w:color w:val="000000" w:themeColor="text1"/>
                <w14:textFill>
                  <w14:solidFill>
                    <w14:schemeClr w14:val="tx1"/>
                  </w14:solidFill>
                </w14:textFill>
              </w:rPr>
              <w:t xml:space="preserve"> </w:t>
            </w:r>
          </w:p>
        </w:tc>
        <w:tc>
          <w:tcPr>
            <w:tcW w:w="8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3.</w:t>
            </w:r>
            <w:r>
              <w:rPr>
                <w:rStyle w:val="63"/>
                <w:color w:val="000000" w:themeColor="text1"/>
                <w14:textFill>
                  <w14:solidFill>
                    <w14:schemeClr w14:val="tx1"/>
                  </w14:solidFill>
                </w14:textFill>
              </w:rPr>
              <w:t>1654</w:t>
            </w:r>
            <w:r>
              <w:rPr>
                <w:rStyle w:val="63"/>
                <w:rFonts w:hint="eastAsia"/>
                <w:color w:val="000000" w:themeColor="text1"/>
                <w14:textFill>
                  <w14:solidFill>
                    <w14:schemeClr w14:val="tx1"/>
                  </w14:solidFill>
                </w14:textFill>
              </w:rPr>
              <w:t xml:space="preserve"> </w:t>
            </w:r>
          </w:p>
        </w:tc>
        <w:tc>
          <w:tcPr>
            <w:tcW w:w="9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111.556</w:t>
            </w:r>
          </w:p>
        </w:tc>
        <w:tc>
          <w:tcPr>
            <w:tcW w:w="96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4.</w:t>
            </w:r>
            <w:r>
              <w:rPr>
                <w:rStyle w:val="63"/>
                <w:color w:val="000000" w:themeColor="text1"/>
                <w14:textFill>
                  <w14:solidFill>
                    <w14:schemeClr w14:val="tx1"/>
                  </w14:solidFill>
                </w14:textFill>
              </w:rPr>
              <w:t>0669</w:t>
            </w:r>
          </w:p>
        </w:tc>
        <w:tc>
          <w:tcPr>
            <w:tcW w:w="97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1.4048</w:t>
            </w:r>
            <w:r>
              <w:rPr>
                <w:rStyle w:val="63"/>
                <w:rFonts w:hint="eastAsia"/>
                <w:color w:val="000000" w:themeColor="text1"/>
                <w14:textFill>
                  <w14:solidFill>
                    <w14:schemeClr w14:val="tx1"/>
                  </w14:solidFill>
                </w14:textFill>
              </w:rPr>
              <w:t xml:space="preserve"> </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89.2497</w:t>
            </w:r>
            <w:r>
              <w:rPr>
                <w:rStyle w:val="63"/>
                <w:rFonts w:hint="eastAsia"/>
                <w:color w:val="000000" w:themeColor="text1"/>
                <w14:textFill>
                  <w14:solidFill>
                    <w14:schemeClr w14:val="tx1"/>
                  </w14:solidFill>
                </w14:textFill>
              </w:rPr>
              <w:t xml:space="preserve"> </w:t>
            </w:r>
          </w:p>
        </w:tc>
      </w:tr>
      <w:tr>
        <w:tblPrEx>
          <w:tblLayout w:type="fixed"/>
          <w:tblCellMar>
            <w:top w:w="0" w:type="dxa"/>
            <w:left w:w="108" w:type="dxa"/>
            <w:bottom w:w="0" w:type="dxa"/>
            <w:right w:w="108" w:type="dxa"/>
          </w:tblCellMar>
        </w:tblPrEx>
        <w:trPr>
          <w:trHeight w:val="20" w:hRule="atLeast"/>
        </w:trPr>
        <w:tc>
          <w:tcPr>
            <w:tcW w:w="755" w:type="dxa"/>
            <w:vMerge w:val="continue"/>
            <w:tcBorders>
              <w:left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839"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非甲烷总烃</w:t>
            </w:r>
          </w:p>
        </w:tc>
        <w:tc>
          <w:tcPr>
            <w:tcW w:w="715"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kg/a</w:t>
            </w:r>
          </w:p>
        </w:tc>
        <w:tc>
          <w:tcPr>
            <w:tcW w:w="8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298</w:t>
            </w:r>
            <w:r>
              <w:rPr>
                <w:rStyle w:val="63"/>
                <w:rFonts w:hint="eastAsia"/>
                <w:color w:val="000000" w:themeColor="text1"/>
                <w14:textFill>
                  <w14:solidFill>
                    <w14:schemeClr w14:val="tx1"/>
                  </w14:solidFill>
                </w14:textFill>
              </w:rPr>
              <w:t xml:space="preserve"> </w:t>
            </w:r>
          </w:p>
        </w:tc>
        <w:tc>
          <w:tcPr>
            <w:tcW w:w="8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35.319</w:t>
            </w:r>
            <w:r>
              <w:rPr>
                <w:rStyle w:val="63"/>
                <w:rFonts w:hint="eastAsia"/>
                <w:color w:val="000000" w:themeColor="text1"/>
                <w14:textFill>
                  <w14:solidFill>
                    <w14:schemeClr w14:val="tx1"/>
                  </w14:solidFill>
                </w14:textFill>
              </w:rPr>
              <w:t xml:space="preserve"> </w:t>
            </w:r>
          </w:p>
        </w:tc>
        <w:tc>
          <w:tcPr>
            <w:tcW w:w="9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62.54</w:t>
            </w:r>
            <w:r>
              <w:rPr>
                <w:rStyle w:val="63"/>
                <w:rFonts w:hint="eastAsia"/>
                <w:color w:val="000000" w:themeColor="text1"/>
                <w14:textFill>
                  <w14:solidFill>
                    <w14:schemeClr w14:val="tx1"/>
                  </w14:solidFill>
                </w14:textFill>
              </w:rPr>
              <w:t xml:space="preserve"> </w:t>
            </w:r>
          </w:p>
        </w:tc>
        <w:tc>
          <w:tcPr>
            <w:tcW w:w="96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1.935</w:t>
            </w:r>
            <w:r>
              <w:rPr>
                <w:rStyle w:val="63"/>
                <w:rFonts w:hint="eastAsia"/>
                <w:color w:val="000000" w:themeColor="text1"/>
                <w14:textFill>
                  <w14:solidFill>
                    <w14:schemeClr w14:val="tx1"/>
                  </w14:solidFill>
                </w14:textFill>
              </w:rPr>
              <w:t xml:space="preserve"> </w:t>
            </w:r>
          </w:p>
        </w:tc>
        <w:tc>
          <w:tcPr>
            <w:tcW w:w="97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3.82</w:t>
            </w:r>
            <w:r>
              <w:rPr>
                <w:rStyle w:val="63"/>
                <w:rFonts w:hint="eastAsia"/>
                <w:color w:val="000000" w:themeColor="text1"/>
                <w14:textFill>
                  <w14:solidFill>
                    <w14:schemeClr w14:val="tx1"/>
                  </w14:solidFill>
                </w14:textFill>
              </w:rPr>
              <w:t xml:space="preserve"> </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52.104</w:t>
            </w:r>
            <w:r>
              <w:rPr>
                <w:rStyle w:val="63"/>
                <w:rFonts w:hint="eastAsia"/>
                <w:color w:val="000000" w:themeColor="text1"/>
                <w14:textFill>
                  <w14:solidFill>
                    <w14:schemeClr w14:val="tx1"/>
                  </w14:solidFill>
                </w14:textFill>
              </w:rPr>
              <w:t xml:space="preserve"> </w:t>
            </w:r>
          </w:p>
        </w:tc>
      </w:tr>
      <w:tr>
        <w:tblPrEx>
          <w:tblLayout w:type="fixed"/>
          <w:tblCellMar>
            <w:top w:w="0" w:type="dxa"/>
            <w:left w:w="108" w:type="dxa"/>
            <w:bottom w:w="0" w:type="dxa"/>
            <w:right w:w="108" w:type="dxa"/>
          </w:tblCellMar>
        </w:tblPrEx>
        <w:trPr>
          <w:trHeight w:val="20" w:hRule="atLeast"/>
        </w:trPr>
        <w:tc>
          <w:tcPr>
            <w:tcW w:w="755" w:type="dxa"/>
            <w:vMerge w:val="continue"/>
            <w:tcBorders>
              <w:left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839"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硫化氢</w:t>
            </w:r>
          </w:p>
        </w:tc>
        <w:tc>
          <w:tcPr>
            <w:tcW w:w="715"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kg/a</w:t>
            </w:r>
          </w:p>
        </w:tc>
        <w:tc>
          <w:tcPr>
            <w:tcW w:w="8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1.2</w:t>
            </w:r>
            <w:r>
              <w:rPr>
                <w:rStyle w:val="63"/>
                <w:rFonts w:hint="eastAsia"/>
                <w:color w:val="000000" w:themeColor="text1"/>
                <w14:textFill>
                  <w14:solidFill>
                    <w14:schemeClr w14:val="tx1"/>
                  </w14:solidFill>
                </w14:textFill>
              </w:rPr>
              <w:t xml:space="preserve"> </w:t>
            </w:r>
          </w:p>
        </w:tc>
        <w:tc>
          <w:tcPr>
            <w:tcW w:w="8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1.296</w:t>
            </w:r>
            <w:r>
              <w:rPr>
                <w:rStyle w:val="63"/>
                <w:rFonts w:hint="eastAsia"/>
                <w:color w:val="000000" w:themeColor="text1"/>
                <w14:textFill>
                  <w14:solidFill>
                    <w14:schemeClr w14:val="tx1"/>
                  </w14:solidFill>
                </w14:textFill>
              </w:rPr>
              <w:t xml:space="preserve"> </w:t>
            </w:r>
          </w:p>
        </w:tc>
        <w:tc>
          <w:tcPr>
            <w:tcW w:w="9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56</w:t>
            </w:r>
            <w:r>
              <w:rPr>
                <w:rStyle w:val="63"/>
                <w:rFonts w:hint="eastAsia"/>
                <w:color w:val="000000" w:themeColor="text1"/>
                <w14:textFill>
                  <w14:solidFill>
                    <w14:schemeClr w14:val="tx1"/>
                  </w14:solidFill>
                </w14:textFill>
              </w:rPr>
              <w:t xml:space="preserve"> </w:t>
            </w:r>
          </w:p>
        </w:tc>
        <w:tc>
          <w:tcPr>
            <w:tcW w:w="96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816</w:t>
            </w:r>
          </w:p>
        </w:tc>
        <w:tc>
          <w:tcPr>
            <w:tcW w:w="97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1 </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2.04</w:t>
            </w:r>
            <w:r>
              <w:rPr>
                <w:rStyle w:val="63"/>
                <w:rFonts w:hint="eastAsia"/>
                <w:color w:val="000000" w:themeColor="text1"/>
                <w14:textFill>
                  <w14:solidFill>
                    <w14:schemeClr w14:val="tx1"/>
                  </w14:solidFill>
                </w14:textFill>
              </w:rPr>
              <w:t xml:space="preserve"> </w:t>
            </w:r>
          </w:p>
        </w:tc>
      </w:tr>
      <w:tr>
        <w:tblPrEx>
          <w:tblLayout w:type="fixed"/>
          <w:tblCellMar>
            <w:top w:w="0" w:type="dxa"/>
            <w:left w:w="108" w:type="dxa"/>
            <w:bottom w:w="0" w:type="dxa"/>
            <w:right w:w="108" w:type="dxa"/>
          </w:tblCellMar>
        </w:tblPrEx>
        <w:trPr>
          <w:trHeight w:val="20" w:hRule="atLeast"/>
        </w:trPr>
        <w:tc>
          <w:tcPr>
            <w:tcW w:w="755" w:type="dxa"/>
            <w:vMerge w:val="continue"/>
            <w:tcBorders>
              <w:left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839"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抛丸粉尘</w:t>
            </w:r>
          </w:p>
        </w:tc>
        <w:tc>
          <w:tcPr>
            <w:tcW w:w="715"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kg/a</w:t>
            </w:r>
          </w:p>
        </w:tc>
        <w:tc>
          <w:tcPr>
            <w:tcW w:w="8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00</w:t>
            </w:r>
          </w:p>
        </w:tc>
        <w:tc>
          <w:tcPr>
            <w:tcW w:w="8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00</w:t>
            </w:r>
          </w:p>
        </w:tc>
        <w:tc>
          <w:tcPr>
            <w:tcW w:w="9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c>
          <w:tcPr>
            <w:tcW w:w="96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00</w:t>
            </w:r>
          </w:p>
        </w:tc>
        <w:tc>
          <w:tcPr>
            <w:tcW w:w="97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0" w:hRule="atLeast"/>
        </w:trPr>
        <w:tc>
          <w:tcPr>
            <w:tcW w:w="755" w:type="dxa"/>
            <w:vMerge w:val="continue"/>
            <w:tcBorders>
              <w:left w:val="single" w:color="auto" w:sz="4" w:space="0"/>
              <w:bottom w:val="single" w:color="000000" w:sz="4" w:space="0"/>
              <w:right w:val="single" w:color="auto" w:sz="4" w:space="0"/>
            </w:tcBorders>
            <w:vAlign w:val="center"/>
          </w:tcPr>
          <w:p>
            <w:pPr>
              <w:pStyle w:val="107"/>
              <w:rPr>
                <w:rStyle w:val="63"/>
                <w:color w:val="000000" w:themeColor="text1"/>
                <w14:textFill>
                  <w14:solidFill>
                    <w14:schemeClr w14:val="tx1"/>
                  </w14:solidFill>
                </w14:textFill>
              </w:rPr>
            </w:pPr>
          </w:p>
        </w:tc>
        <w:tc>
          <w:tcPr>
            <w:tcW w:w="1839" w:type="dxa"/>
            <w:gridSpan w:val="2"/>
            <w:tcBorders>
              <w:top w:val="single" w:color="auto" w:sz="4" w:space="0"/>
              <w:left w:val="nil"/>
              <w:bottom w:val="single" w:color="auto" w:sz="4" w:space="0"/>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V</w:t>
            </w:r>
            <w:r>
              <w:rPr>
                <w:rStyle w:val="63"/>
                <w:color w:val="000000" w:themeColor="text1"/>
                <w14:textFill>
                  <w14:solidFill>
                    <w14:schemeClr w14:val="tx1"/>
                  </w14:solidFill>
                </w14:textFill>
              </w:rPr>
              <w:t>OC</w:t>
            </w:r>
            <w:r>
              <w:rPr>
                <w:rStyle w:val="63"/>
                <w:rFonts w:hint="eastAsia"/>
                <w:color w:val="000000" w:themeColor="text1"/>
                <w14:textFill>
                  <w14:solidFill>
                    <w14:schemeClr w14:val="tx1"/>
                  </w14:solidFill>
                </w14:textFill>
              </w:rPr>
              <w:t>s</w:t>
            </w:r>
          </w:p>
        </w:tc>
        <w:tc>
          <w:tcPr>
            <w:tcW w:w="715"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kg/a</w:t>
            </w:r>
          </w:p>
        </w:tc>
        <w:tc>
          <w:tcPr>
            <w:tcW w:w="8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8</w:t>
            </w:r>
          </w:p>
        </w:tc>
        <w:tc>
          <w:tcPr>
            <w:tcW w:w="898"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c>
          <w:tcPr>
            <w:tcW w:w="9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8</w:t>
            </w:r>
          </w:p>
        </w:tc>
        <w:tc>
          <w:tcPr>
            <w:tcW w:w="96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c>
          <w:tcPr>
            <w:tcW w:w="97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8</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0" w:hRule="atLeast"/>
        </w:trPr>
        <w:tc>
          <w:tcPr>
            <w:tcW w:w="755" w:type="dxa"/>
            <w:vMerge w:val="restart"/>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固体废物</w:t>
            </w:r>
          </w:p>
        </w:tc>
        <w:tc>
          <w:tcPr>
            <w:tcW w:w="3453" w:type="dxa"/>
            <w:gridSpan w:val="4"/>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857" w:type="dxa"/>
            <w:gridSpan w:val="2"/>
            <w:tcBorders>
              <w:top w:val="single" w:color="auto" w:sz="4" w:space="0"/>
              <w:left w:val="nil"/>
              <w:bottom w:val="nil"/>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整改前产生量</w:t>
            </w:r>
          </w:p>
        </w:tc>
        <w:tc>
          <w:tcPr>
            <w:tcW w:w="1932" w:type="dxa"/>
            <w:gridSpan w:val="2"/>
            <w:tcBorders>
              <w:top w:val="single" w:color="auto" w:sz="4" w:space="0"/>
              <w:left w:val="nil"/>
              <w:bottom w:val="nil"/>
              <w:right w:val="single" w:color="000000"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整改后产生量</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整改削减量</w:t>
            </w:r>
          </w:p>
        </w:tc>
      </w:tr>
      <w:tr>
        <w:tblPrEx>
          <w:tblLayout w:type="fixed"/>
          <w:tblCellMar>
            <w:top w:w="0" w:type="dxa"/>
            <w:left w:w="108" w:type="dxa"/>
            <w:bottom w:w="0" w:type="dxa"/>
            <w:right w:w="108" w:type="dxa"/>
          </w:tblCellMar>
        </w:tblPrEx>
        <w:trPr>
          <w:trHeight w:val="20" w:hRule="atLeast"/>
        </w:trPr>
        <w:tc>
          <w:tcPr>
            <w:tcW w:w="75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65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一般工业固体废弃物</w:t>
            </w:r>
          </w:p>
        </w:tc>
        <w:tc>
          <w:tcPr>
            <w:tcW w:w="1189"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除尘灰</w:t>
            </w:r>
          </w:p>
        </w:tc>
        <w:tc>
          <w:tcPr>
            <w:tcW w:w="715"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t/a</w:t>
            </w:r>
          </w:p>
        </w:tc>
        <w:tc>
          <w:tcPr>
            <w:tcW w:w="8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857"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0.4</w:t>
            </w:r>
            <w:r>
              <w:rPr>
                <w:rStyle w:val="63"/>
                <w:color w:val="000000" w:themeColor="text1"/>
                <w14:textFill>
                  <w14:solidFill>
                    <w14:schemeClr w14:val="tx1"/>
                  </w14:solidFill>
                </w14:textFill>
              </w:rPr>
              <w:t>02</w:t>
            </w:r>
            <w:r>
              <w:rPr>
                <w:rStyle w:val="63"/>
                <w:rFonts w:hint="eastAsia"/>
                <w:color w:val="000000" w:themeColor="text1"/>
                <w14:textFill>
                  <w14:solidFill>
                    <w14:schemeClr w14:val="tx1"/>
                  </w14:solidFill>
                </w14:textFill>
              </w:rPr>
              <w:t xml:space="preserve"> </w:t>
            </w:r>
          </w:p>
        </w:tc>
        <w:tc>
          <w:tcPr>
            <w:tcW w:w="1932"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0.4</w:t>
            </w:r>
            <w:r>
              <w:rPr>
                <w:rStyle w:val="63"/>
                <w:color w:val="000000" w:themeColor="text1"/>
                <w14:textFill>
                  <w14:solidFill>
                    <w14:schemeClr w14:val="tx1"/>
                  </w14:solidFill>
                </w14:textFill>
              </w:rPr>
              <w:t>02</w:t>
            </w:r>
            <w:r>
              <w:rPr>
                <w:rStyle w:val="63"/>
                <w:rFonts w:hint="eastAsia"/>
                <w:color w:val="000000" w:themeColor="text1"/>
                <w14:textFill>
                  <w14:solidFill>
                    <w14:schemeClr w14:val="tx1"/>
                  </w14:solidFill>
                </w14:textFill>
              </w:rPr>
              <w:t xml:space="preserve"> </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0" w:hRule="atLeast"/>
        </w:trPr>
        <w:tc>
          <w:tcPr>
            <w:tcW w:w="75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65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18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切胶橡胶边角料</w:t>
            </w:r>
          </w:p>
        </w:tc>
        <w:tc>
          <w:tcPr>
            <w:tcW w:w="715"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t/a</w:t>
            </w:r>
          </w:p>
        </w:tc>
        <w:tc>
          <w:tcPr>
            <w:tcW w:w="8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857"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w:t>
            </w:r>
          </w:p>
        </w:tc>
        <w:tc>
          <w:tcPr>
            <w:tcW w:w="1932"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0" w:hRule="atLeast"/>
        </w:trPr>
        <w:tc>
          <w:tcPr>
            <w:tcW w:w="75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65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18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废包装材料</w:t>
            </w:r>
          </w:p>
        </w:tc>
        <w:tc>
          <w:tcPr>
            <w:tcW w:w="715"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t/a</w:t>
            </w:r>
          </w:p>
        </w:tc>
        <w:tc>
          <w:tcPr>
            <w:tcW w:w="8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857"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0.35 </w:t>
            </w:r>
          </w:p>
        </w:tc>
        <w:tc>
          <w:tcPr>
            <w:tcW w:w="1932"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0.35 </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0" w:hRule="atLeast"/>
        </w:trPr>
        <w:tc>
          <w:tcPr>
            <w:tcW w:w="75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65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18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修边橡胶边角料</w:t>
            </w:r>
          </w:p>
        </w:tc>
        <w:tc>
          <w:tcPr>
            <w:tcW w:w="715" w:type="dxa"/>
            <w:vMerge w:val="restart"/>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t/a</w:t>
            </w:r>
          </w:p>
        </w:tc>
        <w:tc>
          <w:tcPr>
            <w:tcW w:w="8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857"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w:t>
            </w:r>
          </w:p>
        </w:tc>
        <w:tc>
          <w:tcPr>
            <w:tcW w:w="1932"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0" w:hRule="atLeast"/>
        </w:trPr>
        <w:tc>
          <w:tcPr>
            <w:tcW w:w="75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65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18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抛丸收集粉尘</w:t>
            </w:r>
          </w:p>
        </w:tc>
        <w:tc>
          <w:tcPr>
            <w:tcW w:w="715" w:type="dxa"/>
            <w:vMerge w:val="continue"/>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p>
        </w:tc>
        <w:tc>
          <w:tcPr>
            <w:tcW w:w="8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857"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.8</w:t>
            </w:r>
          </w:p>
        </w:tc>
        <w:tc>
          <w:tcPr>
            <w:tcW w:w="1932"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.8</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0" w:hRule="atLeast"/>
        </w:trPr>
        <w:tc>
          <w:tcPr>
            <w:tcW w:w="75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65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18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不合格品</w:t>
            </w:r>
          </w:p>
        </w:tc>
        <w:tc>
          <w:tcPr>
            <w:tcW w:w="71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8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857"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Fonts w:hint="eastAsia"/>
              </w:rPr>
              <w:t>9.</w:t>
            </w:r>
            <w:r>
              <w:t>2627</w:t>
            </w:r>
          </w:p>
        </w:tc>
        <w:tc>
          <w:tcPr>
            <w:tcW w:w="1932"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Fonts w:hint="eastAsia"/>
              </w:rPr>
              <w:t>9.</w:t>
            </w:r>
            <w:r>
              <w:t>2627</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0" w:hRule="atLeast"/>
        </w:trPr>
        <w:tc>
          <w:tcPr>
            <w:tcW w:w="75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650" w:type="dxa"/>
            <w:vMerge w:val="restart"/>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危险废物</w:t>
            </w:r>
          </w:p>
        </w:tc>
        <w:tc>
          <w:tcPr>
            <w:tcW w:w="118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废饱和活性炭</w:t>
            </w:r>
          </w:p>
        </w:tc>
        <w:tc>
          <w:tcPr>
            <w:tcW w:w="71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8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857"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1.2</w:t>
            </w:r>
          </w:p>
        </w:tc>
        <w:tc>
          <w:tcPr>
            <w:tcW w:w="1932"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671</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529</w:t>
            </w:r>
            <w:r>
              <w:rPr>
                <w:rStyle w:val="63"/>
                <w:rFonts w:hint="eastAsia"/>
                <w:color w:val="000000" w:themeColor="text1"/>
                <w14:textFill>
                  <w14:solidFill>
                    <w14:schemeClr w14:val="tx1"/>
                  </w14:solidFill>
                </w14:textFill>
              </w:rPr>
              <w:t xml:space="preserve"> </w:t>
            </w:r>
          </w:p>
        </w:tc>
      </w:tr>
      <w:tr>
        <w:tblPrEx>
          <w:tblLayout w:type="fixed"/>
          <w:tblCellMar>
            <w:top w:w="0" w:type="dxa"/>
            <w:left w:w="108" w:type="dxa"/>
            <w:bottom w:w="0" w:type="dxa"/>
            <w:right w:w="108" w:type="dxa"/>
          </w:tblCellMar>
        </w:tblPrEx>
        <w:trPr>
          <w:trHeight w:val="20" w:hRule="atLeast"/>
        </w:trPr>
        <w:tc>
          <w:tcPr>
            <w:tcW w:w="75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65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18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废润滑油</w:t>
            </w:r>
          </w:p>
        </w:tc>
        <w:tc>
          <w:tcPr>
            <w:tcW w:w="71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8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857"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0.8</w:t>
            </w:r>
          </w:p>
        </w:tc>
        <w:tc>
          <w:tcPr>
            <w:tcW w:w="1932"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0.8</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0" w:hRule="atLeast"/>
        </w:trPr>
        <w:tc>
          <w:tcPr>
            <w:tcW w:w="75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650"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18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含油废抹布</w:t>
            </w:r>
          </w:p>
        </w:tc>
        <w:tc>
          <w:tcPr>
            <w:tcW w:w="71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8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857"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0.1</w:t>
            </w:r>
          </w:p>
        </w:tc>
        <w:tc>
          <w:tcPr>
            <w:tcW w:w="1932"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0.1</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r>
      <w:tr>
        <w:tblPrEx>
          <w:tblLayout w:type="fixed"/>
          <w:tblCellMar>
            <w:top w:w="0" w:type="dxa"/>
            <w:left w:w="108" w:type="dxa"/>
            <w:bottom w:w="0" w:type="dxa"/>
            <w:right w:w="108" w:type="dxa"/>
          </w:tblCellMar>
        </w:tblPrEx>
        <w:trPr>
          <w:trHeight w:val="20" w:hRule="atLeast"/>
        </w:trPr>
        <w:tc>
          <w:tcPr>
            <w:tcW w:w="755" w:type="dxa"/>
            <w:vMerge w:val="continue"/>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650"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生活垃圾</w:t>
            </w:r>
          </w:p>
        </w:tc>
        <w:tc>
          <w:tcPr>
            <w:tcW w:w="118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生活垃圾</w:t>
            </w:r>
          </w:p>
        </w:tc>
        <w:tc>
          <w:tcPr>
            <w:tcW w:w="715"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t/a</w:t>
            </w:r>
          </w:p>
        </w:tc>
        <w:tc>
          <w:tcPr>
            <w:tcW w:w="89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w:t>
            </w:r>
          </w:p>
        </w:tc>
        <w:tc>
          <w:tcPr>
            <w:tcW w:w="1857"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4.5</w:t>
            </w:r>
          </w:p>
        </w:tc>
        <w:tc>
          <w:tcPr>
            <w:tcW w:w="1932" w:type="dxa"/>
            <w:gridSpan w:val="2"/>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4.5</w:t>
            </w:r>
          </w:p>
        </w:tc>
        <w:tc>
          <w:tcPr>
            <w:tcW w:w="106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r>
    </w:tbl>
    <w:p>
      <w:pPr>
        <w:pStyle w:val="107"/>
      </w:pPr>
    </w:p>
    <w:p>
      <w:pPr>
        <w:ind w:firstLine="480"/>
        <w:rPr>
          <w:rFonts w:eastAsiaTheme="minorEastAsia"/>
        </w:rPr>
      </w:pPr>
      <w:r>
        <w:rPr>
          <w:rFonts w:hint="eastAsia" w:eastAsiaTheme="minorEastAsia"/>
        </w:rPr>
        <w:t>整改后本项目污染物产生、削减、排放状况汇总如</w:t>
      </w:r>
      <w:r>
        <w:rPr>
          <w:rFonts w:eastAsiaTheme="minorEastAsia"/>
          <w:color w:val="000000" w:themeColor="text1"/>
          <w14:textFill>
            <w14:solidFill>
              <w14:schemeClr w14:val="tx1"/>
            </w14:solidFill>
          </w14:textFill>
        </w:rPr>
        <w:fldChar w:fldCharType="begin"/>
      </w:r>
      <w:r>
        <w:rPr>
          <w:rFonts w:eastAsiaTheme="minorEastAsia"/>
          <w:color w:val="000000" w:themeColor="text1"/>
          <w14:textFill>
            <w14:solidFill>
              <w14:schemeClr w14:val="tx1"/>
            </w14:solidFill>
          </w14:textFill>
        </w:rPr>
        <w:instrText xml:space="preserve"> </w:instrText>
      </w:r>
      <w:r>
        <w:rPr>
          <w:rFonts w:hint="eastAsia" w:eastAsiaTheme="minorEastAsia"/>
          <w:color w:val="000000" w:themeColor="text1"/>
          <w14:textFill>
            <w14:solidFill>
              <w14:schemeClr w14:val="tx1"/>
            </w14:solidFill>
          </w14:textFill>
        </w:rPr>
        <w:instrText xml:space="preserve">REF _Ref530343778 \h</w:instrText>
      </w:r>
      <w:r>
        <w:rPr>
          <w:rFonts w:eastAsiaTheme="minorEastAsia"/>
          <w:color w:val="000000" w:themeColor="text1"/>
          <w14:textFill>
            <w14:solidFill>
              <w14:schemeClr w14:val="tx1"/>
            </w14:solidFill>
          </w14:textFill>
        </w:rPr>
        <w:instrText xml:space="preserve"> </w:instrText>
      </w:r>
      <w:r>
        <w:rPr>
          <w:rFonts w:eastAsiaTheme="minorEastAsia"/>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t>2.9</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2</w:t>
      </w:r>
      <w:r>
        <w:rPr>
          <w:rFonts w:eastAsiaTheme="minorEastAsia"/>
          <w:color w:val="000000" w:themeColor="text1"/>
          <w14:textFill>
            <w14:solidFill>
              <w14:schemeClr w14:val="tx1"/>
            </w14:solidFill>
          </w14:textFill>
        </w:rPr>
        <w:fldChar w:fldCharType="end"/>
      </w:r>
      <w:r>
        <w:rPr>
          <w:rFonts w:hint="eastAsia" w:eastAsiaTheme="minorEastAsia"/>
        </w:rPr>
        <w:t>所示。</w:t>
      </w:r>
    </w:p>
    <w:p>
      <w:pPr>
        <w:pStyle w:val="18"/>
        <w:rPr>
          <w:rStyle w:val="63"/>
          <w:color w:val="000000" w:themeColor="text1"/>
          <w14:textFill>
            <w14:solidFill>
              <w14:schemeClr w14:val="tx1"/>
            </w14:solidFill>
          </w14:textFill>
        </w:rPr>
      </w:pPr>
      <w:bookmarkStart w:id="240" w:name="_Ref530343778"/>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2.9</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w:t>
      </w:r>
      <w:r>
        <w:rPr>
          <w:rStyle w:val="63"/>
          <w:color w:val="000000" w:themeColor="text1"/>
          <w14:textFill>
            <w14:solidFill>
              <w14:schemeClr w14:val="tx1"/>
            </w14:solidFill>
          </w14:textFill>
        </w:rPr>
        <w:fldChar w:fldCharType="end"/>
      </w:r>
      <w:bookmarkEnd w:id="240"/>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项目污染物产生及排放情况汇总表</w:t>
      </w:r>
    </w:p>
    <w:tbl>
      <w:tblPr>
        <w:tblStyle w:val="56"/>
        <w:tblW w:w="9050" w:type="dxa"/>
        <w:tblInd w:w="0" w:type="dxa"/>
        <w:tblLayout w:type="fixed"/>
        <w:tblCellMar>
          <w:top w:w="0" w:type="dxa"/>
          <w:left w:w="108" w:type="dxa"/>
          <w:bottom w:w="0" w:type="dxa"/>
          <w:right w:w="108" w:type="dxa"/>
        </w:tblCellMar>
      </w:tblPr>
      <w:tblGrid>
        <w:gridCol w:w="851"/>
        <w:gridCol w:w="1383"/>
        <w:gridCol w:w="1553"/>
        <w:gridCol w:w="867"/>
        <w:gridCol w:w="1381"/>
        <w:gridCol w:w="1725"/>
        <w:gridCol w:w="1272"/>
        <w:gridCol w:w="18"/>
      </w:tblGrid>
      <w:tr>
        <w:tblPrEx>
          <w:tblLayout w:type="fixed"/>
          <w:tblCellMar>
            <w:top w:w="0" w:type="dxa"/>
            <w:left w:w="108" w:type="dxa"/>
            <w:bottom w:w="0" w:type="dxa"/>
            <w:right w:w="108" w:type="dxa"/>
          </w:tblCellMar>
        </w:tblPrEx>
        <w:trPr>
          <w:gridAfter w:val="1"/>
          <w:wAfter w:w="18" w:type="dxa"/>
          <w:trHeight w:val="20" w:hRule="atLeast"/>
        </w:trPr>
        <w:tc>
          <w:tcPr>
            <w:tcW w:w="851" w:type="dxa"/>
            <w:tcBorders>
              <w:top w:val="single" w:color="auto" w:sz="8" w:space="0"/>
              <w:left w:val="single" w:color="auto" w:sz="8" w:space="0"/>
              <w:bottom w:val="single" w:color="auto" w:sz="8" w:space="0"/>
              <w:right w:val="single" w:color="auto" w:sz="8" w:space="0"/>
            </w:tcBorders>
            <w:shd w:val="clear" w:color="auto" w:fill="D8D8D8" w:themeFill="background1" w:themeFillShade="D9"/>
            <w:vAlign w:val="center"/>
          </w:tcPr>
          <w:p>
            <w:pPr>
              <w:pStyle w:val="107"/>
              <w:rPr>
                <w:b/>
              </w:rPr>
            </w:pPr>
            <w:r>
              <w:rPr>
                <w:rFonts w:hint="eastAsia"/>
                <w:b/>
              </w:rPr>
              <w:t>类别</w:t>
            </w:r>
          </w:p>
        </w:tc>
        <w:tc>
          <w:tcPr>
            <w:tcW w:w="2936" w:type="dxa"/>
            <w:gridSpan w:val="2"/>
            <w:tcBorders>
              <w:top w:val="single" w:color="auto" w:sz="8" w:space="0"/>
              <w:left w:val="nil"/>
              <w:bottom w:val="nil"/>
              <w:right w:val="single" w:color="000000" w:sz="8" w:space="0"/>
            </w:tcBorders>
            <w:shd w:val="clear" w:color="auto" w:fill="D8D8D8" w:themeFill="background1" w:themeFillShade="D9"/>
            <w:vAlign w:val="center"/>
          </w:tcPr>
          <w:p>
            <w:pPr>
              <w:pStyle w:val="107"/>
              <w:rPr>
                <w:b/>
              </w:rPr>
            </w:pPr>
            <w:r>
              <w:rPr>
                <w:rFonts w:hint="eastAsia"/>
                <w:b/>
              </w:rPr>
              <w:t>主要污染物</w:t>
            </w:r>
          </w:p>
        </w:tc>
        <w:tc>
          <w:tcPr>
            <w:tcW w:w="867" w:type="dxa"/>
            <w:tcBorders>
              <w:top w:val="single" w:color="auto" w:sz="8" w:space="0"/>
              <w:left w:val="nil"/>
              <w:bottom w:val="nil"/>
              <w:right w:val="single" w:color="auto" w:sz="8" w:space="0"/>
            </w:tcBorders>
            <w:shd w:val="clear" w:color="auto" w:fill="D8D8D8" w:themeFill="background1" w:themeFillShade="D9"/>
            <w:vAlign w:val="center"/>
          </w:tcPr>
          <w:p>
            <w:pPr>
              <w:pStyle w:val="107"/>
              <w:rPr>
                <w:b/>
              </w:rPr>
            </w:pPr>
            <w:r>
              <w:rPr>
                <w:rFonts w:hint="eastAsia"/>
                <w:b/>
              </w:rPr>
              <w:t>单位</w:t>
            </w:r>
          </w:p>
        </w:tc>
        <w:tc>
          <w:tcPr>
            <w:tcW w:w="1381" w:type="dxa"/>
            <w:tcBorders>
              <w:top w:val="single" w:color="auto" w:sz="8" w:space="0"/>
              <w:left w:val="nil"/>
              <w:bottom w:val="nil"/>
              <w:right w:val="single" w:color="auto" w:sz="8" w:space="0"/>
            </w:tcBorders>
            <w:shd w:val="clear" w:color="auto" w:fill="D8D8D8" w:themeFill="background1" w:themeFillShade="D9"/>
            <w:vAlign w:val="center"/>
          </w:tcPr>
          <w:p>
            <w:pPr>
              <w:pStyle w:val="107"/>
              <w:rPr>
                <w:b/>
              </w:rPr>
            </w:pPr>
            <w:r>
              <w:rPr>
                <w:rFonts w:hint="eastAsia"/>
                <w:b/>
              </w:rPr>
              <w:t>产生量</w:t>
            </w:r>
          </w:p>
        </w:tc>
        <w:tc>
          <w:tcPr>
            <w:tcW w:w="1725" w:type="dxa"/>
            <w:tcBorders>
              <w:top w:val="single" w:color="auto" w:sz="8" w:space="0"/>
              <w:left w:val="nil"/>
              <w:bottom w:val="nil"/>
              <w:right w:val="single" w:color="auto" w:sz="8" w:space="0"/>
            </w:tcBorders>
            <w:shd w:val="clear" w:color="auto" w:fill="D8D8D8" w:themeFill="background1" w:themeFillShade="D9"/>
            <w:vAlign w:val="center"/>
          </w:tcPr>
          <w:p>
            <w:pPr>
              <w:pStyle w:val="107"/>
              <w:rPr>
                <w:b/>
              </w:rPr>
            </w:pPr>
            <w:r>
              <w:rPr>
                <w:rFonts w:hint="eastAsia"/>
                <w:b/>
              </w:rPr>
              <w:t>削减量</w:t>
            </w:r>
          </w:p>
        </w:tc>
        <w:tc>
          <w:tcPr>
            <w:tcW w:w="1272" w:type="dxa"/>
            <w:tcBorders>
              <w:top w:val="single" w:color="auto" w:sz="8" w:space="0"/>
              <w:left w:val="nil"/>
              <w:bottom w:val="nil"/>
              <w:right w:val="single" w:color="auto" w:sz="8" w:space="0"/>
            </w:tcBorders>
            <w:shd w:val="clear" w:color="auto" w:fill="D8D8D8" w:themeFill="background1" w:themeFillShade="D9"/>
            <w:vAlign w:val="center"/>
          </w:tcPr>
          <w:p>
            <w:pPr>
              <w:pStyle w:val="107"/>
              <w:rPr>
                <w:b/>
              </w:rPr>
            </w:pPr>
            <w:r>
              <w:rPr>
                <w:rFonts w:hint="eastAsia"/>
                <w:b/>
              </w:rPr>
              <w:t>排放量</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restart"/>
            <w:tcBorders>
              <w:top w:val="nil"/>
              <w:left w:val="single" w:color="auto" w:sz="8" w:space="0"/>
              <w:right w:val="nil"/>
            </w:tcBorders>
            <w:shd w:val="clear" w:color="auto" w:fill="auto"/>
            <w:vAlign w:val="center"/>
          </w:tcPr>
          <w:p>
            <w:pPr>
              <w:pStyle w:val="107"/>
            </w:pPr>
            <w:r>
              <w:rPr>
                <w:rFonts w:hint="eastAsia"/>
              </w:rPr>
              <w:t>废水</w:t>
            </w:r>
          </w:p>
        </w:tc>
        <w:tc>
          <w:tcPr>
            <w:tcW w:w="138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生活污水</w:t>
            </w:r>
          </w:p>
        </w:tc>
        <w:tc>
          <w:tcPr>
            <w:tcW w:w="1553"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废水量</w:t>
            </w:r>
          </w:p>
        </w:tc>
        <w:tc>
          <w:tcPr>
            <w:tcW w:w="867" w:type="dxa"/>
            <w:tcBorders>
              <w:top w:val="single" w:color="auto" w:sz="4" w:space="0"/>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m</w:t>
            </w:r>
            <w:r>
              <w:rPr>
                <w:rFonts w:eastAsia="等线" w:cs="Arial"/>
                <w:vertAlign w:val="superscript"/>
              </w:rPr>
              <w:t xml:space="preserve">3 </w:t>
            </w:r>
            <w:r>
              <w:rPr>
                <w:rFonts w:eastAsia="等线" w:cs="Arial"/>
              </w:rPr>
              <w:t>/a</w:t>
            </w:r>
          </w:p>
        </w:tc>
        <w:tc>
          <w:tcPr>
            <w:tcW w:w="1381" w:type="dxa"/>
            <w:tcBorders>
              <w:top w:val="single" w:color="auto" w:sz="4" w:space="0"/>
              <w:left w:val="nil"/>
              <w:bottom w:val="single" w:color="auto" w:sz="4" w:space="0"/>
              <w:right w:val="single" w:color="auto" w:sz="4" w:space="0"/>
            </w:tcBorders>
            <w:shd w:val="clear" w:color="auto" w:fill="auto"/>
            <w:vAlign w:val="center"/>
          </w:tcPr>
          <w:p>
            <w:pPr>
              <w:pStyle w:val="107"/>
              <w:rPr>
                <w:rFonts w:eastAsia="等线" w:cs="Arial"/>
              </w:rPr>
            </w:pPr>
            <w:r>
              <w:rPr>
                <w:rStyle w:val="63"/>
                <w:rFonts w:hint="eastAsia"/>
                <w:color w:val="000000" w:themeColor="text1"/>
                <w14:textFill>
                  <w14:solidFill>
                    <w14:schemeClr w14:val="tx1"/>
                  </w14:solidFill>
                </w14:textFill>
              </w:rPr>
              <w:t>3</w:t>
            </w:r>
            <w:r>
              <w:rPr>
                <w:rStyle w:val="63"/>
                <w:color w:val="000000" w:themeColor="text1"/>
                <w14:textFill>
                  <w14:solidFill>
                    <w14:schemeClr w14:val="tx1"/>
                  </w14:solidFill>
                </w14:textFill>
              </w:rPr>
              <w:t>24</w:t>
            </w:r>
          </w:p>
        </w:tc>
        <w:tc>
          <w:tcPr>
            <w:tcW w:w="1725" w:type="dxa"/>
            <w:tcBorders>
              <w:top w:val="single" w:color="auto" w:sz="4" w:space="0"/>
              <w:left w:val="nil"/>
              <w:bottom w:val="single" w:color="auto" w:sz="4" w:space="0"/>
              <w:right w:val="single" w:color="auto" w:sz="4" w:space="0"/>
            </w:tcBorders>
            <w:shd w:val="clear" w:color="auto" w:fill="auto"/>
            <w:vAlign w:val="bottom"/>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c>
          <w:tcPr>
            <w:tcW w:w="1272" w:type="dxa"/>
            <w:tcBorders>
              <w:top w:val="single" w:color="auto" w:sz="4" w:space="0"/>
              <w:left w:val="nil"/>
              <w:bottom w:val="single" w:color="auto" w:sz="4" w:space="0"/>
              <w:right w:val="single" w:color="auto" w:sz="4" w:space="0"/>
            </w:tcBorders>
            <w:shd w:val="clear" w:color="auto" w:fill="auto"/>
            <w:vAlign w:val="center"/>
          </w:tcPr>
          <w:p>
            <w:pPr>
              <w:pStyle w:val="107"/>
              <w:rPr>
                <w:rFonts w:eastAsia="等线" w:cs="Arial"/>
                <w:highlight w:val="yellow"/>
              </w:rPr>
            </w:pPr>
            <w:r>
              <w:rPr>
                <w:rStyle w:val="63"/>
                <w:color w:val="000000" w:themeColor="text1"/>
                <w14:textFill>
                  <w14:solidFill>
                    <w14:schemeClr w14:val="tx1"/>
                  </w14:solidFill>
                </w14:textFill>
              </w:rPr>
              <w:t>324</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left w:val="single" w:color="auto" w:sz="8" w:space="0"/>
              <w:right w:val="nil"/>
            </w:tcBorders>
            <w:vAlign w:val="center"/>
          </w:tcPr>
          <w:p>
            <w:pPr>
              <w:pStyle w:val="107"/>
            </w:pPr>
          </w:p>
        </w:tc>
        <w:tc>
          <w:tcPr>
            <w:tcW w:w="1383"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COD</w:t>
            </w:r>
            <w:r>
              <w:rPr>
                <w:rFonts w:eastAsia="等线" w:cs="Arial"/>
                <w:vertAlign w:val="subscript"/>
              </w:rPr>
              <w:t>Cr</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Style w:val="63"/>
                <w:color w:val="000000" w:themeColor="text1"/>
                <w14:textFill>
                  <w14:solidFill>
                    <w14:schemeClr w14:val="tx1"/>
                  </w14:solidFill>
                </w14:textFill>
              </w:rPr>
              <w:t xml:space="preserve">0.081 </w:t>
            </w:r>
          </w:p>
        </w:tc>
        <w:tc>
          <w:tcPr>
            <w:tcW w:w="1725"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0.008</w:t>
            </w:r>
          </w:p>
        </w:tc>
        <w:tc>
          <w:tcPr>
            <w:tcW w:w="1272" w:type="dxa"/>
            <w:tcBorders>
              <w:top w:val="nil"/>
              <w:left w:val="nil"/>
              <w:bottom w:val="single" w:color="auto" w:sz="4" w:space="0"/>
              <w:right w:val="single" w:color="auto" w:sz="4" w:space="0"/>
            </w:tcBorders>
            <w:shd w:val="clear" w:color="auto" w:fill="auto"/>
            <w:vAlign w:val="center"/>
          </w:tcPr>
          <w:p>
            <w:pPr>
              <w:pStyle w:val="107"/>
              <w:rPr>
                <w:rFonts w:eastAsia="等线" w:cs="Arial"/>
                <w:highlight w:val="yellow"/>
              </w:rPr>
            </w:pPr>
            <w:r>
              <w:rPr>
                <w:rStyle w:val="63"/>
                <w:color w:val="000000" w:themeColor="text1"/>
                <w14:textFill>
                  <w14:solidFill>
                    <w14:schemeClr w14:val="tx1"/>
                  </w14:solidFill>
                </w14:textFill>
              </w:rPr>
              <w:t>0.073</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left w:val="single" w:color="auto" w:sz="8" w:space="0"/>
              <w:right w:val="nil"/>
            </w:tcBorders>
            <w:vAlign w:val="center"/>
          </w:tcPr>
          <w:p>
            <w:pPr>
              <w:pStyle w:val="107"/>
            </w:pPr>
          </w:p>
        </w:tc>
        <w:tc>
          <w:tcPr>
            <w:tcW w:w="1383"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BOD</w:t>
            </w:r>
            <w:r>
              <w:rPr>
                <w:rFonts w:eastAsia="等线" w:cs="Arial"/>
                <w:vertAlign w:val="subscript"/>
              </w:rPr>
              <w:t>5</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Style w:val="63"/>
                <w:color w:val="000000" w:themeColor="text1"/>
                <w14:textFill>
                  <w14:solidFill>
                    <w14:schemeClr w14:val="tx1"/>
                  </w14:solidFill>
                </w14:textFill>
              </w:rPr>
              <w:t xml:space="preserve">0.039 </w:t>
            </w:r>
          </w:p>
        </w:tc>
        <w:tc>
          <w:tcPr>
            <w:tcW w:w="1725"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w:t>
            </w:r>
            <w:r>
              <w:rPr>
                <w:rStyle w:val="63"/>
                <w:color w:val="000000" w:themeColor="text1"/>
                <w14:textFill>
                  <w14:solidFill>
                    <w14:schemeClr w14:val="tx1"/>
                  </w14:solidFill>
                </w14:textFill>
              </w:rPr>
              <w:t>13</w:t>
            </w:r>
          </w:p>
        </w:tc>
        <w:tc>
          <w:tcPr>
            <w:tcW w:w="1272" w:type="dxa"/>
            <w:tcBorders>
              <w:top w:val="nil"/>
              <w:left w:val="nil"/>
              <w:bottom w:val="single" w:color="auto" w:sz="4" w:space="0"/>
              <w:right w:val="single" w:color="auto" w:sz="4" w:space="0"/>
            </w:tcBorders>
            <w:shd w:val="clear" w:color="auto" w:fill="auto"/>
            <w:vAlign w:val="center"/>
          </w:tcPr>
          <w:p>
            <w:pPr>
              <w:pStyle w:val="107"/>
              <w:rPr>
                <w:rFonts w:eastAsia="等线" w:cs="Arial"/>
                <w:highlight w:val="yellow"/>
              </w:rPr>
            </w:pPr>
            <w:r>
              <w:rPr>
                <w:rStyle w:val="63"/>
                <w:color w:val="000000" w:themeColor="text1"/>
                <w14:textFill>
                  <w14:solidFill>
                    <w14:schemeClr w14:val="tx1"/>
                  </w14:solidFill>
                </w14:textFill>
              </w:rPr>
              <w:t>0.026</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left w:val="single" w:color="auto" w:sz="8" w:space="0"/>
              <w:right w:val="nil"/>
            </w:tcBorders>
            <w:vAlign w:val="center"/>
          </w:tcPr>
          <w:p>
            <w:pPr>
              <w:pStyle w:val="107"/>
            </w:pPr>
          </w:p>
        </w:tc>
        <w:tc>
          <w:tcPr>
            <w:tcW w:w="1383"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SS</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Style w:val="63"/>
                <w:color w:val="000000" w:themeColor="text1"/>
                <w14:textFill>
                  <w14:solidFill>
                    <w14:schemeClr w14:val="tx1"/>
                  </w14:solidFill>
                </w14:textFill>
              </w:rPr>
              <w:t>0.0648</w:t>
            </w:r>
          </w:p>
        </w:tc>
        <w:tc>
          <w:tcPr>
            <w:tcW w:w="1725"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0.0324</w:t>
            </w:r>
          </w:p>
        </w:tc>
        <w:tc>
          <w:tcPr>
            <w:tcW w:w="1272" w:type="dxa"/>
            <w:tcBorders>
              <w:top w:val="nil"/>
              <w:left w:val="nil"/>
              <w:bottom w:val="single" w:color="auto" w:sz="4" w:space="0"/>
              <w:right w:val="single" w:color="auto" w:sz="4" w:space="0"/>
            </w:tcBorders>
            <w:shd w:val="clear" w:color="auto" w:fill="auto"/>
            <w:vAlign w:val="center"/>
          </w:tcPr>
          <w:p>
            <w:pPr>
              <w:pStyle w:val="107"/>
              <w:rPr>
                <w:rFonts w:eastAsia="等线" w:cs="Arial"/>
                <w:highlight w:val="yellow"/>
              </w:rPr>
            </w:pPr>
            <w:r>
              <w:rPr>
                <w:rStyle w:val="63"/>
                <w:color w:val="000000" w:themeColor="text1"/>
                <w14:textFill>
                  <w14:solidFill>
                    <w14:schemeClr w14:val="tx1"/>
                  </w14:solidFill>
                </w14:textFill>
              </w:rPr>
              <w:t xml:space="preserve">0.0324 </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left w:val="single" w:color="auto" w:sz="8" w:space="0"/>
              <w:right w:val="nil"/>
            </w:tcBorders>
            <w:vAlign w:val="center"/>
          </w:tcPr>
          <w:p>
            <w:pPr>
              <w:pStyle w:val="107"/>
            </w:pPr>
          </w:p>
        </w:tc>
        <w:tc>
          <w:tcPr>
            <w:tcW w:w="1383"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NH</w:t>
            </w:r>
            <w:r>
              <w:rPr>
                <w:rFonts w:eastAsia="等线" w:cs="Arial"/>
                <w:vertAlign w:val="subscript"/>
              </w:rPr>
              <w:t>3</w:t>
            </w:r>
            <w:r>
              <w:rPr>
                <w:rFonts w:eastAsia="等线" w:cs="Arial"/>
              </w:rPr>
              <w:t>-N</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Style w:val="63"/>
                <w:color w:val="000000" w:themeColor="text1"/>
                <w14:textFill>
                  <w14:solidFill>
                    <w14:schemeClr w14:val="tx1"/>
                  </w14:solidFill>
                </w14:textFill>
              </w:rPr>
              <w:t xml:space="preserve">0.0097 </w:t>
            </w:r>
          </w:p>
        </w:tc>
        <w:tc>
          <w:tcPr>
            <w:tcW w:w="1725"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p>
        </w:tc>
        <w:tc>
          <w:tcPr>
            <w:tcW w:w="1272" w:type="dxa"/>
            <w:tcBorders>
              <w:top w:val="nil"/>
              <w:left w:val="nil"/>
              <w:bottom w:val="single" w:color="auto" w:sz="4" w:space="0"/>
              <w:right w:val="single" w:color="auto" w:sz="4" w:space="0"/>
            </w:tcBorders>
            <w:shd w:val="clear" w:color="auto" w:fill="auto"/>
            <w:vAlign w:val="center"/>
          </w:tcPr>
          <w:p>
            <w:pPr>
              <w:pStyle w:val="107"/>
              <w:rPr>
                <w:rFonts w:eastAsia="等线" w:cs="Arial"/>
                <w:highlight w:val="yellow"/>
              </w:rPr>
            </w:pPr>
            <w:r>
              <w:rPr>
                <w:rStyle w:val="63"/>
                <w:color w:val="000000" w:themeColor="text1"/>
                <w14:textFill>
                  <w14:solidFill>
                    <w14:schemeClr w14:val="tx1"/>
                  </w14:solidFill>
                </w14:textFill>
              </w:rPr>
              <w:t xml:space="preserve">0.0097 </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left w:val="single" w:color="auto" w:sz="8" w:space="0"/>
              <w:right w:val="nil"/>
            </w:tcBorders>
            <w:vAlign w:val="center"/>
          </w:tcPr>
          <w:p>
            <w:pPr>
              <w:pStyle w:val="107"/>
            </w:pPr>
          </w:p>
        </w:tc>
        <w:tc>
          <w:tcPr>
            <w:tcW w:w="1383"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动植物油</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Style w:val="63"/>
                <w:color w:val="000000" w:themeColor="text1"/>
                <w14:textFill>
                  <w14:solidFill>
                    <w14:schemeClr w14:val="tx1"/>
                  </w14:solidFill>
                </w14:textFill>
              </w:rPr>
              <w:t xml:space="preserve">0.0097 </w:t>
            </w:r>
          </w:p>
        </w:tc>
        <w:tc>
          <w:tcPr>
            <w:tcW w:w="1725"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0.0048</w:t>
            </w:r>
          </w:p>
        </w:tc>
        <w:tc>
          <w:tcPr>
            <w:tcW w:w="1272" w:type="dxa"/>
            <w:tcBorders>
              <w:top w:val="nil"/>
              <w:left w:val="nil"/>
              <w:bottom w:val="single" w:color="auto" w:sz="4" w:space="0"/>
              <w:right w:val="single" w:color="auto" w:sz="4" w:space="0"/>
            </w:tcBorders>
            <w:shd w:val="clear" w:color="auto" w:fill="auto"/>
            <w:vAlign w:val="center"/>
          </w:tcPr>
          <w:p>
            <w:pPr>
              <w:pStyle w:val="107"/>
              <w:rPr>
                <w:rFonts w:eastAsia="等线" w:cs="Arial"/>
                <w:highlight w:val="yellow"/>
              </w:rPr>
            </w:pPr>
            <w:r>
              <w:rPr>
                <w:rStyle w:val="63"/>
                <w:color w:val="000000" w:themeColor="text1"/>
                <w14:textFill>
                  <w14:solidFill>
                    <w14:schemeClr w14:val="tx1"/>
                  </w14:solidFill>
                </w14:textFill>
              </w:rPr>
              <w:t xml:space="preserve">0.0049 </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left w:val="single" w:color="auto" w:sz="8" w:space="0"/>
              <w:bottom w:val="nil"/>
              <w:right w:val="nil"/>
            </w:tcBorders>
            <w:vAlign w:val="center"/>
          </w:tcPr>
          <w:p>
            <w:pPr>
              <w:pStyle w:val="107"/>
            </w:pPr>
          </w:p>
        </w:tc>
        <w:tc>
          <w:tcPr>
            <w:tcW w:w="1383" w:type="dxa"/>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喷淋废水</w:t>
            </w:r>
          </w:p>
        </w:tc>
        <w:tc>
          <w:tcPr>
            <w:tcW w:w="1553"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废水量</w:t>
            </w:r>
          </w:p>
        </w:tc>
        <w:tc>
          <w:tcPr>
            <w:tcW w:w="867"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m</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 xml:space="preserve"> /a</w:t>
            </w:r>
          </w:p>
        </w:tc>
        <w:tc>
          <w:tcPr>
            <w:tcW w:w="1381"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0</w:t>
            </w:r>
          </w:p>
        </w:tc>
        <w:tc>
          <w:tcPr>
            <w:tcW w:w="2997" w:type="dxa"/>
            <w:gridSpan w:val="2"/>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定期交有资质单位拉运处理</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restart"/>
            <w:tcBorders>
              <w:top w:val="single" w:color="auto" w:sz="4" w:space="0"/>
              <w:left w:val="single" w:color="auto" w:sz="4" w:space="0"/>
              <w:bottom w:val="single" w:color="auto" w:sz="4" w:space="0"/>
              <w:right w:val="nil"/>
            </w:tcBorders>
            <w:shd w:val="clear" w:color="auto" w:fill="auto"/>
            <w:vAlign w:val="center"/>
          </w:tcPr>
          <w:p>
            <w:pPr>
              <w:pStyle w:val="107"/>
            </w:pPr>
            <w:r>
              <w:rPr>
                <w:rFonts w:hint="eastAsia"/>
              </w:rPr>
              <w:t>废气</w:t>
            </w:r>
          </w:p>
        </w:tc>
        <w:tc>
          <w:tcPr>
            <w:tcW w:w="1383" w:type="dxa"/>
            <w:vMerge w:val="restart"/>
            <w:tcBorders>
              <w:top w:val="nil"/>
              <w:left w:val="single" w:color="auto" w:sz="4" w:space="0"/>
              <w:bottom w:val="single" w:color="auto" w:sz="4" w:space="0"/>
              <w:right w:val="single" w:color="auto" w:sz="4" w:space="0"/>
            </w:tcBorders>
            <w:shd w:val="clear" w:color="auto" w:fill="auto"/>
            <w:vAlign w:val="center"/>
          </w:tcPr>
          <w:p>
            <w:pPr>
              <w:pStyle w:val="107"/>
            </w:pPr>
            <w:r>
              <w:rPr>
                <w:rFonts w:hint="eastAsia"/>
              </w:rPr>
              <w:t>炼胶有组织</w:t>
            </w: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颗粒物</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0.4067</w:t>
            </w:r>
          </w:p>
        </w:tc>
        <w:tc>
          <w:tcPr>
            <w:tcW w:w="1725" w:type="dxa"/>
            <w:tcBorders>
              <w:top w:val="single" w:color="auto" w:sz="4" w:space="0"/>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0.402633</w:t>
            </w:r>
          </w:p>
        </w:tc>
        <w:tc>
          <w:tcPr>
            <w:tcW w:w="1272" w:type="dxa"/>
            <w:tcBorders>
              <w:top w:val="single" w:color="auto" w:sz="4" w:space="0"/>
              <w:left w:val="nil"/>
              <w:bottom w:val="single" w:color="auto" w:sz="4" w:space="0"/>
              <w:right w:val="single" w:color="auto" w:sz="4" w:space="0"/>
            </w:tcBorders>
            <w:shd w:val="clear" w:color="auto" w:fill="auto"/>
            <w:vAlign w:val="center"/>
          </w:tcPr>
          <w:p>
            <w:pPr>
              <w:pStyle w:val="107"/>
              <w:rPr>
                <w:rFonts w:eastAsia="等线" w:cs="Arial"/>
              </w:rPr>
            </w:pPr>
            <w:r>
              <w:rPr>
                <w:rStyle w:val="63"/>
                <w:color w:val="000000" w:themeColor="text1"/>
                <w14:textFill>
                  <w14:solidFill>
                    <w14:schemeClr w14:val="tx1"/>
                  </w14:solidFill>
                </w14:textFill>
              </w:rPr>
              <w:t>0.00</w:t>
            </w:r>
            <w:r>
              <w:rPr>
                <w:rStyle w:val="63"/>
                <w:rFonts w:hint="eastAsia"/>
                <w:color w:val="000000" w:themeColor="text1"/>
                <w14:textFill>
                  <w14:solidFill>
                    <w14:schemeClr w14:val="tx1"/>
                  </w14:solidFill>
                </w14:textFill>
              </w:rPr>
              <w:t>4</w:t>
            </w:r>
            <w:r>
              <w:rPr>
                <w:rStyle w:val="63"/>
                <w:color w:val="000000" w:themeColor="text1"/>
                <w14:textFill>
                  <w14:solidFill>
                    <w14:schemeClr w14:val="tx1"/>
                  </w14:solidFill>
                </w14:textFill>
              </w:rPr>
              <w:t>067</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top w:val="single" w:color="auto" w:sz="4" w:space="0"/>
              <w:left w:val="single" w:color="auto" w:sz="4" w:space="0"/>
              <w:bottom w:val="single" w:color="auto" w:sz="4" w:space="0"/>
              <w:right w:val="nil"/>
            </w:tcBorders>
            <w:vAlign w:val="center"/>
          </w:tcPr>
          <w:p>
            <w:pPr>
              <w:pStyle w:val="107"/>
            </w:pPr>
          </w:p>
        </w:tc>
        <w:tc>
          <w:tcPr>
            <w:tcW w:w="1383" w:type="dxa"/>
            <w:vMerge w:val="continue"/>
            <w:tcBorders>
              <w:top w:val="nil"/>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非甲烷总烃</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0.2742</w:t>
            </w:r>
          </w:p>
        </w:tc>
        <w:tc>
          <w:tcPr>
            <w:tcW w:w="1725"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0.252265</w:t>
            </w:r>
          </w:p>
        </w:tc>
        <w:tc>
          <w:tcPr>
            <w:tcW w:w="1272"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Style w:val="63"/>
                <w:color w:val="000000" w:themeColor="text1"/>
                <w14:textFill>
                  <w14:solidFill>
                    <w14:schemeClr w14:val="tx1"/>
                  </w14:solidFill>
                </w14:textFill>
              </w:rPr>
              <w:t>0.0</w:t>
            </w: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1935</w:t>
            </w:r>
            <w:r>
              <w:rPr>
                <w:rStyle w:val="63"/>
                <w:rFonts w:hint="eastAsia"/>
                <w:color w:val="000000" w:themeColor="text1"/>
                <w14:textFill>
                  <w14:solidFill>
                    <w14:schemeClr w14:val="tx1"/>
                  </w14:solidFill>
                </w14:textFill>
              </w:rPr>
              <w:t xml:space="preserve"> </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top w:val="single" w:color="auto" w:sz="4" w:space="0"/>
              <w:left w:val="single" w:color="auto" w:sz="4" w:space="0"/>
              <w:bottom w:val="single" w:color="auto" w:sz="4" w:space="0"/>
              <w:right w:val="nil"/>
            </w:tcBorders>
            <w:vAlign w:val="center"/>
          </w:tcPr>
          <w:p>
            <w:pPr>
              <w:pStyle w:val="107"/>
            </w:pPr>
          </w:p>
        </w:tc>
        <w:tc>
          <w:tcPr>
            <w:tcW w:w="1383" w:type="dxa"/>
            <w:vMerge w:val="continue"/>
            <w:tcBorders>
              <w:top w:val="nil"/>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硫化氢</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0.0102</w:t>
            </w:r>
          </w:p>
        </w:tc>
        <w:tc>
          <w:tcPr>
            <w:tcW w:w="1725"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0.009384</w:t>
            </w:r>
          </w:p>
        </w:tc>
        <w:tc>
          <w:tcPr>
            <w:tcW w:w="1272"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000816</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top w:val="single" w:color="auto" w:sz="4" w:space="0"/>
              <w:left w:val="single" w:color="auto" w:sz="4" w:space="0"/>
              <w:bottom w:val="single" w:color="auto" w:sz="4" w:space="0"/>
              <w:right w:val="nil"/>
            </w:tcBorders>
            <w:vAlign w:val="center"/>
          </w:tcPr>
          <w:p>
            <w:pPr>
              <w:pStyle w:val="107"/>
            </w:pPr>
          </w:p>
        </w:tc>
        <w:tc>
          <w:tcPr>
            <w:tcW w:w="1383" w:type="dxa"/>
            <w:tcBorders>
              <w:top w:val="nil"/>
              <w:left w:val="single" w:color="auto" w:sz="4" w:space="0"/>
              <w:bottom w:val="single" w:color="auto" w:sz="4" w:space="0"/>
              <w:right w:val="single" w:color="auto" w:sz="4" w:space="0"/>
            </w:tcBorders>
            <w:vAlign w:val="center"/>
          </w:tcPr>
          <w:p>
            <w:pPr>
              <w:pStyle w:val="107"/>
            </w:pPr>
            <w:r>
              <w:rPr>
                <w:rFonts w:hint="eastAsia"/>
              </w:rPr>
              <w:t>抛丸有组织</w:t>
            </w: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颗粒物</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2</w:t>
            </w:r>
          </w:p>
        </w:tc>
        <w:tc>
          <w:tcPr>
            <w:tcW w:w="1725"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.8</w:t>
            </w:r>
          </w:p>
        </w:tc>
        <w:tc>
          <w:tcPr>
            <w:tcW w:w="1272"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.2</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top w:val="single" w:color="auto" w:sz="4" w:space="0"/>
              <w:left w:val="single" w:color="auto" w:sz="4" w:space="0"/>
              <w:bottom w:val="single" w:color="auto" w:sz="4" w:space="0"/>
              <w:right w:val="nil"/>
            </w:tcBorders>
            <w:vAlign w:val="center"/>
          </w:tcPr>
          <w:p>
            <w:pPr>
              <w:pStyle w:val="107"/>
            </w:pPr>
          </w:p>
        </w:tc>
        <w:tc>
          <w:tcPr>
            <w:tcW w:w="1383" w:type="dxa"/>
            <w:vMerge w:val="restart"/>
            <w:tcBorders>
              <w:top w:val="nil"/>
              <w:left w:val="single" w:color="auto" w:sz="4" w:space="0"/>
              <w:bottom w:val="single" w:color="auto" w:sz="4" w:space="0"/>
              <w:right w:val="single" w:color="auto" w:sz="4" w:space="0"/>
            </w:tcBorders>
            <w:shd w:val="clear" w:color="auto" w:fill="auto"/>
            <w:vAlign w:val="center"/>
          </w:tcPr>
          <w:p>
            <w:pPr>
              <w:pStyle w:val="107"/>
            </w:pPr>
            <w:r>
              <w:rPr>
                <w:rFonts w:hint="eastAsia"/>
              </w:rPr>
              <w:t>无组织</w:t>
            </w: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颗粒物</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Style w:val="63"/>
                <w:color w:val="000000" w:themeColor="text1"/>
                <w14:textFill>
                  <w14:solidFill>
                    <w14:schemeClr w14:val="tx1"/>
                  </w14:solidFill>
                </w14:textFill>
              </w:rPr>
              <w:t>0.0</w:t>
            </w: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14048</w:t>
            </w:r>
            <w:r>
              <w:rPr>
                <w:rStyle w:val="63"/>
                <w:rFonts w:hint="eastAsia"/>
                <w:color w:val="000000" w:themeColor="text1"/>
                <w14:textFill>
                  <w14:solidFill>
                    <w14:schemeClr w14:val="tx1"/>
                  </w14:solidFill>
                </w14:textFill>
              </w:rPr>
              <w:t xml:space="preserve"> </w:t>
            </w:r>
          </w:p>
        </w:tc>
        <w:tc>
          <w:tcPr>
            <w:tcW w:w="1725" w:type="dxa"/>
            <w:tcBorders>
              <w:top w:val="nil"/>
              <w:left w:val="nil"/>
              <w:bottom w:val="single" w:color="auto" w:sz="4" w:space="0"/>
              <w:right w:val="single" w:color="auto" w:sz="4" w:space="0"/>
            </w:tcBorders>
            <w:shd w:val="clear" w:color="auto" w:fill="auto"/>
            <w:vAlign w:val="bottom"/>
          </w:tcPr>
          <w:p>
            <w:pPr>
              <w:pStyle w:val="107"/>
              <w:rPr>
                <w:rFonts w:eastAsia="等线" w:cs="Arial"/>
              </w:rPr>
            </w:pPr>
            <w:r>
              <w:rPr>
                <w:rFonts w:hint="eastAsia" w:eastAsia="等线" w:cs="Arial"/>
              </w:rPr>
              <w:t>0</w:t>
            </w:r>
          </w:p>
        </w:tc>
        <w:tc>
          <w:tcPr>
            <w:tcW w:w="1272"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Style w:val="63"/>
                <w:color w:val="000000" w:themeColor="text1"/>
                <w14:textFill>
                  <w14:solidFill>
                    <w14:schemeClr w14:val="tx1"/>
                  </w14:solidFill>
                </w14:textFill>
              </w:rPr>
              <w:t>0.0</w:t>
            </w: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14048</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top w:val="single" w:color="auto" w:sz="4" w:space="0"/>
              <w:left w:val="single" w:color="auto" w:sz="4" w:space="0"/>
              <w:bottom w:val="single" w:color="auto" w:sz="4" w:space="0"/>
              <w:right w:val="nil"/>
            </w:tcBorders>
            <w:vAlign w:val="center"/>
          </w:tcPr>
          <w:p>
            <w:pPr>
              <w:pStyle w:val="107"/>
            </w:pPr>
          </w:p>
        </w:tc>
        <w:tc>
          <w:tcPr>
            <w:tcW w:w="1383" w:type="dxa"/>
            <w:vMerge w:val="continue"/>
            <w:tcBorders>
              <w:top w:val="nil"/>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非甲烷总烃</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Style w:val="63"/>
                <w:color w:val="000000" w:themeColor="text1"/>
                <w14:textFill>
                  <w14:solidFill>
                    <w14:schemeClr w14:val="tx1"/>
                  </w14:solidFill>
                </w14:textFill>
              </w:rPr>
              <w:t>0.0</w:t>
            </w: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382</w:t>
            </w:r>
            <w:r>
              <w:rPr>
                <w:rStyle w:val="63"/>
                <w:rFonts w:hint="eastAsia"/>
                <w:color w:val="000000" w:themeColor="text1"/>
                <w14:textFill>
                  <w14:solidFill>
                    <w14:schemeClr w14:val="tx1"/>
                  </w14:solidFill>
                </w14:textFill>
              </w:rPr>
              <w:t xml:space="preserve"> </w:t>
            </w:r>
          </w:p>
        </w:tc>
        <w:tc>
          <w:tcPr>
            <w:tcW w:w="1725" w:type="dxa"/>
            <w:tcBorders>
              <w:top w:val="nil"/>
              <w:left w:val="nil"/>
              <w:bottom w:val="single" w:color="auto" w:sz="4" w:space="0"/>
              <w:right w:val="single" w:color="auto" w:sz="4" w:space="0"/>
            </w:tcBorders>
            <w:shd w:val="clear" w:color="auto" w:fill="auto"/>
            <w:vAlign w:val="bottom"/>
          </w:tcPr>
          <w:p>
            <w:pPr>
              <w:pStyle w:val="107"/>
              <w:rPr>
                <w:rFonts w:eastAsia="等线" w:cs="Arial"/>
              </w:rPr>
            </w:pPr>
            <w:r>
              <w:rPr>
                <w:rFonts w:hint="eastAsia" w:eastAsia="等线" w:cs="Arial"/>
              </w:rPr>
              <w:t>0</w:t>
            </w:r>
          </w:p>
        </w:tc>
        <w:tc>
          <w:tcPr>
            <w:tcW w:w="1272"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Style w:val="63"/>
                <w:color w:val="000000" w:themeColor="text1"/>
                <w14:textFill>
                  <w14:solidFill>
                    <w14:schemeClr w14:val="tx1"/>
                  </w14:solidFill>
                </w14:textFill>
              </w:rPr>
              <w:t>0.0</w:t>
            </w: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382</w:t>
            </w:r>
            <w:r>
              <w:rPr>
                <w:rStyle w:val="63"/>
                <w:rFonts w:hint="eastAsia"/>
                <w:color w:val="000000" w:themeColor="text1"/>
                <w14:textFill>
                  <w14:solidFill>
                    <w14:schemeClr w14:val="tx1"/>
                  </w14:solidFill>
                </w14:textFill>
              </w:rPr>
              <w:t xml:space="preserve"> </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top w:val="single" w:color="auto" w:sz="4" w:space="0"/>
              <w:left w:val="single" w:color="auto" w:sz="4" w:space="0"/>
              <w:bottom w:val="single" w:color="auto" w:sz="4" w:space="0"/>
              <w:right w:val="nil"/>
            </w:tcBorders>
            <w:vAlign w:val="center"/>
          </w:tcPr>
          <w:p>
            <w:pPr>
              <w:pStyle w:val="107"/>
            </w:pPr>
          </w:p>
        </w:tc>
        <w:tc>
          <w:tcPr>
            <w:tcW w:w="1383" w:type="dxa"/>
            <w:vMerge w:val="continue"/>
            <w:tcBorders>
              <w:top w:val="nil"/>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硫化氢</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Style w:val="63"/>
                <w:color w:val="000000" w:themeColor="text1"/>
                <w14:textFill>
                  <w14:solidFill>
                    <w14:schemeClr w14:val="tx1"/>
                  </w14:solidFill>
                </w14:textFill>
              </w:rPr>
              <w:t>0.00</w:t>
            </w:r>
            <w:r>
              <w:rPr>
                <w:rStyle w:val="63"/>
                <w:rFonts w:hint="eastAsia"/>
                <w:color w:val="000000" w:themeColor="text1"/>
                <w14:textFill>
                  <w14:solidFill>
                    <w14:schemeClr w14:val="tx1"/>
                  </w14:solidFill>
                </w14:textFill>
              </w:rPr>
              <w:t xml:space="preserve">1 </w:t>
            </w:r>
          </w:p>
        </w:tc>
        <w:tc>
          <w:tcPr>
            <w:tcW w:w="1725" w:type="dxa"/>
            <w:tcBorders>
              <w:top w:val="nil"/>
              <w:left w:val="nil"/>
              <w:bottom w:val="single" w:color="auto" w:sz="4" w:space="0"/>
              <w:right w:val="single" w:color="auto" w:sz="4" w:space="0"/>
            </w:tcBorders>
            <w:shd w:val="clear" w:color="auto" w:fill="auto"/>
            <w:vAlign w:val="bottom"/>
          </w:tcPr>
          <w:p>
            <w:pPr>
              <w:pStyle w:val="107"/>
              <w:rPr>
                <w:rFonts w:eastAsia="等线" w:cs="Arial"/>
              </w:rPr>
            </w:pPr>
            <w:r>
              <w:rPr>
                <w:rFonts w:hint="eastAsia" w:eastAsia="等线" w:cs="Arial"/>
              </w:rPr>
              <w:t>0</w:t>
            </w:r>
          </w:p>
        </w:tc>
        <w:tc>
          <w:tcPr>
            <w:tcW w:w="1272"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Style w:val="63"/>
                <w:color w:val="000000" w:themeColor="text1"/>
                <w14:textFill>
                  <w14:solidFill>
                    <w14:schemeClr w14:val="tx1"/>
                  </w14:solidFill>
                </w14:textFill>
              </w:rPr>
              <w:t>0.00</w:t>
            </w:r>
            <w:r>
              <w:rPr>
                <w:rStyle w:val="63"/>
                <w:rFonts w:hint="eastAsia"/>
                <w:color w:val="000000" w:themeColor="text1"/>
                <w14:textFill>
                  <w14:solidFill>
                    <w14:schemeClr w14:val="tx1"/>
                  </w14:solidFill>
                </w14:textFill>
              </w:rPr>
              <w:t xml:space="preserve">1 </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top w:val="single" w:color="auto" w:sz="4" w:space="0"/>
              <w:left w:val="single" w:color="auto" w:sz="4" w:space="0"/>
              <w:bottom w:val="single" w:color="auto" w:sz="4" w:space="0"/>
              <w:right w:val="nil"/>
            </w:tcBorders>
            <w:vAlign w:val="center"/>
          </w:tcPr>
          <w:p>
            <w:pPr>
              <w:pStyle w:val="107"/>
            </w:pPr>
          </w:p>
        </w:tc>
        <w:tc>
          <w:tcPr>
            <w:tcW w:w="1383" w:type="dxa"/>
            <w:vMerge w:val="continue"/>
            <w:tcBorders>
              <w:top w:val="nil"/>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t>VOCs</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.008</w:t>
            </w:r>
          </w:p>
        </w:tc>
        <w:tc>
          <w:tcPr>
            <w:tcW w:w="1725" w:type="dxa"/>
            <w:tcBorders>
              <w:top w:val="nil"/>
              <w:left w:val="nil"/>
              <w:bottom w:val="single" w:color="auto" w:sz="4" w:space="0"/>
              <w:right w:val="single" w:color="auto" w:sz="4" w:space="0"/>
            </w:tcBorders>
            <w:shd w:val="clear" w:color="auto" w:fill="auto"/>
            <w:vAlign w:val="bottom"/>
          </w:tcPr>
          <w:p>
            <w:pPr>
              <w:pStyle w:val="107"/>
              <w:rPr>
                <w:rFonts w:eastAsia="等线" w:cs="Arial"/>
              </w:rPr>
            </w:pPr>
            <w:r>
              <w:rPr>
                <w:rFonts w:hint="eastAsia" w:eastAsia="等线" w:cs="Arial"/>
              </w:rPr>
              <w:t>0</w:t>
            </w:r>
          </w:p>
        </w:tc>
        <w:tc>
          <w:tcPr>
            <w:tcW w:w="1272"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.008</w:t>
            </w:r>
          </w:p>
        </w:tc>
      </w:tr>
      <w:tr>
        <w:tblPrEx>
          <w:tblLayout w:type="fixed"/>
          <w:tblCellMar>
            <w:top w:w="0" w:type="dxa"/>
            <w:left w:w="108" w:type="dxa"/>
            <w:bottom w:w="0" w:type="dxa"/>
            <w:right w:w="108" w:type="dxa"/>
          </w:tblCellMar>
        </w:tblPrEx>
        <w:trPr>
          <w:trHeight w:val="20" w:hRule="atLeast"/>
        </w:trPr>
        <w:tc>
          <w:tcPr>
            <w:tcW w:w="851" w:type="dxa"/>
            <w:vMerge w:val="continue"/>
            <w:tcBorders>
              <w:top w:val="single" w:color="auto" w:sz="4" w:space="0"/>
              <w:left w:val="single" w:color="auto" w:sz="4" w:space="0"/>
              <w:bottom w:val="single" w:color="auto" w:sz="4" w:space="0"/>
              <w:right w:val="nil"/>
            </w:tcBorders>
            <w:vAlign w:val="center"/>
          </w:tcPr>
          <w:p>
            <w:pPr>
              <w:pStyle w:val="107"/>
            </w:pPr>
          </w:p>
        </w:tc>
        <w:tc>
          <w:tcPr>
            <w:tcW w:w="1383" w:type="dxa"/>
            <w:vMerge w:val="continue"/>
            <w:tcBorders>
              <w:top w:val="nil"/>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恶臭</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4396" w:type="dxa"/>
            <w:gridSpan w:val="4"/>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少量</w:t>
            </w:r>
          </w:p>
        </w:tc>
      </w:tr>
      <w:tr>
        <w:tblPrEx>
          <w:tblLayout w:type="fixed"/>
          <w:tblCellMar>
            <w:top w:w="0" w:type="dxa"/>
            <w:left w:w="108" w:type="dxa"/>
            <w:bottom w:w="0" w:type="dxa"/>
            <w:right w:w="108" w:type="dxa"/>
          </w:tblCellMar>
        </w:tblPrEx>
        <w:trPr>
          <w:trHeight w:val="20" w:hRule="atLeast"/>
        </w:trPr>
        <w:tc>
          <w:tcPr>
            <w:tcW w:w="851" w:type="dxa"/>
            <w:vMerge w:val="restart"/>
            <w:tcBorders>
              <w:top w:val="nil"/>
              <w:left w:val="single" w:color="auto" w:sz="4" w:space="0"/>
              <w:bottom w:val="single" w:color="auto" w:sz="4" w:space="0"/>
              <w:right w:val="single" w:color="auto" w:sz="4" w:space="0"/>
            </w:tcBorders>
            <w:shd w:val="clear" w:color="auto" w:fill="auto"/>
            <w:vAlign w:val="center"/>
          </w:tcPr>
          <w:p>
            <w:pPr>
              <w:pStyle w:val="107"/>
            </w:pPr>
            <w:r>
              <w:rPr>
                <w:rFonts w:hint="eastAsia"/>
              </w:rPr>
              <w:t>固体废物</w:t>
            </w:r>
          </w:p>
        </w:tc>
        <w:tc>
          <w:tcPr>
            <w:tcW w:w="1383" w:type="dxa"/>
            <w:vMerge w:val="restart"/>
            <w:tcBorders>
              <w:top w:val="nil"/>
              <w:left w:val="single" w:color="auto" w:sz="4" w:space="0"/>
              <w:bottom w:val="single" w:color="000000" w:sz="4" w:space="0"/>
              <w:right w:val="single" w:color="auto" w:sz="4" w:space="0"/>
            </w:tcBorders>
            <w:shd w:val="clear" w:color="auto" w:fill="auto"/>
            <w:vAlign w:val="center"/>
          </w:tcPr>
          <w:p>
            <w:pPr>
              <w:pStyle w:val="107"/>
            </w:pPr>
            <w:r>
              <w:rPr>
                <w:rFonts w:hint="eastAsia"/>
              </w:rPr>
              <w:t>一般工业固体废弃物</w:t>
            </w: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除尘灰</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 xml:space="preserve">0.402 </w:t>
            </w:r>
          </w:p>
        </w:tc>
        <w:tc>
          <w:tcPr>
            <w:tcW w:w="3015" w:type="dxa"/>
            <w:gridSpan w:val="3"/>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eastAsia="等线" w:cs="Arial"/>
              </w:rPr>
            </w:pPr>
            <w:r>
              <w:rPr>
                <w:rFonts w:hint="eastAsia" w:cs="Arial"/>
              </w:rPr>
              <w:t>固体废物处理处置率</w:t>
            </w:r>
            <w:r>
              <w:rPr>
                <w:rFonts w:eastAsia="等线" w:cs="Arial"/>
              </w:rPr>
              <w:t>100%</w:t>
            </w: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vMerge w:val="continue"/>
            <w:tcBorders>
              <w:top w:val="nil"/>
              <w:left w:val="single" w:color="auto" w:sz="4" w:space="0"/>
              <w:bottom w:val="single" w:color="000000"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切胶边角料</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 xml:space="preserve">8 </w:t>
            </w:r>
          </w:p>
        </w:tc>
        <w:tc>
          <w:tcPr>
            <w:tcW w:w="3015" w:type="dxa"/>
            <w:gridSpan w:val="3"/>
            <w:vMerge w:val="continue"/>
            <w:tcBorders>
              <w:top w:val="nil"/>
              <w:left w:val="nil"/>
              <w:bottom w:val="single" w:color="auto" w:sz="4" w:space="0"/>
              <w:right w:val="single" w:color="auto" w:sz="4" w:space="0"/>
            </w:tcBorders>
            <w:vAlign w:val="center"/>
          </w:tcPr>
          <w:p>
            <w:pPr>
              <w:pStyle w:val="107"/>
              <w:rPr>
                <w:rFonts w:eastAsia="等线" w:cs="Arial"/>
              </w:rPr>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vMerge w:val="continue"/>
            <w:tcBorders>
              <w:top w:val="nil"/>
              <w:left w:val="single" w:color="auto" w:sz="4" w:space="0"/>
              <w:bottom w:val="single" w:color="000000"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废包装材料</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 xml:space="preserve">0.35 </w:t>
            </w:r>
          </w:p>
        </w:tc>
        <w:tc>
          <w:tcPr>
            <w:tcW w:w="3015" w:type="dxa"/>
            <w:gridSpan w:val="3"/>
            <w:vMerge w:val="continue"/>
            <w:tcBorders>
              <w:top w:val="nil"/>
              <w:left w:val="nil"/>
              <w:bottom w:val="single" w:color="auto" w:sz="4" w:space="0"/>
              <w:right w:val="single" w:color="auto" w:sz="4" w:space="0"/>
            </w:tcBorders>
            <w:vAlign w:val="center"/>
          </w:tcPr>
          <w:p>
            <w:pPr>
              <w:pStyle w:val="107"/>
              <w:rPr>
                <w:rFonts w:eastAsia="等线" w:cs="Arial"/>
              </w:rPr>
            </w:pPr>
          </w:p>
        </w:tc>
      </w:tr>
      <w:tr>
        <w:tblPrEx>
          <w:tblLayout w:type="fixed"/>
          <w:tblCellMar>
            <w:top w:w="0" w:type="dxa"/>
            <w:left w:w="108" w:type="dxa"/>
            <w:bottom w:w="0" w:type="dxa"/>
            <w:right w:w="108" w:type="dxa"/>
          </w:tblCellMar>
        </w:tblPrEx>
        <w:trPr>
          <w:trHeight w:val="362"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vMerge w:val="continue"/>
            <w:tcBorders>
              <w:top w:val="nil"/>
              <w:left w:val="single" w:color="auto" w:sz="4" w:space="0"/>
              <w:bottom w:val="single" w:color="000000"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修边边角料</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2</w:t>
            </w:r>
          </w:p>
        </w:tc>
        <w:tc>
          <w:tcPr>
            <w:tcW w:w="3015" w:type="dxa"/>
            <w:gridSpan w:val="3"/>
            <w:vMerge w:val="continue"/>
            <w:tcBorders>
              <w:top w:val="nil"/>
              <w:left w:val="nil"/>
              <w:bottom w:val="single" w:color="auto" w:sz="4" w:space="0"/>
              <w:right w:val="single" w:color="auto" w:sz="4" w:space="0"/>
            </w:tcBorders>
            <w:vAlign w:val="center"/>
          </w:tcPr>
          <w:p>
            <w:pPr>
              <w:pStyle w:val="107"/>
              <w:rPr>
                <w:rFonts w:eastAsia="等线" w:cs="Arial"/>
              </w:rPr>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vMerge w:val="continue"/>
            <w:tcBorders>
              <w:top w:val="nil"/>
              <w:left w:val="single" w:color="auto" w:sz="4" w:space="0"/>
              <w:bottom w:val="single" w:color="000000"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不合格品</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hint="eastAsia"/>
              </w:rPr>
              <w:t>9.</w:t>
            </w:r>
            <w:r>
              <w:t>2627</w:t>
            </w:r>
          </w:p>
        </w:tc>
        <w:tc>
          <w:tcPr>
            <w:tcW w:w="3015" w:type="dxa"/>
            <w:gridSpan w:val="3"/>
            <w:vMerge w:val="continue"/>
            <w:tcBorders>
              <w:top w:val="nil"/>
              <w:left w:val="nil"/>
              <w:bottom w:val="single" w:color="auto" w:sz="4" w:space="0"/>
              <w:right w:val="single" w:color="auto" w:sz="4" w:space="0"/>
            </w:tcBorders>
            <w:vAlign w:val="center"/>
          </w:tcPr>
          <w:p>
            <w:pPr>
              <w:pStyle w:val="107"/>
              <w:rPr>
                <w:rFonts w:eastAsia="等线" w:cs="Arial"/>
              </w:rPr>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vMerge w:val="continue"/>
            <w:tcBorders>
              <w:top w:val="nil"/>
              <w:left w:val="single" w:color="auto" w:sz="4" w:space="0"/>
              <w:bottom w:val="single" w:color="000000"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抛丸收集粉尘</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t>1.8</w:t>
            </w:r>
          </w:p>
        </w:tc>
        <w:tc>
          <w:tcPr>
            <w:tcW w:w="3015" w:type="dxa"/>
            <w:gridSpan w:val="3"/>
            <w:vMerge w:val="continue"/>
            <w:tcBorders>
              <w:top w:val="nil"/>
              <w:left w:val="nil"/>
              <w:bottom w:val="single" w:color="auto" w:sz="4" w:space="0"/>
              <w:right w:val="single" w:color="auto" w:sz="4" w:space="0"/>
            </w:tcBorders>
            <w:vAlign w:val="center"/>
          </w:tcPr>
          <w:p>
            <w:pPr>
              <w:pStyle w:val="107"/>
              <w:rPr>
                <w:rFonts w:eastAsia="等线" w:cs="Arial"/>
              </w:rPr>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vMerge w:val="restart"/>
            <w:tcBorders>
              <w:top w:val="nil"/>
              <w:left w:val="single" w:color="auto" w:sz="4" w:space="0"/>
              <w:bottom w:val="single" w:color="000000" w:sz="4" w:space="0"/>
              <w:right w:val="single" w:color="auto" w:sz="4" w:space="0"/>
            </w:tcBorders>
            <w:shd w:val="clear" w:color="auto" w:fill="auto"/>
            <w:vAlign w:val="center"/>
          </w:tcPr>
          <w:p>
            <w:pPr>
              <w:pStyle w:val="107"/>
            </w:pPr>
            <w:r>
              <w:rPr>
                <w:rFonts w:hint="eastAsia"/>
              </w:rPr>
              <w:t>危险废物</w:t>
            </w: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废饱和活性炭</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0.671</w:t>
            </w:r>
          </w:p>
        </w:tc>
        <w:tc>
          <w:tcPr>
            <w:tcW w:w="3015" w:type="dxa"/>
            <w:gridSpan w:val="3"/>
            <w:vMerge w:val="continue"/>
            <w:tcBorders>
              <w:top w:val="nil"/>
              <w:left w:val="nil"/>
              <w:bottom w:val="single" w:color="auto" w:sz="4" w:space="0"/>
              <w:right w:val="single" w:color="auto" w:sz="4" w:space="0"/>
            </w:tcBorders>
            <w:vAlign w:val="center"/>
          </w:tcPr>
          <w:p>
            <w:pPr>
              <w:pStyle w:val="107"/>
              <w:rPr>
                <w:rFonts w:eastAsia="等线" w:cs="Arial"/>
              </w:rPr>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vMerge w:val="continue"/>
            <w:tcBorders>
              <w:top w:val="nil"/>
              <w:left w:val="single" w:color="auto" w:sz="4" w:space="0"/>
              <w:bottom w:val="single" w:color="000000"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废润滑油</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0.8</w:t>
            </w:r>
          </w:p>
        </w:tc>
        <w:tc>
          <w:tcPr>
            <w:tcW w:w="3015" w:type="dxa"/>
            <w:gridSpan w:val="3"/>
            <w:vMerge w:val="continue"/>
            <w:tcBorders>
              <w:top w:val="nil"/>
              <w:left w:val="nil"/>
              <w:bottom w:val="single" w:color="auto" w:sz="4" w:space="0"/>
              <w:right w:val="single" w:color="auto" w:sz="4" w:space="0"/>
            </w:tcBorders>
            <w:vAlign w:val="center"/>
          </w:tcPr>
          <w:p>
            <w:pPr>
              <w:pStyle w:val="107"/>
              <w:rPr>
                <w:rFonts w:eastAsia="等线" w:cs="Arial"/>
              </w:rPr>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vMerge w:val="continue"/>
            <w:tcBorders>
              <w:top w:val="nil"/>
              <w:left w:val="single" w:color="auto" w:sz="4" w:space="0"/>
              <w:bottom w:val="single" w:color="000000"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含油废抹布</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 xml:space="preserve">0.1 </w:t>
            </w:r>
          </w:p>
        </w:tc>
        <w:tc>
          <w:tcPr>
            <w:tcW w:w="3015" w:type="dxa"/>
            <w:gridSpan w:val="3"/>
            <w:vMerge w:val="continue"/>
            <w:tcBorders>
              <w:top w:val="nil"/>
              <w:left w:val="nil"/>
              <w:bottom w:val="single" w:color="auto" w:sz="4" w:space="0"/>
              <w:right w:val="single" w:color="auto" w:sz="4" w:space="0"/>
            </w:tcBorders>
            <w:vAlign w:val="center"/>
          </w:tcPr>
          <w:p>
            <w:pPr>
              <w:pStyle w:val="107"/>
              <w:rPr>
                <w:rFonts w:eastAsia="等线" w:cs="Arial"/>
              </w:rPr>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tcBorders>
              <w:top w:val="nil"/>
              <w:left w:val="nil"/>
              <w:bottom w:val="single" w:color="auto" w:sz="4" w:space="0"/>
              <w:right w:val="single" w:color="auto" w:sz="4" w:space="0"/>
            </w:tcBorders>
            <w:shd w:val="clear" w:color="auto" w:fill="auto"/>
            <w:vAlign w:val="center"/>
          </w:tcPr>
          <w:p>
            <w:pPr>
              <w:pStyle w:val="107"/>
            </w:pPr>
            <w:r>
              <w:rPr>
                <w:rFonts w:hint="eastAsia"/>
              </w:rPr>
              <w:t>生活垃圾</w:t>
            </w: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生活垃圾</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eastAsia="等线" w:cs="Arial"/>
              </w:rPr>
              <w:t>4.5</w:t>
            </w:r>
          </w:p>
        </w:tc>
        <w:tc>
          <w:tcPr>
            <w:tcW w:w="3015" w:type="dxa"/>
            <w:gridSpan w:val="3"/>
            <w:vMerge w:val="continue"/>
            <w:tcBorders>
              <w:top w:val="nil"/>
              <w:left w:val="nil"/>
              <w:bottom w:val="single" w:color="auto" w:sz="4" w:space="0"/>
              <w:right w:val="single" w:color="auto" w:sz="4" w:space="0"/>
            </w:tcBorders>
            <w:vAlign w:val="center"/>
          </w:tcPr>
          <w:p>
            <w:pPr>
              <w:pStyle w:val="107"/>
              <w:rPr>
                <w:rFonts w:eastAsia="等线" w:cs="Arial"/>
              </w:rPr>
            </w:pPr>
          </w:p>
        </w:tc>
      </w:tr>
    </w:tbl>
    <w:p>
      <w:pPr>
        <w:pStyle w:val="4"/>
      </w:pPr>
      <w:bookmarkStart w:id="241" w:name="_Toc3538787"/>
      <w:bookmarkStart w:id="242" w:name="_Toc13346"/>
      <w:bookmarkStart w:id="243" w:name="_Toc331536133"/>
      <w:r>
        <w:rPr>
          <w:rFonts w:hint="eastAsia"/>
        </w:rPr>
        <w:t>污染物总量控制因子</w:t>
      </w:r>
      <w:bookmarkEnd w:id="241"/>
    </w:p>
    <w:p>
      <w:pPr>
        <w:ind w:firstLine="480"/>
      </w:pPr>
      <w:r>
        <w:rPr>
          <w:rFonts w:hint="eastAsia"/>
        </w:rPr>
        <w:t>根据国家“十三五”期间对污染物排放总量控制指标和《广东省环境保护“十三五”规划》（粤环〔2016〕51号）的要求，规定总量控制因子为化学需氧量、氨氮、二氧化硫、氮氧化物和挥发性有机物（VOCs）；</w:t>
      </w:r>
      <w:r>
        <w:rPr>
          <w:rFonts w:hint="eastAsia" w:eastAsiaTheme="minorEastAsia"/>
          <w:lang w:val="zh-CN"/>
        </w:rPr>
        <w:t>根据《广东省大气污染防治条例》（2019年3月1日起施行）第十二条：重点大气污染物排放实行总量控制制度。重点大气污染物包括国家确定的二氧化硫、氮氧化物等污染物和本省确定的挥发性有机物等污染物。</w:t>
      </w:r>
    </w:p>
    <w:p>
      <w:pPr>
        <w:ind w:firstLine="480"/>
      </w:pPr>
      <w:r>
        <w:rPr>
          <w:rFonts w:hint="eastAsia"/>
        </w:rPr>
        <w:t>根据国家环保部和广东省人民政府对建设项目排放污染物实施总量控制的要求，针对本项目的具体排污情况，结合本项目排污特征，确定总量控制因子如下。</w:t>
      </w:r>
    </w:p>
    <w:p>
      <w:pPr>
        <w:ind w:firstLine="480"/>
      </w:pPr>
      <w:r>
        <w:rPr>
          <w:rFonts w:hint="eastAsia"/>
        </w:rPr>
        <w:t>废水污染物：COD</w:t>
      </w:r>
      <w:r>
        <w:rPr>
          <w:rFonts w:hint="eastAsia"/>
          <w:vertAlign w:val="subscript"/>
        </w:rPr>
        <w:t>Cr</w:t>
      </w:r>
      <w:r>
        <w:rPr>
          <w:rFonts w:hint="eastAsia"/>
        </w:rPr>
        <w:t>、</w:t>
      </w:r>
      <w:r>
        <w:rPr>
          <w:rFonts w:cs="TimesNewRomanPSMT" w:eastAsiaTheme="minorEastAsia"/>
        </w:rPr>
        <w:t>NH</w:t>
      </w:r>
      <w:r>
        <w:rPr>
          <w:rFonts w:cs="TimesNewRomanPSMT" w:eastAsiaTheme="minorEastAsia"/>
          <w:vertAlign w:val="subscript"/>
        </w:rPr>
        <w:t>3</w:t>
      </w:r>
      <w:r>
        <w:rPr>
          <w:rFonts w:cs="TimesNewRomanPSMT" w:eastAsiaTheme="minorEastAsia"/>
        </w:rPr>
        <w:t>-N</w:t>
      </w:r>
      <w:r>
        <w:rPr>
          <w:rFonts w:hint="eastAsia"/>
        </w:rPr>
        <w:t>；</w:t>
      </w:r>
    </w:p>
    <w:p>
      <w:pPr>
        <w:ind w:firstLine="480"/>
        <w:rPr>
          <w:rFonts w:eastAsiaTheme="minorEastAsia"/>
        </w:rPr>
      </w:pPr>
      <w:r>
        <w:rPr>
          <w:rFonts w:hint="eastAsia"/>
        </w:rPr>
        <w:t>废气污染物：VOCs（以非甲烷总烃计）。</w:t>
      </w:r>
    </w:p>
    <w:p>
      <w:pPr>
        <w:ind w:firstLine="480"/>
        <w:rPr>
          <w:rFonts w:eastAsiaTheme="minorEastAsia"/>
        </w:rPr>
      </w:pPr>
      <w:r>
        <w:rPr>
          <w:rFonts w:hint="eastAsia" w:eastAsiaTheme="minorEastAsia"/>
        </w:rPr>
        <w:t>基于前文工程分析，本项目生活污水经三级化粪池处理后排至污水处理厂，废水排放量为</w:t>
      </w:r>
      <w:r>
        <w:rPr>
          <w:rStyle w:val="63"/>
          <w:color w:val="000000" w:themeColor="text1"/>
          <w14:textFill>
            <w14:solidFill>
              <w14:schemeClr w14:val="tx1"/>
            </w14:solidFill>
          </w14:textFill>
        </w:rPr>
        <w:t>324</w:t>
      </w:r>
      <w:r>
        <w:rPr>
          <w:rFonts w:cs="TimesNewRomanPSMT" w:eastAsiaTheme="minorEastAsia"/>
          <w:color w:val="000000" w:themeColor="text1"/>
          <w14:textFill>
            <w14:solidFill>
              <w14:schemeClr w14:val="tx1"/>
            </w14:solidFill>
          </w14:textFill>
        </w:rPr>
        <w:t>m</w:t>
      </w:r>
      <w:r>
        <w:rPr>
          <w:rFonts w:cs="TimesNewRomanPSMT" w:eastAsiaTheme="minorEastAsia"/>
          <w:color w:val="000000" w:themeColor="text1"/>
          <w:sz w:val="16"/>
          <w:szCs w:val="16"/>
          <w:vertAlign w:val="superscript"/>
          <w14:textFill>
            <w14:solidFill>
              <w14:schemeClr w14:val="tx1"/>
            </w14:solidFill>
          </w14:textFill>
        </w:rPr>
        <w:t>3</w:t>
      </w:r>
      <w:r>
        <w:rPr>
          <w:rFonts w:cs="TimesNewRomanPSMT" w:eastAsiaTheme="minorEastAsia"/>
          <w:color w:val="000000" w:themeColor="text1"/>
          <w14:textFill>
            <w14:solidFill>
              <w14:schemeClr w14:val="tx1"/>
            </w14:solidFill>
          </w14:textFill>
        </w:rPr>
        <w:t>/a</w:t>
      </w:r>
      <w:r>
        <w:rPr>
          <w:rFonts w:hint="eastAsia" w:eastAsiaTheme="minorEastAsia"/>
          <w:color w:val="000000" w:themeColor="text1"/>
          <w14:textFill>
            <w14:solidFill>
              <w14:schemeClr w14:val="tx1"/>
            </w14:solidFill>
          </w14:textFill>
        </w:rPr>
        <w:t>，</w:t>
      </w:r>
      <w:r>
        <w:rPr>
          <w:rFonts w:cs="TimesNewRomanPSMT" w:eastAsiaTheme="minorEastAsia"/>
          <w:color w:val="000000" w:themeColor="text1"/>
          <w14:textFill>
            <w14:solidFill>
              <w14:schemeClr w14:val="tx1"/>
            </w14:solidFill>
          </w14:textFill>
        </w:rPr>
        <w:t>COD</w:t>
      </w:r>
      <w:r>
        <w:rPr>
          <w:rFonts w:cs="TimesNewRomanPSMT" w:eastAsiaTheme="minorEastAsia"/>
          <w:color w:val="000000" w:themeColor="text1"/>
          <w:sz w:val="16"/>
          <w:szCs w:val="16"/>
          <w14:textFill>
            <w14:solidFill>
              <w14:schemeClr w14:val="tx1"/>
            </w14:solidFill>
          </w14:textFill>
        </w:rPr>
        <w:t>cr</w:t>
      </w:r>
      <w:r>
        <w:rPr>
          <w:rFonts w:hint="eastAsia" w:eastAsiaTheme="minorEastAsia"/>
          <w:color w:val="000000" w:themeColor="text1"/>
          <w14:textFill>
            <w14:solidFill>
              <w14:schemeClr w14:val="tx1"/>
            </w14:solidFill>
          </w14:textFill>
        </w:rPr>
        <w:t>排放量为</w:t>
      </w:r>
      <w:r>
        <w:rPr>
          <w:rStyle w:val="63"/>
          <w:color w:val="000000" w:themeColor="text1"/>
          <w14:textFill>
            <w14:solidFill>
              <w14:schemeClr w14:val="tx1"/>
            </w14:solidFill>
          </w14:textFill>
        </w:rPr>
        <w:t xml:space="preserve">0.073 </w:t>
      </w:r>
      <w:r>
        <w:rPr>
          <w:rFonts w:cs="TimesNewRomanPSMT" w:eastAsiaTheme="minorEastAsia"/>
          <w:color w:val="000000" w:themeColor="text1"/>
          <w14:textFill>
            <w14:solidFill>
              <w14:schemeClr w14:val="tx1"/>
            </w14:solidFill>
          </w14:textFill>
        </w:rPr>
        <w:t>t/a</w:t>
      </w:r>
      <w:r>
        <w:rPr>
          <w:rFonts w:hint="eastAsia" w:eastAsiaTheme="minorEastAsia"/>
          <w:color w:val="000000" w:themeColor="text1"/>
          <w14:textFill>
            <w14:solidFill>
              <w14:schemeClr w14:val="tx1"/>
            </w14:solidFill>
          </w14:textFill>
        </w:rPr>
        <w:t>，</w:t>
      </w:r>
      <w:r>
        <w:rPr>
          <w:rFonts w:cs="TimesNewRomanPSMT" w:eastAsiaTheme="minorEastAsia"/>
          <w:color w:val="000000" w:themeColor="text1"/>
          <w14:textFill>
            <w14:solidFill>
              <w14:schemeClr w14:val="tx1"/>
            </w14:solidFill>
          </w14:textFill>
        </w:rPr>
        <w:t>NH</w:t>
      </w:r>
      <w:r>
        <w:rPr>
          <w:rFonts w:cs="TimesNewRomanPSMT" w:eastAsiaTheme="minorEastAsia"/>
          <w:color w:val="000000" w:themeColor="text1"/>
          <w:sz w:val="16"/>
          <w:szCs w:val="16"/>
          <w14:textFill>
            <w14:solidFill>
              <w14:schemeClr w14:val="tx1"/>
            </w14:solidFill>
          </w14:textFill>
        </w:rPr>
        <w:t>3</w:t>
      </w:r>
      <w:r>
        <w:rPr>
          <w:rFonts w:cs="TimesNewRomanPSMT" w:eastAsiaTheme="minorEastAsia"/>
          <w:color w:val="000000" w:themeColor="text1"/>
          <w14:textFill>
            <w14:solidFill>
              <w14:schemeClr w14:val="tx1"/>
            </w14:solidFill>
          </w14:textFill>
        </w:rPr>
        <w:t>-N</w:t>
      </w:r>
      <w:r>
        <w:rPr>
          <w:rFonts w:hint="eastAsia" w:eastAsiaTheme="minorEastAsia"/>
          <w:color w:val="000000" w:themeColor="text1"/>
          <w14:textFill>
            <w14:solidFill>
              <w14:schemeClr w14:val="tx1"/>
            </w14:solidFill>
          </w14:textFill>
        </w:rPr>
        <w:t>排放量为</w:t>
      </w:r>
      <w:r>
        <w:rPr>
          <w:rStyle w:val="63"/>
          <w:color w:val="000000" w:themeColor="text1"/>
          <w14:textFill>
            <w14:solidFill>
              <w14:schemeClr w14:val="tx1"/>
            </w14:solidFill>
          </w14:textFill>
        </w:rPr>
        <w:t>0.0097</w:t>
      </w:r>
      <w:r>
        <w:rPr>
          <w:rFonts w:cs="TimesNewRomanPSMT" w:eastAsiaTheme="minorEastAsia"/>
          <w:color w:val="000000" w:themeColor="text1"/>
          <w14:textFill>
            <w14:solidFill>
              <w14:schemeClr w14:val="tx1"/>
            </w14:solidFill>
          </w14:textFill>
        </w:rPr>
        <w:t>t/a</w:t>
      </w:r>
      <w:r>
        <w:rPr>
          <w:rFonts w:hint="eastAsia" w:eastAsiaTheme="minorEastAsia"/>
          <w:color w:val="000000" w:themeColor="text1"/>
          <w14:textFill>
            <w14:solidFill>
              <w14:schemeClr w14:val="tx1"/>
            </w14:solidFill>
          </w14:textFill>
        </w:rPr>
        <w:t>；</w:t>
      </w:r>
      <w:r>
        <w:rPr>
          <w:rFonts w:hint="eastAsia" w:eastAsiaTheme="minorEastAsia"/>
        </w:rPr>
        <w:t>污水总量指标计入污水处理厂的总量控制指标中，建议不分配总量。项目炼胶特征污染物为</w:t>
      </w:r>
      <w:r>
        <w:rPr>
          <w:rFonts w:hint="eastAsia"/>
        </w:rPr>
        <w:t>VOCs（以非甲烷总烃计）</w:t>
      </w:r>
      <w:r>
        <w:rPr>
          <w:rFonts w:hint="eastAsia" w:eastAsiaTheme="minorEastAsia"/>
        </w:rPr>
        <w:t>有组织排放量为</w:t>
      </w:r>
      <w:r>
        <w:rPr>
          <w:rStyle w:val="63"/>
          <w:color w:val="000000" w:themeColor="text1"/>
          <w14:textFill>
            <w14:solidFill>
              <w14:schemeClr w14:val="tx1"/>
            </w14:solidFill>
          </w14:textFill>
        </w:rPr>
        <w:t>0.0</w:t>
      </w: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1935</w:t>
      </w:r>
      <w:r>
        <w:rPr>
          <w:rFonts w:cs="TimesNewRomanPSMT" w:eastAsiaTheme="minorEastAsia"/>
        </w:rPr>
        <w:t>t/a</w:t>
      </w:r>
      <w:r>
        <w:rPr>
          <w:rFonts w:hint="eastAsia" w:cs="TimesNewRomanPSMT" w:eastAsiaTheme="minorEastAsia"/>
        </w:rPr>
        <w:t>，</w:t>
      </w:r>
      <w:r>
        <w:rPr>
          <w:rFonts w:hint="eastAsia" w:cs="TimesNewRomanPSMT" w:eastAsiaTheme="minorEastAsia"/>
          <w:color w:val="000000" w:themeColor="text1"/>
          <w14:textFill>
            <w14:solidFill>
              <w14:schemeClr w14:val="tx1"/>
            </w14:solidFill>
          </w14:textFill>
        </w:rPr>
        <w:t>无组织排放量为</w:t>
      </w:r>
      <w:r>
        <w:rPr>
          <w:rStyle w:val="63"/>
          <w:color w:val="000000" w:themeColor="text1"/>
          <w14:textFill>
            <w14:solidFill>
              <w14:schemeClr w14:val="tx1"/>
            </w14:solidFill>
          </w14:textFill>
        </w:rPr>
        <w:t>0.0</w:t>
      </w: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382</w:t>
      </w:r>
      <w:r>
        <w:rPr>
          <w:rFonts w:cs="TimesNewRomanPSMT" w:eastAsiaTheme="minorEastAsia"/>
          <w:color w:val="000000" w:themeColor="text1"/>
          <w14:textFill>
            <w14:solidFill>
              <w14:schemeClr w14:val="tx1"/>
            </w14:solidFill>
          </w14:textFill>
        </w:rPr>
        <w:t xml:space="preserve"> t/a</w:t>
      </w:r>
      <w:r>
        <w:rPr>
          <w:rFonts w:hint="eastAsia" w:cs="TimesNewRomanPSMT" w:eastAsiaTheme="minorEastAsia"/>
          <w:color w:val="000000" w:themeColor="text1"/>
          <w14:textFill>
            <w14:solidFill>
              <w14:schemeClr w14:val="tx1"/>
            </w14:solidFill>
          </w14:textFill>
        </w:rPr>
        <w:t>，总排放量为</w:t>
      </w:r>
      <w:r>
        <w:rPr>
          <w:rFonts w:cs="TimesNewRomanPSMT" w:eastAsiaTheme="minorEastAsia"/>
          <w:color w:val="000000" w:themeColor="text1"/>
          <w14:textFill>
            <w14:solidFill>
              <w14:schemeClr w14:val="tx1"/>
            </w14:solidFill>
          </w14:textFill>
        </w:rPr>
        <w:t>0.045755 t/a</w:t>
      </w:r>
      <w:r>
        <w:rPr>
          <w:rFonts w:hint="eastAsia" w:cs="TimesNewRomanPSMT" w:eastAsiaTheme="minorEastAsia"/>
          <w:color w:val="000000" w:themeColor="text1"/>
          <w14:textFill>
            <w14:solidFill>
              <w14:schemeClr w14:val="tx1"/>
            </w14:solidFill>
          </w14:textFill>
        </w:rPr>
        <w:t>，粘胶V</w:t>
      </w:r>
      <w:r>
        <w:rPr>
          <w:rFonts w:cs="TimesNewRomanPSMT" w:eastAsiaTheme="minorEastAsia"/>
          <w:color w:val="000000" w:themeColor="text1"/>
          <w14:textFill>
            <w14:solidFill>
              <w14:schemeClr w14:val="tx1"/>
            </w14:solidFill>
          </w14:textFill>
        </w:rPr>
        <w:t>OCs</w:t>
      </w:r>
      <w:r>
        <w:rPr>
          <w:rFonts w:hint="eastAsia" w:cs="TimesNewRomanPSMT" w:eastAsiaTheme="minorEastAsia"/>
          <w:color w:val="000000" w:themeColor="text1"/>
          <w14:textFill>
            <w14:solidFill>
              <w14:schemeClr w14:val="tx1"/>
            </w14:solidFill>
          </w14:textFill>
        </w:rPr>
        <w:t>无组织排放0</w:t>
      </w:r>
      <w:r>
        <w:rPr>
          <w:rFonts w:cs="TimesNewRomanPSMT" w:eastAsiaTheme="minorEastAsia"/>
          <w:color w:val="000000" w:themeColor="text1"/>
          <w14:textFill>
            <w14:solidFill>
              <w14:schemeClr w14:val="tx1"/>
            </w14:solidFill>
          </w14:textFill>
        </w:rPr>
        <w:t>.008</w:t>
      </w:r>
      <w:r>
        <w:rPr>
          <w:rFonts w:hint="eastAsia" w:cs="TimesNewRomanPSMT" w:eastAsiaTheme="minorEastAsia"/>
          <w:color w:val="000000" w:themeColor="text1"/>
          <w14:textFill>
            <w14:solidFill>
              <w14:schemeClr w14:val="tx1"/>
            </w14:solidFill>
          </w14:textFill>
        </w:rPr>
        <w:t>t/a，V</w:t>
      </w:r>
      <w:r>
        <w:rPr>
          <w:rFonts w:cs="TimesNewRomanPSMT" w:eastAsiaTheme="minorEastAsia"/>
          <w:color w:val="000000" w:themeColor="text1"/>
          <w14:textFill>
            <w14:solidFill>
              <w14:schemeClr w14:val="tx1"/>
            </w14:solidFill>
          </w14:textFill>
        </w:rPr>
        <w:t>OCs</w:t>
      </w:r>
      <w:r>
        <w:rPr>
          <w:rFonts w:hint="eastAsia" w:cs="TimesNewRomanPSMT" w:eastAsiaTheme="minorEastAsia"/>
          <w:color w:val="000000" w:themeColor="text1"/>
          <w14:textFill>
            <w14:solidFill>
              <w14:schemeClr w14:val="tx1"/>
            </w14:solidFill>
          </w14:textFill>
        </w:rPr>
        <w:t>总量为0</w:t>
      </w:r>
      <w:r>
        <w:rPr>
          <w:rFonts w:cs="TimesNewRomanPSMT" w:eastAsiaTheme="minorEastAsia"/>
          <w:color w:val="000000" w:themeColor="text1"/>
          <w14:textFill>
            <w14:solidFill>
              <w14:schemeClr w14:val="tx1"/>
            </w14:solidFill>
          </w14:textFill>
        </w:rPr>
        <w:t>.053755</w:t>
      </w:r>
      <w:r>
        <w:rPr>
          <w:rFonts w:hint="eastAsia" w:cs="TimesNewRomanPSMT" w:eastAsiaTheme="minorEastAsia"/>
          <w:color w:val="000000" w:themeColor="text1"/>
          <w14:textFill>
            <w14:solidFill>
              <w14:schemeClr w14:val="tx1"/>
            </w14:solidFill>
          </w14:textFill>
        </w:rPr>
        <w:t>t/a</w:t>
      </w:r>
      <w:r>
        <w:rPr>
          <w:rFonts w:hint="eastAsia" w:eastAsiaTheme="minorEastAsia"/>
        </w:rPr>
        <w:t>。</w:t>
      </w:r>
    </w:p>
    <w:p>
      <w:pPr>
        <w:ind w:firstLine="480"/>
      </w:pPr>
      <w:r>
        <w:rPr>
          <w:rFonts w:hint="eastAsia"/>
        </w:rPr>
        <w:t>根据“达标排放”及“污染物总量区域平衡”的原则，提出将本项目的废水、大气污染物实际排放量作为排放总量申报。项目最终执行的污染物排放总量控制指标由当地环境保护行政主管部门分配与核定。</w:t>
      </w:r>
    </w:p>
    <w:p>
      <w:pPr>
        <w:pStyle w:val="4"/>
      </w:pPr>
      <w:bookmarkStart w:id="244" w:name="_Toc3538788"/>
      <w:r>
        <w:t>项目清洁生产</w:t>
      </w:r>
      <w:bookmarkEnd w:id="242"/>
      <w:r>
        <w:rPr>
          <w:rFonts w:hint="eastAsia"/>
        </w:rPr>
        <w:t>分析</w:t>
      </w:r>
      <w:bookmarkEnd w:id="244"/>
    </w:p>
    <w:p>
      <w:pPr>
        <w:ind w:firstLine="480"/>
        <w:rPr>
          <w:rFonts w:eastAsiaTheme="minorEastAsia"/>
        </w:rPr>
      </w:pPr>
      <w:r>
        <w:rPr>
          <w:rFonts w:hint="eastAsia" w:eastAsiaTheme="minorEastAsia"/>
        </w:rPr>
        <w:t>清洁生产是指不断采取改进设计、使用清洁的能源和原料、采用先进的工艺技术与设备、改善管理、综合利用等措施，从源头削减污染，提高资源利用效率，减少或者避免生产、服务和产品使用过程中污染物的产生和排放，以减轻或消除对人类健康和环境的危害。《建设项目环境保护管理条例》第四条规定：工业建设项目应当采用能耗物耗小、污染物产生量少的清洁生产工艺，合理利用自然资源，防止环境污染和生态破坏。《</w:t>
      </w:r>
      <w:r>
        <w:rPr>
          <w:rFonts w:hint="eastAsia"/>
        </w:rPr>
        <w:t>中华人民共和国清洁生产促进法》第十八条也规定：新建、改建和扩建项目应当进行环境影响评价，对原料使用、资源消耗、资源综合利用以及污染物产生与处置等进行分析论证，优先采用资源利用率高以及污染物产生量少的清洁生产技术、工艺和设备。</w:t>
      </w:r>
    </w:p>
    <w:p>
      <w:pPr>
        <w:ind w:firstLine="480"/>
        <w:rPr>
          <w:rFonts w:eastAsiaTheme="minorEastAsia"/>
        </w:rPr>
      </w:pPr>
      <w:r>
        <w:rPr>
          <w:rFonts w:hint="eastAsia" w:eastAsiaTheme="minorEastAsia"/>
        </w:rPr>
        <w:t>本项目为橡胶制品业，考虑到目前国家尚未公布橡胶加工行业的清洁生产标准，因此本报告参照已颁布的《清洁生产标准 制定技术导则》（</w:t>
      </w:r>
      <w:r>
        <w:rPr>
          <w:rFonts w:eastAsiaTheme="minorEastAsia"/>
        </w:rPr>
        <w:t>HJ/T 425-2008</w:t>
      </w:r>
      <w:r>
        <w:rPr>
          <w:rFonts w:hint="eastAsia" w:eastAsiaTheme="minorEastAsia"/>
        </w:rPr>
        <w:t>），对本项目清洁生产技术水平进行分析。</w:t>
      </w:r>
    </w:p>
    <w:p>
      <w:pPr>
        <w:ind w:firstLine="480"/>
        <w:rPr>
          <w:rFonts w:eastAsiaTheme="minorEastAsia"/>
        </w:rPr>
      </w:pPr>
      <w:r>
        <w:rPr>
          <w:rFonts w:hint="eastAsia" w:eastAsiaTheme="minorEastAsia"/>
        </w:rPr>
        <w:t>评价技术方案主要分为生产工艺与装备要求、原材料指标、产品指标、资源能源利用指标、污染物产生和排放指标、废物回收利用指标和环境管理要求七大类指标，各指标分为三个等级：一级为国际清洁生产先进水平，二级为国内清洁生产先进水平，三级为国内清洁生产基本水平。</w:t>
      </w:r>
    </w:p>
    <w:p>
      <w:pPr>
        <w:pStyle w:val="5"/>
      </w:pPr>
      <w:bookmarkStart w:id="245" w:name="_Toc497839407"/>
      <w:r>
        <w:rPr>
          <w:rFonts w:hint="eastAsia"/>
        </w:rPr>
        <w:t>清洁生产指标</w:t>
      </w:r>
      <w:bookmarkEnd w:id="245"/>
      <w:r>
        <w:rPr>
          <w:rFonts w:hint="eastAsia"/>
        </w:rPr>
        <w:t>分析</w:t>
      </w:r>
    </w:p>
    <w:p>
      <w:pPr>
        <w:ind w:firstLine="482"/>
        <w:rPr>
          <w:rFonts w:eastAsiaTheme="minorEastAsia"/>
          <w:b/>
        </w:rPr>
      </w:pPr>
      <w:r>
        <w:rPr>
          <w:rFonts w:hint="eastAsia" w:eastAsiaTheme="minorEastAsia"/>
          <w:b/>
        </w:rPr>
        <w:t>1、生产工艺与装备分析</w:t>
      </w:r>
    </w:p>
    <w:p>
      <w:pPr>
        <w:ind w:firstLine="480"/>
        <w:rPr>
          <w:rFonts w:eastAsiaTheme="minorEastAsia"/>
        </w:rPr>
      </w:pPr>
      <w:r>
        <w:rPr>
          <w:rFonts w:hint="eastAsia" w:eastAsiaTheme="minorEastAsia"/>
        </w:rPr>
        <w:t>项目产品为橡胶脚轮，生产工艺程序比较简单，生产线为</w:t>
      </w:r>
      <w:r>
        <w:rPr>
          <w:rStyle w:val="63"/>
          <w:rFonts w:hint="eastAsia"/>
          <w:color w:val="000000" w:themeColor="text1"/>
          <w14:textFill>
            <w14:solidFill>
              <w14:schemeClr w14:val="tx1"/>
            </w14:solidFill>
          </w14:textFill>
        </w:rPr>
        <w:t>胶料</w:t>
      </w:r>
      <w:r>
        <w:rPr>
          <w:rFonts w:hint="eastAsia" w:eastAsiaTheme="minorEastAsia"/>
        </w:rPr>
        <w:t>经密炼、开炼、硫化成型后，冷却包装，生产工序较少，本项目生产工艺污染物产生量少。</w:t>
      </w:r>
    </w:p>
    <w:p>
      <w:pPr>
        <w:ind w:firstLine="480"/>
        <w:rPr>
          <w:rFonts w:eastAsiaTheme="minorEastAsia"/>
        </w:rPr>
      </w:pPr>
      <w:r>
        <w:rPr>
          <w:rFonts w:hint="eastAsia" w:eastAsiaTheme="minorEastAsia"/>
        </w:rPr>
        <w:t>项目所采用的设备均为国内新型、先进的设备或设施，不属于国家产业政策淘汰类。</w:t>
      </w:r>
    </w:p>
    <w:p>
      <w:pPr>
        <w:ind w:firstLine="480"/>
        <w:rPr>
          <w:rFonts w:eastAsiaTheme="minorEastAsia"/>
        </w:rPr>
      </w:pPr>
      <w:r>
        <w:rPr>
          <w:rFonts w:hint="eastAsia" w:eastAsiaTheme="minorEastAsia"/>
        </w:rPr>
        <w:t>项目炼胶及成型硫化生产工艺均采用国内清洁生产水平较高的先进生产工艺和设备，项目设备选型本着“高效节能、污染物集中收集”的原则，密炼机采用全密闭设备，并配套专门的集尘装置，减少粉尘对周围环境的影响；同时，炼胶设备配套专门的冷却装置，以保证橡胶及时降温，减少废气的挥发，从而减少对周围环境的影响；其他设备也都满足质量、强度、节能、效率、安全的要求，设备较为先进。</w:t>
      </w:r>
    </w:p>
    <w:p>
      <w:pPr>
        <w:ind w:firstLine="482"/>
        <w:rPr>
          <w:rFonts w:eastAsiaTheme="minorEastAsia"/>
          <w:b/>
        </w:rPr>
      </w:pPr>
      <w:r>
        <w:rPr>
          <w:rFonts w:hint="eastAsia" w:eastAsiaTheme="minorEastAsia"/>
          <w:b/>
        </w:rPr>
        <w:t>2、原材料指标分析</w:t>
      </w:r>
    </w:p>
    <w:p>
      <w:pPr>
        <w:ind w:firstLine="480"/>
        <w:rPr>
          <w:rFonts w:eastAsiaTheme="minorEastAsia"/>
        </w:rPr>
      </w:pPr>
      <w:r>
        <w:rPr>
          <w:rFonts w:hint="eastAsia" w:eastAsiaTheme="minorEastAsia"/>
        </w:rPr>
        <w:t>原辅材料的选取是资源能源利用指标的重要内容之一，它反映了在资源选取的过程中和构成其成品的材料报废后对环境和人类的影响。</w:t>
      </w:r>
    </w:p>
    <w:p>
      <w:pPr>
        <w:ind w:firstLine="480"/>
        <w:rPr>
          <w:rFonts w:eastAsiaTheme="minorEastAsia"/>
        </w:rPr>
      </w:pPr>
      <w:r>
        <w:rPr>
          <w:rFonts w:hint="eastAsia" w:eastAsiaTheme="minorEastAsia"/>
        </w:rPr>
        <w:t>项目原材料有天然橡胶、合成橡胶、钙粉、硬脂酸、氧化锌、钛白粉、白炭黑、硫磺粉等，橡胶、钙粉等材料本身无毒无害，其他的原辅材料毒害性质也较小，除硫磺粉外无其他危险化学品。在原料获取和使用过程中不会对环境造成明显影响，大部分原材料可以回收利用。</w:t>
      </w:r>
    </w:p>
    <w:p>
      <w:pPr>
        <w:ind w:firstLine="480"/>
        <w:rPr>
          <w:rFonts w:eastAsiaTheme="minorEastAsia"/>
        </w:rPr>
      </w:pPr>
      <w:r>
        <w:rPr>
          <w:rFonts w:hint="eastAsia" w:eastAsiaTheme="minorEastAsia"/>
        </w:rPr>
        <w:t>总体来说，项目所采取的原辅材料对环境和人体均无毒无害，属于环保型材料，适应环保要求。</w:t>
      </w:r>
    </w:p>
    <w:p>
      <w:pPr>
        <w:ind w:firstLine="482"/>
        <w:rPr>
          <w:rFonts w:eastAsiaTheme="minorEastAsia"/>
          <w:b/>
        </w:rPr>
      </w:pPr>
      <w:r>
        <w:rPr>
          <w:rFonts w:hint="eastAsia" w:eastAsiaTheme="minorEastAsia"/>
          <w:b/>
        </w:rPr>
        <w:t>3、产品指标分析</w:t>
      </w:r>
    </w:p>
    <w:p>
      <w:pPr>
        <w:ind w:firstLine="480"/>
        <w:rPr>
          <w:rFonts w:eastAsiaTheme="minorEastAsia"/>
        </w:rPr>
      </w:pPr>
      <w:r>
        <w:rPr>
          <w:rFonts w:hint="eastAsia" w:eastAsiaTheme="minorEastAsia"/>
        </w:rPr>
        <w:t>项目产品为橡胶脚轮，在后期使用生产过程中对环境影响较小。本产品受温度、湿度、阳光辐射等因素影响一般，寿命一般。本产品采用纸箱进行包装，纸箱可回收利用。本产品报废后，可回收利用，对环境影响较小。</w:t>
      </w:r>
    </w:p>
    <w:p>
      <w:pPr>
        <w:ind w:firstLine="482"/>
        <w:rPr>
          <w:rFonts w:eastAsiaTheme="minorEastAsia"/>
          <w:b/>
        </w:rPr>
      </w:pPr>
      <w:r>
        <w:rPr>
          <w:rFonts w:hint="eastAsia" w:eastAsiaTheme="minorEastAsia"/>
          <w:b/>
        </w:rPr>
        <w:t>4、资源能源利用指标分析</w:t>
      </w:r>
    </w:p>
    <w:p>
      <w:pPr>
        <w:ind w:firstLine="482"/>
        <w:rPr>
          <w:rFonts w:eastAsiaTheme="minorEastAsia"/>
          <w:b/>
        </w:rPr>
      </w:pPr>
      <w:r>
        <w:rPr>
          <w:rFonts w:hint="eastAsia" w:eastAsiaTheme="minorEastAsia"/>
          <w:b/>
        </w:rPr>
        <w:t>（1）新水用量指标</w:t>
      </w:r>
    </w:p>
    <w:p>
      <w:pPr>
        <w:ind w:firstLine="480"/>
        <w:rPr>
          <w:rFonts w:eastAsiaTheme="minorEastAsia"/>
        </w:rPr>
      </w:pPr>
      <w:r>
        <w:rPr>
          <w:rFonts w:hint="eastAsia" w:eastAsiaTheme="minorEastAsia"/>
        </w:rPr>
        <w:t>项目工业用水量主要为循环冷却水补充水量，平均约</w:t>
      </w:r>
      <w:r>
        <w:rPr>
          <w:rFonts w:eastAsiaTheme="minorEastAsia"/>
        </w:rPr>
        <w:t>1.12</w:t>
      </w:r>
      <w:r>
        <w:rPr>
          <w:rFonts w:hint="eastAsia" w:eastAsiaTheme="minorEastAsia"/>
        </w:rPr>
        <w:t>m</w:t>
      </w:r>
      <w:r>
        <w:rPr>
          <w:rFonts w:hint="eastAsia" w:eastAsiaTheme="minorEastAsia"/>
          <w:vertAlign w:val="superscript"/>
        </w:rPr>
        <w:t>3</w:t>
      </w:r>
      <w:r>
        <w:rPr>
          <w:rFonts w:hint="eastAsia" w:eastAsiaTheme="minorEastAsia"/>
        </w:rPr>
        <w:t>/d，即</w:t>
      </w:r>
      <w:r>
        <w:rPr>
          <w:rFonts w:eastAsiaTheme="minorEastAsia"/>
        </w:rPr>
        <w:t>336</w:t>
      </w:r>
      <w:r>
        <w:rPr>
          <w:rFonts w:hint="eastAsia" w:eastAsiaTheme="minorEastAsia"/>
        </w:rPr>
        <w:t>m</w:t>
      </w:r>
      <w:r>
        <w:rPr>
          <w:rFonts w:hint="eastAsia" w:eastAsiaTheme="minorEastAsia"/>
          <w:vertAlign w:val="superscript"/>
        </w:rPr>
        <w:t>3</w:t>
      </w:r>
      <w:r>
        <w:rPr>
          <w:rFonts w:hint="eastAsia" w:eastAsiaTheme="minorEastAsia"/>
        </w:rPr>
        <w:t>/a；加之员工生活用水量，项目新鲜水使用量共计</w:t>
      </w:r>
      <w:r>
        <w:rPr>
          <w:rFonts w:eastAsiaTheme="minorEastAsia"/>
        </w:rPr>
        <w:t>2.486</w:t>
      </w:r>
      <w:r>
        <w:rPr>
          <w:rFonts w:hint="eastAsia" w:eastAsiaTheme="minorEastAsia"/>
        </w:rPr>
        <w:t>m</w:t>
      </w:r>
      <w:r>
        <w:rPr>
          <w:rFonts w:hint="eastAsia" w:eastAsiaTheme="minorEastAsia"/>
          <w:vertAlign w:val="superscript"/>
        </w:rPr>
        <w:t>3</w:t>
      </w:r>
      <w:r>
        <w:rPr>
          <w:rFonts w:hint="eastAsia" w:eastAsiaTheme="minorEastAsia"/>
        </w:rPr>
        <w:t>/d，即</w:t>
      </w:r>
      <w:r>
        <w:rPr>
          <w:rFonts w:eastAsiaTheme="minorEastAsia"/>
        </w:rPr>
        <w:t>746</w:t>
      </w:r>
      <w:r>
        <w:rPr>
          <w:rFonts w:hint="eastAsia" w:eastAsiaTheme="minorEastAsia"/>
        </w:rPr>
        <w:t>m</w:t>
      </w:r>
      <w:r>
        <w:rPr>
          <w:rFonts w:hint="eastAsia" w:eastAsiaTheme="minorEastAsia"/>
          <w:vertAlign w:val="superscript"/>
        </w:rPr>
        <w:t>3</w:t>
      </w:r>
      <w:r>
        <w:rPr>
          <w:rFonts w:hint="eastAsia" w:eastAsiaTheme="minorEastAsia"/>
        </w:rPr>
        <w:t>/a。因此可计算项目单位产品新鲜工业用水量和单位产品新鲜用水量。</w:t>
      </w:r>
    </w:p>
    <w:p>
      <w:pPr>
        <w:ind w:firstLine="480"/>
        <w:rPr>
          <w:rFonts w:eastAsiaTheme="minorEastAsia"/>
        </w:rPr>
      </w:pPr>
      <w:r>
        <w:rPr>
          <w:rFonts w:hint="eastAsia" w:eastAsiaTheme="minorEastAsia"/>
        </w:rPr>
        <w:t>单位产品新鲜工业用水量=年新鲜工业用水量/产品产量</w:t>
      </w:r>
    </w:p>
    <w:p>
      <w:pPr>
        <w:tabs>
          <w:tab w:val="left" w:pos="3119"/>
        </w:tabs>
        <w:ind w:firstLine="480"/>
        <w:rPr>
          <w:rFonts w:eastAsiaTheme="minorEastAsia"/>
        </w:rPr>
      </w:pPr>
      <w:r>
        <w:rPr>
          <w:rFonts w:eastAsiaTheme="minorEastAsia"/>
        </w:rPr>
        <w:tab/>
      </w:r>
      <w:r>
        <w:rPr>
          <w:rFonts w:hint="eastAsia" w:eastAsiaTheme="minorEastAsia"/>
        </w:rPr>
        <w:t>=</w:t>
      </w:r>
      <w:r>
        <w:t xml:space="preserve"> </w:t>
      </w:r>
      <w:r>
        <w:rPr>
          <w:rFonts w:eastAsiaTheme="minorEastAsia"/>
        </w:rPr>
        <w:t>346</w:t>
      </w:r>
      <w:r>
        <w:rPr>
          <w:rFonts w:hint="eastAsia" w:eastAsiaTheme="minorEastAsia"/>
        </w:rPr>
        <w:t>m</w:t>
      </w:r>
      <w:r>
        <w:rPr>
          <w:rFonts w:hint="eastAsia" w:eastAsiaTheme="minorEastAsia"/>
          <w:vertAlign w:val="superscript"/>
        </w:rPr>
        <w:t>3</w:t>
      </w:r>
      <w:r>
        <w:rPr>
          <w:rFonts w:hint="eastAsia" w:eastAsiaTheme="minorEastAsia"/>
        </w:rPr>
        <w:t>/</w:t>
      </w:r>
      <w:r>
        <w:rPr>
          <w:rFonts w:eastAsiaTheme="minorEastAsia"/>
        </w:rPr>
        <w:t>852</w:t>
      </w:r>
      <w:r>
        <w:rPr>
          <w:rFonts w:hint="eastAsia" w:eastAsiaTheme="minorEastAsia"/>
        </w:rPr>
        <w:t>t</w:t>
      </w:r>
    </w:p>
    <w:p>
      <w:pPr>
        <w:tabs>
          <w:tab w:val="left" w:pos="3119"/>
        </w:tabs>
        <w:ind w:firstLine="480"/>
        <w:rPr>
          <w:rFonts w:eastAsiaTheme="minorEastAsia"/>
        </w:rPr>
      </w:pPr>
      <w:r>
        <w:rPr>
          <w:rFonts w:eastAsiaTheme="minorEastAsia"/>
        </w:rPr>
        <w:tab/>
      </w:r>
      <w:r>
        <w:rPr>
          <w:rFonts w:hint="eastAsia" w:eastAsiaTheme="minorEastAsia"/>
        </w:rPr>
        <w:t>=</w:t>
      </w:r>
      <w:r>
        <w:rPr>
          <w:rFonts w:hint="eastAsia"/>
        </w:rPr>
        <w:t xml:space="preserve"> </w:t>
      </w:r>
      <w:r>
        <w:rPr>
          <w:rFonts w:hint="eastAsia" w:eastAsiaTheme="minorEastAsia"/>
        </w:rPr>
        <w:t>0.</w:t>
      </w:r>
      <w:r>
        <w:rPr>
          <w:rFonts w:eastAsiaTheme="minorEastAsia"/>
        </w:rPr>
        <w:t>406</w:t>
      </w:r>
      <w:r>
        <w:rPr>
          <w:rFonts w:hint="eastAsia" w:eastAsiaTheme="minorEastAsia"/>
        </w:rPr>
        <w:t>m³/t产品</w:t>
      </w:r>
    </w:p>
    <w:p>
      <w:pPr>
        <w:ind w:firstLine="480"/>
        <w:rPr>
          <w:rFonts w:eastAsiaTheme="minorEastAsia"/>
        </w:rPr>
      </w:pPr>
      <w:r>
        <w:rPr>
          <w:rFonts w:hint="eastAsia" w:eastAsiaTheme="minorEastAsia"/>
        </w:rPr>
        <w:t>单位产品新鲜用水量=年新鲜用水量/产品产量=</w:t>
      </w:r>
      <w:r>
        <w:t xml:space="preserve"> </w:t>
      </w:r>
      <w:r>
        <w:rPr>
          <w:rFonts w:eastAsiaTheme="minorEastAsia"/>
        </w:rPr>
        <w:t>746</w:t>
      </w:r>
      <w:r>
        <w:rPr>
          <w:rFonts w:hint="eastAsia" w:eastAsiaTheme="minorEastAsia"/>
        </w:rPr>
        <w:t>m</w:t>
      </w:r>
      <w:r>
        <w:rPr>
          <w:rFonts w:hint="eastAsia" w:eastAsiaTheme="minorEastAsia"/>
          <w:vertAlign w:val="superscript"/>
        </w:rPr>
        <w:t>3</w:t>
      </w:r>
      <w:r>
        <w:rPr>
          <w:rFonts w:hint="eastAsia" w:eastAsiaTheme="minorEastAsia"/>
        </w:rPr>
        <w:t>/</w:t>
      </w:r>
      <w:r>
        <w:rPr>
          <w:rFonts w:eastAsiaTheme="minorEastAsia"/>
        </w:rPr>
        <w:t>852</w:t>
      </w:r>
      <w:r>
        <w:rPr>
          <w:rFonts w:hint="eastAsia" w:eastAsiaTheme="minorEastAsia"/>
        </w:rPr>
        <w:t>t=</w:t>
      </w:r>
      <w:r>
        <w:rPr>
          <w:rFonts w:hint="eastAsia"/>
        </w:rPr>
        <w:t xml:space="preserve"> </w:t>
      </w:r>
      <w:r>
        <w:rPr>
          <w:rFonts w:eastAsiaTheme="minorEastAsia"/>
        </w:rPr>
        <w:t>0.876</w:t>
      </w:r>
      <w:r>
        <w:rPr>
          <w:rFonts w:hint="eastAsia" w:eastAsiaTheme="minorEastAsia"/>
        </w:rPr>
        <w:t>m³/t产品</w:t>
      </w:r>
    </w:p>
    <w:p>
      <w:pPr>
        <w:ind w:firstLine="482"/>
        <w:rPr>
          <w:rFonts w:eastAsiaTheme="minorEastAsia"/>
          <w:b/>
        </w:rPr>
      </w:pPr>
      <w:r>
        <w:rPr>
          <w:rFonts w:hint="eastAsia" w:eastAsiaTheme="minorEastAsia"/>
          <w:b/>
        </w:rPr>
        <w:t>（2）单位产品能耗指标</w:t>
      </w:r>
    </w:p>
    <w:p>
      <w:pPr>
        <w:ind w:firstLine="480"/>
        <w:rPr>
          <w:rFonts w:eastAsiaTheme="minorEastAsia"/>
        </w:rPr>
      </w:pPr>
      <w:r>
        <w:rPr>
          <w:rFonts w:hint="eastAsia" w:eastAsiaTheme="minorEastAsia"/>
        </w:rPr>
        <w:t>本项目生产工程中主要能耗为电能，不需要额外的辅助燃料，不会产生二次污染。项目用电量约为</w:t>
      </w:r>
      <w:r>
        <w:rPr>
          <w:rFonts w:eastAsiaTheme="minorEastAsia"/>
        </w:rPr>
        <w:t>10</w:t>
      </w:r>
      <w:r>
        <w:rPr>
          <w:rFonts w:hint="eastAsia" w:eastAsiaTheme="minorEastAsia"/>
        </w:rPr>
        <w:t>万kwh/月，即项目全年用电量为100万kwh。将电能折换成标准煤，折换系数按0.1229kg/kwh，项目全年能耗折换成标准煤为</w:t>
      </w:r>
      <w:r>
        <w:rPr>
          <w:rFonts w:eastAsiaTheme="minorEastAsia"/>
        </w:rPr>
        <w:t>122.9t/a</w:t>
      </w:r>
      <w:r>
        <w:rPr>
          <w:rFonts w:hint="eastAsia" w:eastAsiaTheme="minorEastAsia"/>
        </w:rPr>
        <w:t>。从而可计算得出项目单位产品综合能耗为0.</w:t>
      </w:r>
      <w:r>
        <w:rPr>
          <w:rFonts w:eastAsiaTheme="minorEastAsia"/>
        </w:rPr>
        <w:t>144t</w:t>
      </w:r>
      <w:r>
        <w:rPr>
          <w:rFonts w:hint="eastAsia" w:eastAsiaTheme="minorEastAsia"/>
        </w:rPr>
        <w:t>标煤/t产品。</w:t>
      </w:r>
    </w:p>
    <w:p>
      <w:pPr>
        <w:ind w:firstLine="482"/>
        <w:rPr>
          <w:rFonts w:eastAsiaTheme="minorEastAsia"/>
          <w:b/>
        </w:rPr>
      </w:pPr>
      <w:r>
        <w:rPr>
          <w:rFonts w:hint="eastAsia" w:eastAsiaTheme="minorEastAsia"/>
          <w:b/>
        </w:rPr>
        <w:t>（3）单位产品物耗指标</w:t>
      </w:r>
    </w:p>
    <w:p>
      <w:pPr>
        <w:ind w:firstLine="480"/>
        <w:rPr>
          <w:rFonts w:eastAsiaTheme="minorEastAsia"/>
        </w:rPr>
      </w:pPr>
      <w:r>
        <w:rPr>
          <w:rFonts w:hint="eastAsia" w:eastAsiaTheme="minorEastAsia"/>
        </w:rPr>
        <w:t>本项目原辅材料使用量为</w:t>
      </w:r>
      <w:r>
        <w:rPr>
          <w:rFonts w:eastAsiaTheme="minorEastAsia"/>
        </w:rPr>
        <w:t>872</w:t>
      </w:r>
      <w:r>
        <w:rPr>
          <w:rFonts w:hint="eastAsia" w:eastAsiaTheme="minorEastAsia"/>
        </w:rPr>
        <w:t>t，最终产品</w:t>
      </w:r>
      <w:r>
        <w:rPr>
          <w:rFonts w:eastAsiaTheme="minorEastAsia"/>
        </w:rPr>
        <w:t>852</w:t>
      </w:r>
      <w:r>
        <w:rPr>
          <w:rFonts w:hint="eastAsia" w:eastAsiaTheme="minorEastAsia"/>
        </w:rPr>
        <w:t>t，从而可计算得出项目单位产品物耗为</w:t>
      </w:r>
      <w:r>
        <w:rPr>
          <w:rFonts w:eastAsiaTheme="minorEastAsia"/>
        </w:rPr>
        <w:t>23.47</w:t>
      </w:r>
      <w:r>
        <w:rPr>
          <w:rFonts w:hint="eastAsia" w:eastAsiaTheme="minorEastAsia"/>
        </w:rPr>
        <w:t>kg原料/t 产品。</w:t>
      </w:r>
    </w:p>
    <w:p>
      <w:pPr>
        <w:ind w:firstLine="480"/>
        <w:rPr>
          <w:rFonts w:eastAsiaTheme="minorEastAsia"/>
        </w:rPr>
      </w:pPr>
      <w:r>
        <w:rPr>
          <w:rFonts w:hint="eastAsia" w:eastAsiaTheme="minorEastAsia"/>
        </w:rPr>
        <w:t>总体来说，项目资源能源单位产品消耗量较低。</w:t>
      </w:r>
    </w:p>
    <w:p>
      <w:pPr>
        <w:ind w:firstLine="482"/>
        <w:rPr>
          <w:rFonts w:eastAsiaTheme="minorEastAsia"/>
          <w:b/>
        </w:rPr>
      </w:pPr>
      <w:r>
        <w:rPr>
          <w:rFonts w:hint="eastAsia" w:eastAsiaTheme="minorEastAsia"/>
          <w:b/>
        </w:rPr>
        <w:t>5、污染物产生指标分析（末端治理前）</w:t>
      </w:r>
    </w:p>
    <w:p>
      <w:pPr>
        <w:ind w:firstLine="480"/>
        <w:rPr>
          <w:rFonts w:eastAsiaTheme="minorEastAsia"/>
        </w:rPr>
      </w:pPr>
      <w:r>
        <w:rPr>
          <w:rFonts w:hint="eastAsia" w:eastAsiaTheme="minorEastAsia"/>
        </w:rPr>
        <w:t>除了资源能源利用指标外，另一类能反映生产过程状况的指标是污染物产生指标，污染物产生指标较低，说明了工艺较为先进，管理水平较高。污染物产生指标设三类，分别为废水产生指标、废气产生指标和固体废物产生指标。</w:t>
      </w:r>
    </w:p>
    <w:p>
      <w:pPr>
        <w:ind w:firstLine="482"/>
        <w:rPr>
          <w:rFonts w:eastAsiaTheme="minorEastAsia"/>
          <w:b/>
        </w:rPr>
      </w:pPr>
      <w:r>
        <w:rPr>
          <w:rFonts w:hint="eastAsia" w:eastAsiaTheme="minorEastAsia"/>
          <w:b/>
        </w:rPr>
        <w:t>（1）废水产生指标</w:t>
      </w:r>
    </w:p>
    <w:p>
      <w:pPr>
        <w:ind w:firstLine="480"/>
        <w:rPr>
          <w:rFonts w:eastAsiaTheme="minorEastAsia"/>
        </w:rPr>
      </w:pPr>
      <w:r>
        <w:rPr>
          <w:rFonts w:hint="eastAsia" w:eastAsiaTheme="minorEastAsia"/>
        </w:rPr>
        <w:t>项目生产过程无工业废水对外排放，对外排放的废（污）水主要为员工办公、生活污水。</w:t>
      </w:r>
    </w:p>
    <w:p>
      <w:pPr>
        <w:ind w:firstLine="480"/>
        <w:rPr>
          <w:rFonts w:eastAsiaTheme="minorEastAsia"/>
        </w:rPr>
      </w:pPr>
      <w:r>
        <w:rPr>
          <w:rFonts w:hint="eastAsia" w:eastAsiaTheme="minorEastAsia"/>
        </w:rPr>
        <w:t>单位产品废水产生量=年废水产生总量/产品产量</w:t>
      </w:r>
    </w:p>
    <w:p>
      <w:pPr>
        <w:tabs>
          <w:tab w:val="center" w:pos="3290"/>
        </w:tabs>
        <w:ind w:left="480" w:firstLine="0" w:firstLineChars="0"/>
        <w:rPr>
          <w:rFonts w:eastAsiaTheme="minorEastAsia"/>
        </w:rPr>
      </w:pPr>
      <w:r>
        <w:rPr>
          <w:rFonts w:hint="eastAsia" w:eastAsiaTheme="minorEastAsia"/>
        </w:rPr>
        <w:t>单位产品COD产生量=全年COD产生总量/产品产量</w:t>
      </w:r>
    </w:p>
    <w:p>
      <w:pPr>
        <w:ind w:firstLine="482"/>
        <w:rPr>
          <w:rFonts w:eastAsiaTheme="minorEastAsia"/>
          <w:b/>
        </w:rPr>
      </w:pPr>
      <w:r>
        <w:rPr>
          <w:rFonts w:hint="eastAsia" w:eastAsiaTheme="minorEastAsia"/>
          <w:b/>
        </w:rPr>
        <w:t>（2）废气产生指标</w:t>
      </w:r>
    </w:p>
    <w:p>
      <w:pPr>
        <w:ind w:firstLine="480"/>
        <w:rPr>
          <w:rFonts w:eastAsiaTheme="minorEastAsia"/>
        </w:rPr>
      </w:pPr>
      <w:r>
        <w:rPr>
          <w:rFonts w:hint="eastAsia" w:eastAsiaTheme="minorEastAsia"/>
        </w:rPr>
        <w:t>项目废气主要为粉尘（颗粒物）和非甲烷总烃。</w:t>
      </w:r>
    </w:p>
    <w:p>
      <w:pPr>
        <w:ind w:firstLine="480"/>
        <w:rPr>
          <w:rFonts w:eastAsiaTheme="minorEastAsia"/>
        </w:rPr>
      </w:pPr>
      <w:r>
        <w:rPr>
          <w:rFonts w:hint="eastAsia" w:eastAsiaTheme="minorEastAsia"/>
        </w:rPr>
        <w:t>可计算项目单位产品颗粒物/非甲烷总烃产生量指标。</w:t>
      </w:r>
    </w:p>
    <w:p>
      <w:pPr>
        <w:ind w:firstLine="480"/>
        <w:rPr>
          <w:rFonts w:eastAsiaTheme="minorEastAsia"/>
        </w:rPr>
      </w:pPr>
      <w:r>
        <w:rPr>
          <w:rFonts w:hint="eastAsia" w:eastAsiaTheme="minorEastAsia"/>
        </w:rPr>
        <w:t>单位产品颗粒物产生量=全年颗粒物产生总量/产品产量</w:t>
      </w:r>
    </w:p>
    <w:p>
      <w:pPr>
        <w:ind w:firstLine="480"/>
        <w:rPr>
          <w:rFonts w:eastAsiaTheme="minorEastAsia"/>
        </w:rPr>
      </w:pPr>
      <w:r>
        <w:rPr>
          <w:rFonts w:hint="eastAsia" w:eastAsiaTheme="minorEastAsia"/>
        </w:rPr>
        <w:t>单位产品非甲烷总烃产生量=全年非甲烷总烃产生总量/产品产量</w:t>
      </w:r>
    </w:p>
    <w:p>
      <w:pPr>
        <w:ind w:firstLine="482"/>
        <w:rPr>
          <w:rFonts w:eastAsiaTheme="minorEastAsia"/>
          <w:b/>
        </w:rPr>
      </w:pPr>
      <w:r>
        <w:rPr>
          <w:rFonts w:hint="eastAsia" w:eastAsiaTheme="minorEastAsia"/>
          <w:b/>
        </w:rPr>
        <w:t>（3）固体废物产生指标</w:t>
      </w:r>
    </w:p>
    <w:p>
      <w:pPr>
        <w:ind w:firstLine="480"/>
        <w:rPr>
          <w:rFonts w:eastAsiaTheme="minorEastAsia"/>
        </w:rPr>
      </w:pPr>
      <w:r>
        <w:rPr>
          <w:rFonts w:hint="eastAsia" w:eastAsiaTheme="minorEastAsia"/>
        </w:rPr>
        <w:t>项目固体废物有一般工业固废、危险废物、生活垃圾。</w:t>
      </w:r>
    </w:p>
    <w:p>
      <w:pPr>
        <w:ind w:firstLine="480"/>
        <w:rPr>
          <w:rFonts w:eastAsiaTheme="minorEastAsia"/>
        </w:rPr>
      </w:pPr>
      <w:r>
        <w:rPr>
          <w:rFonts w:hint="eastAsia" w:eastAsiaTheme="minorEastAsia"/>
        </w:rPr>
        <w:t>单位产品主要固体废物产生量=全年主要固体废物产生总量/单位产品产量</w:t>
      </w:r>
    </w:p>
    <w:p>
      <w:pPr>
        <w:tabs>
          <w:tab w:val="left" w:pos="3686"/>
        </w:tabs>
        <w:ind w:firstLine="480"/>
        <w:rPr>
          <w:rFonts w:eastAsiaTheme="minorEastAsia"/>
        </w:rPr>
      </w:pPr>
      <w:r>
        <w:rPr>
          <w:rFonts w:hint="eastAsia" w:eastAsiaTheme="minorEastAsia"/>
        </w:rPr>
        <w:t>根据项目生产规模，其污染物产生指标详见下表。</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2.11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rPr>
          <w:rFonts w:hint="eastAsia"/>
        </w:rPr>
        <w:t>本项目污染物产生指标</w:t>
      </w:r>
    </w:p>
    <w:tbl>
      <w:tblPr>
        <w:tblStyle w:val="56"/>
        <w:tblW w:w="9050" w:type="dxa"/>
        <w:tblInd w:w="0" w:type="dxa"/>
        <w:tblLayout w:type="fixed"/>
        <w:tblCellMar>
          <w:top w:w="0" w:type="dxa"/>
          <w:left w:w="108" w:type="dxa"/>
          <w:bottom w:w="0" w:type="dxa"/>
          <w:right w:w="108" w:type="dxa"/>
        </w:tblCellMar>
      </w:tblPr>
      <w:tblGrid>
        <w:gridCol w:w="701"/>
        <w:gridCol w:w="1135"/>
        <w:gridCol w:w="1274"/>
        <w:gridCol w:w="1701"/>
        <w:gridCol w:w="1558"/>
        <w:gridCol w:w="2681"/>
      </w:tblGrid>
      <w:tr>
        <w:tblPrEx>
          <w:tblLayout w:type="fixed"/>
          <w:tblCellMar>
            <w:top w:w="0" w:type="dxa"/>
            <w:left w:w="108" w:type="dxa"/>
            <w:bottom w:w="0" w:type="dxa"/>
            <w:right w:w="108" w:type="dxa"/>
          </w:tblCellMar>
        </w:tblPrEx>
        <w:trPr>
          <w:trHeight w:val="491" w:hRule="atLeast"/>
          <w:tblHeader/>
        </w:trPr>
        <w:tc>
          <w:tcPr>
            <w:tcW w:w="701" w:type="dxa"/>
            <w:tcBorders>
              <w:top w:val="single" w:color="auto" w:sz="8" w:space="0"/>
              <w:left w:val="single" w:color="auto" w:sz="8" w:space="0"/>
              <w:bottom w:val="single" w:color="auto" w:sz="8" w:space="0"/>
              <w:right w:val="single" w:color="auto" w:sz="8" w:space="0"/>
            </w:tcBorders>
            <w:shd w:val="clear" w:color="auto" w:fill="D8D8D8" w:themeFill="background1" w:themeFillShade="D9"/>
            <w:vAlign w:val="center"/>
          </w:tcPr>
          <w:p>
            <w:pPr>
              <w:pStyle w:val="107"/>
              <w:rPr>
                <w:b/>
              </w:rPr>
            </w:pPr>
            <w:r>
              <w:rPr>
                <w:rFonts w:hint="eastAsia"/>
                <w:b/>
              </w:rPr>
              <w:t>序号</w:t>
            </w:r>
          </w:p>
        </w:tc>
        <w:tc>
          <w:tcPr>
            <w:tcW w:w="1135" w:type="dxa"/>
            <w:tcBorders>
              <w:top w:val="single" w:color="auto" w:sz="8" w:space="0"/>
              <w:left w:val="nil"/>
              <w:bottom w:val="nil"/>
              <w:right w:val="single" w:color="auto" w:sz="8" w:space="0"/>
            </w:tcBorders>
            <w:shd w:val="clear" w:color="auto" w:fill="D8D8D8" w:themeFill="background1" w:themeFillShade="D9"/>
            <w:vAlign w:val="center"/>
          </w:tcPr>
          <w:p>
            <w:pPr>
              <w:pStyle w:val="107"/>
              <w:rPr>
                <w:b/>
              </w:rPr>
            </w:pPr>
            <w:r>
              <w:rPr>
                <w:rFonts w:hint="eastAsia"/>
                <w:b/>
              </w:rPr>
              <w:t>产品方案</w:t>
            </w:r>
          </w:p>
        </w:tc>
        <w:tc>
          <w:tcPr>
            <w:tcW w:w="1274" w:type="dxa"/>
            <w:tcBorders>
              <w:top w:val="single" w:color="auto" w:sz="8" w:space="0"/>
              <w:left w:val="nil"/>
              <w:bottom w:val="nil"/>
              <w:right w:val="single" w:color="auto" w:sz="8" w:space="0"/>
            </w:tcBorders>
            <w:shd w:val="clear" w:color="auto" w:fill="D8D8D8" w:themeFill="background1" w:themeFillShade="D9"/>
            <w:vAlign w:val="center"/>
          </w:tcPr>
          <w:p>
            <w:pPr>
              <w:pStyle w:val="107"/>
              <w:rPr>
                <w:b/>
              </w:rPr>
            </w:pPr>
            <w:r>
              <w:rPr>
                <w:rFonts w:hint="eastAsia"/>
                <w:b/>
              </w:rPr>
              <w:t>评价指标</w:t>
            </w:r>
          </w:p>
        </w:tc>
        <w:tc>
          <w:tcPr>
            <w:tcW w:w="1701" w:type="dxa"/>
            <w:tcBorders>
              <w:top w:val="single" w:color="auto" w:sz="8" w:space="0"/>
              <w:left w:val="nil"/>
              <w:bottom w:val="single" w:color="auto" w:sz="8" w:space="0"/>
              <w:right w:val="single" w:color="auto" w:sz="8" w:space="0"/>
            </w:tcBorders>
            <w:shd w:val="clear" w:color="auto" w:fill="D8D8D8" w:themeFill="background1" w:themeFillShade="D9"/>
            <w:vAlign w:val="center"/>
          </w:tcPr>
          <w:p>
            <w:pPr>
              <w:pStyle w:val="107"/>
              <w:rPr>
                <w:b/>
              </w:rPr>
            </w:pPr>
            <w:r>
              <w:rPr>
                <w:rFonts w:hint="eastAsia"/>
                <w:b/>
              </w:rPr>
              <w:t>指标</w:t>
            </w:r>
          </w:p>
        </w:tc>
        <w:tc>
          <w:tcPr>
            <w:tcW w:w="1558" w:type="dxa"/>
            <w:tcBorders>
              <w:top w:val="single" w:color="auto" w:sz="8" w:space="0"/>
              <w:left w:val="nil"/>
              <w:bottom w:val="single" w:color="auto" w:sz="8" w:space="0"/>
              <w:right w:val="single" w:color="auto" w:sz="8" w:space="0"/>
            </w:tcBorders>
            <w:shd w:val="clear" w:color="auto" w:fill="D8D8D8" w:themeFill="background1" w:themeFillShade="D9"/>
            <w:vAlign w:val="center"/>
          </w:tcPr>
          <w:p>
            <w:pPr>
              <w:pStyle w:val="107"/>
              <w:rPr>
                <w:b/>
              </w:rPr>
            </w:pPr>
            <w:r>
              <w:rPr>
                <w:rFonts w:hint="eastAsia"/>
                <w:b/>
              </w:rPr>
              <w:t>产生量</w:t>
            </w:r>
          </w:p>
        </w:tc>
        <w:tc>
          <w:tcPr>
            <w:tcW w:w="2681" w:type="dxa"/>
            <w:tcBorders>
              <w:top w:val="single" w:color="auto" w:sz="8" w:space="0"/>
              <w:left w:val="nil"/>
              <w:bottom w:val="single" w:color="auto" w:sz="8" w:space="0"/>
              <w:right w:val="single" w:color="auto" w:sz="8" w:space="0"/>
            </w:tcBorders>
            <w:shd w:val="clear" w:color="auto" w:fill="D8D8D8" w:themeFill="background1" w:themeFillShade="D9"/>
            <w:vAlign w:val="center"/>
          </w:tcPr>
          <w:p>
            <w:pPr>
              <w:pStyle w:val="107"/>
              <w:rPr>
                <w:b/>
              </w:rPr>
            </w:pPr>
            <w:r>
              <w:rPr>
                <w:rFonts w:hint="eastAsia"/>
                <w:b/>
              </w:rPr>
              <w:t>单位产品产量指标</w:t>
            </w:r>
          </w:p>
        </w:tc>
      </w:tr>
      <w:tr>
        <w:tblPrEx>
          <w:tblLayout w:type="fixed"/>
          <w:tblCellMar>
            <w:top w:w="0" w:type="dxa"/>
            <w:left w:w="108" w:type="dxa"/>
            <w:bottom w:w="0" w:type="dxa"/>
            <w:right w:w="108" w:type="dxa"/>
          </w:tblCellMar>
        </w:tblPrEx>
        <w:trPr>
          <w:trHeight w:val="20" w:hRule="atLeast"/>
        </w:trPr>
        <w:tc>
          <w:tcPr>
            <w:tcW w:w="701" w:type="dxa"/>
            <w:tcBorders>
              <w:top w:val="nil"/>
              <w:left w:val="single" w:color="auto" w:sz="8" w:space="0"/>
              <w:bottom w:val="single" w:color="auto" w:sz="8" w:space="0"/>
              <w:right w:val="nil"/>
            </w:tcBorders>
            <w:shd w:val="clear" w:color="auto" w:fill="auto"/>
            <w:vAlign w:val="center"/>
          </w:tcPr>
          <w:p>
            <w:pPr>
              <w:pStyle w:val="107"/>
            </w:pPr>
            <w:r>
              <w:t>1</w:t>
            </w:r>
          </w:p>
        </w:tc>
        <w:tc>
          <w:tcPr>
            <w:tcW w:w="113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852</w:t>
            </w:r>
            <w:r>
              <w:rPr>
                <w:rFonts w:hint="eastAsia"/>
              </w:rPr>
              <w:t>t/a</w:t>
            </w:r>
          </w:p>
        </w:tc>
        <w:tc>
          <w:tcPr>
            <w:tcW w:w="127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污染物产生指标</w:t>
            </w:r>
          </w:p>
        </w:tc>
        <w:tc>
          <w:tcPr>
            <w:tcW w:w="1701" w:type="dxa"/>
            <w:tcBorders>
              <w:top w:val="nil"/>
              <w:left w:val="nil"/>
              <w:bottom w:val="single" w:color="auto" w:sz="8" w:space="0"/>
              <w:right w:val="single" w:color="auto" w:sz="8" w:space="0"/>
            </w:tcBorders>
            <w:shd w:val="clear" w:color="auto" w:fill="auto"/>
            <w:vAlign w:val="center"/>
          </w:tcPr>
          <w:p>
            <w:pPr>
              <w:pStyle w:val="107"/>
            </w:pPr>
            <w:r>
              <w:rPr>
                <w:rFonts w:hint="eastAsia"/>
              </w:rPr>
              <w:t>废水量</w:t>
            </w:r>
          </w:p>
        </w:tc>
        <w:tc>
          <w:tcPr>
            <w:tcW w:w="1558" w:type="dxa"/>
            <w:tcBorders>
              <w:top w:val="nil"/>
              <w:left w:val="nil"/>
              <w:bottom w:val="single" w:color="auto" w:sz="8" w:space="0"/>
              <w:right w:val="single" w:color="auto" w:sz="8" w:space="0"/>
            </w:tcBorders>
            <w:shd w:val="clear" w:color="auto" w:fill="auto"/>
            <w:vAlign w:val="center"/>
          </w:tcPr>
          <w:p>
            <w:pPr>
              <w:pStyle w:val="107"/>
            </w:pPr>
            <w:r>
              <w:t>324m³/a</w:t>
            </w:r>
          </w:p>
        </w:tc>
        <w:tc>
          <w:tcPr>
            <w:tcW w:w="2681" w:type="dxa"/>
            <w:tcBorders>
              <w:top w:val="nil"/>
              <w:left w:val="nil"/>
              <w:bottom w:val="single" w:color="auto" w:sz="8" w:space="0"/>
              <w:right w:val="single" w:color="auto" w:sz="8" w:space="0"/>
            </w:tcBorders>
            <w:shd w:val="clear" w:color="auto" w:fill="auto"/>
            <w:vAlign w:val="center"/>
          </w:tcPr>
          <w:p>
            <w:pPr>
              <w:pStyle w:val="107"/>
            </w:pPr>
            <w:r>
              <w:t>0.38m³/t产品</w:t>
            </w:r>
          </w:p>
        </w:tc>
      </w:tr>
      <w:tr>
        <w:tblPrEx>
          <w:tblLayout w:type="fixed"/>
          <w:tblCellMar>
            <w:top w:w="0" w:type="dxa"/>
            <w:left w:w="108" w:type="dxa"/>
            <w:bottom w:w="0" w:type="dxa"/>
            <w:right w:w="108" w:type="dxa"/>
          </w:tblCellMar>
        </w:tblPrEx>
        <w:trPr>
          <w:trHeight w:val="20" w:hRule="atLeast"/>
        </w:trPr>
        <w:tc>
          <w:tcPr>
            <w:tcW w:w="701" w:type="dxa"/>
            <w:tcBorders>
              <w:top w:val="nil"/>
              <w:left w:val="single" w:color="auto" w:sz="8" w:space="0"/>
              <w:bottom w:val="single" w:color="auto" w:sz="8" w:space="0"/>
              <w:right w:val="nil"/>
            </w:tcBorders>
            <w:shd w:val="clear" w:color="auto" w:fill="auto"/>
            <w:vAlign w:val="center"/>
          </w:tcPr>
          <w:p>
            <w:pPr>
              <w:pStyle w:val="107"/>
            </w:pPr>
            <w:r>
              <w:t>2</w:t>
            </w:r>
          </w:p>
        </w:tc>
        <w:tc>
          <w:tcPr>
            <w:tcW w:w="1135"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274"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701" w:type="dxa"/>
            <w:tcBorders>
              <w:top w:val="nil"/>
              <w:left w:val="nil"/>
              <w:bottom w:val="nil"/>
              <w:right w:val="single" w:color="auto" w:sz="8" w:space="0"/>
            </w:tcBorders>
            <w:shd w:val="clear" w:color="auto" w:fill="auto"/>
            <w:vAlign w:val="center"/>
          </w:tcPr>
          <w:p>
            <w:pPr>
              <w:pStyle w:val="107"/>
            </w:pPr>
            <w:r>
              <w:t>COD</w:t>
            </w:r>
          </w:p>
        </w:tc>
        <w:tc>
          <w:tcPr>
            <w:tcW w:w="1558" w:type="dxa"/>
            <w:tcBorders>
              <w:top w:val="nil"/>
              <w:left w:val="nil"/>
              <w:bottom w:val="nil"/>
              <w:right w:val="single" w:color="auto" w:sz="8" w:space="0"/>
            </w:tcBorders>
            <w:shd w:val="clear" w:color="auto" w:fill="auto"/>
            <w:vAlign w:val="center"/>
          </w:tcPr>
          <w:p>
            <w:pPr>
              <w:pStyle w:val="107"/>
            </w:pPr>
            <w:r>
              <w:t>0.081t/a</w:t>
            </w:r>
          </w:p>
        </w:tc>
        <w:tc>
          <w:tcPr>
            <w:tcW w:w="2681" w:type="dxa"/>
            <w:tcBorders>
              <w:top w:val="nil"/>
              <w:left w:val="nil"/>
              <w:bottom w:val="nil"/>
              <w:right w:val="single" w:color="auto" w:sz="8" w:space="0"/>
            </w:tcBorders>
            <w:shd w:val="clear" w:color="auto" w:fill="auto"/>
            <w:vAlign w:val="center"/>
          </w:tcPr>
          <w:p>
            <w:pPr>
              <w:pStyle w:val="107"/>
            </w:pPr>
            <w:r>
              <w:t>0.095</w:t>
            </w:r>
            <w:r>
              <w:rPr>
                <w:rFonts w:hint="eastAsia"/>
              </w:rPr>
              <w:t>kg</w:t>
            </w:r>
            <w:r>
              <w:t>/t产品</w:t>
            </w:r>
          </w:p>
        </w:tc>
      </w:tr>
      <w:tr>
        <w:tblPrEx>
          <w:tblLayout w:type="fixed"/>
          <w:tblCellMar>
            <w:top w:w="0" w:type="dxa"/>
            <w:left w:w="108" w:type="dxa"/>
            <w:bottom w:w="0" w:type="dxa"/>
            <w:right w:w="108" w:type="dxa"/>
          </w:tblCellMar>
        </w:tblPrEx>
        <w:trPr>
          <w:trHeight w:val="20" w:hRule="atLeast"/>
        </w:trPr>
        <w:tc>
          <w:tcPr>
            <w:tcW w:w="701" w:type="dxa"/>
            <w:tcBorders>
              <w:top w:val="nil"/>
              <w:left w:val="single" w:color="auto" w:sz="8" w:space="0"/>
              <w:bottom w:val="single" w:color="auto" w:sz="8" w:space="0"/>
              <w:right w:val="nil"/>
            </w:tcBorders>
            <w:shd w:val="clear" w:color="auto" w:fill="auto"/>
            <w:vAlign w:val="center"/>
          </w:tcPr>
          <w:p>
            <w:pPr>
              <w:pStyle w:val="107"/>
            </w:pPr>
            <w:r>
              <w:t>3</w:t>
            </w:r>
          </w:p>
        </w:tc>
        <w:tc>
          <w:tcPr>
            <w:tcW w:w="1135"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274"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701" w:type="dxa"/>
            <w:tcBorders>
              <w:top w:val="single" w:color="auto" w:sz="4" w:space="0"/>
              <w:left w:val="nil"/>
              <w:bottom w:val="single" w:color="auto" w:sz="4" w:space="0"/>
              <w:right w:val="single" w:color="auto" w:sz="4" w:space="0"/>
            </w:tcBorders>
            <w:shd w:val="clear" w:color="auto" w:fill="auto"/>
            <w:vAlign w:val="bottom"/>
          </w:tcPr>
          <w:p>
            <w:pPr>
              <w:pStyle w:val="107"/>
            </w:pPr>
            <w:r>
              <w:rPr>
                <w:rFonts w:hint="eastAsia"/>
              </w:rPr>
              <w:t>粉尘</w:t>
            </w:r>
            <w:r>
              <w:t>(</w:t>
            </w:r>
            <w:r>
              <w:rPr>
                <w:rFonts w:hint="eastAsia"/>
              </w:rPr>
              <w:t>颗粒物</w:t>
            </w:r>
            <w:r>
              <w:t>)</w:t>
            </w:r>
          </w:p>
        </w:tc>
        <w:tc>
          <w:tcPr>
            <w:tcW w:w="1558" w:type="dxa"/>
            <w:tcBorders>
              <w:top w:val="single" w:color="auto" w:sz="4" w:space="0"/>
              <w:left w:val="nil"/>
              <w:bottom w:val="single" w:color="auto" w:sz="4" w:space="0"/>
              <w:right w:val="single" w:color="auto" w:sz="4" w:space="0"/>
            </w:tcBorders>
            <w:shd w:val="clear" w:color="auto" w:fill="auto"/>
            <w:vAlign w:val="center"/>
          </w:tcPr>
          <w:p>
            <w:pPr>
              <w:pStyle w:val="107"/>
            </w:pPr>
            <w:r>
              <w:t>0.4281t/a</w:t>
            </w:r>
          </w:p>
        </w:tc>
        <w:tc>
          <w:tcPr>
            <w:tcW w:w="2681" w:type="dxa"/>
            <w:tcBorders>
              <w:top w:val="single" w:color="auto" w:sz="4" w:space="0"/>
              <w:left w:val="nil"/>
              <w:bottom w:val="single" w:color="auto" w:sz="4" w:space="0"/>
              <w:right w:val="single" w:color="auto" w:sz="4" w:space="0"/>
            </w:tcBorders>
            <w:shd w:val="clear" w:color="auto" w:fill="auto"/>
            <w:vAlign w:val="bottom"/>
          </w:tcPr>
          <w:p>
            <w:pPr>
              <w:pStyle w:val="107"/>
            </w:pPr>
            <w:r>
              <w:rPr>
                <w:rFonts w:hint="eastAsia"/>
              </w:rPr>
              <w:t>0.</w:t>
            </w:r>
            <w:r>
              <w:t>502</w:t>
            </w:r>
            <w:r>
              <w:rPr>
                <w:rFonts w:hint="eastAsia"/>
              </w:rPr>
              <w:t>kg颗粒物/t 产品</w:t>
            </w:r>
          </w:p>
        </w:tc>
      </w:tr>
      <w:tr>
        <w:tblPrEx>
          <w:tblLayout w:type="fixed"/>
          <w:tblCellMar>
            <w:top w:w="0" w:type="dxa"/>
            <w:left w:w="108" w:type="dxa"/>
            <w:bottom w:w="0" w:type="dxa"/>
            <w:right w:w="108" w:type="dxa"/>
          </w:tblCellMar>
        </w:tblPrEx>
        <w:trPr>
          <w:trHeight w:val="20" w:hRule="atLeast"/>
        </w:trPr>
        <w:tc>
          <w:tcPr>
            <w:tcW w:w="701" w:type="dxa"/>
            <w:tcBorders>
              <w:top w:val="nil"/>
              <w:left w:val="single" w:color="auto" w:sz="8" w:space="0"/>
              <w:bottom w:val="single" w:color="auto" w:sz="8" w:space="0"/>
              <w:right w:val="nil"/>
            </w:tcBorders>
            <w:shd w:val="clear" w:color="auto" w:fill="auto"/>
            <w:vAlign w:val="center"/>
          </w:tcPr>
          <w:p>
            <w:pPr>
              <w:pStyle w:val="107"/>
            </w:pPr>
            <w:r>
              <w:t>4</w:t>
            </w:r>
          </w:p>
        </w:tc>
        <w:tc>
          <w:tcPr>
            <w:tcW w:w="1135"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274"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701" w:type="dxa"/>
            <w:tcBorders>
              <w:top w:val="nil"/>
              <w:left w:val="nil"/>
              <w:bottom w:val="single" w:color="auto" w:sz="4" w:space="0"/>
              <w:right w:val="single" w:color="auto" w:sz="4" w:space="0"/>
            </w:tcBorders>
            <w:shd w:val="clear" w:color="auto" w:fill="auto"/>
            <w:vAlign w:val="center"/>
          </w:tcPr>
          <w:p>
            <w:pPr>
              <w:pStyle w:val="107"/>
            </w:pPr>
            <w:r>
              <w:rPr>
                <w:rFonts w:hint="eastAsia"/>
              </w:rPr>
              <w:t>非甲烷总烃</w:t>
            </w:r>
          </w:p>
        </w:tc>
        <w:tc>
          <w:tcPr>
            <w:tcW w:w="1558" w:type="dxa"/>
            <w:tcBorders>
              <w:top w:val="nil"/>
              <w:left w:val="nil"/>
              <w:bottom w:val="single" w:color="auto" w:sz="4" w:space="0"/>
              <w:right w:val="single" w:color="auto" w:sz="4" w:space="0"/>
            </w:tcBorders>
            <w:shd w:val="clear" w:color="auto" w:fill="auto"/>
            <w:vAlign w:val="center"/>
          </w:tcPr>
          <w:p>
            <w:pPr>
              <w:pStyle w:val="107"/>
            </w:pPr>
            <w:r>
              <w:t>0.298t/a</w:t>
            </w:r>
          </w:p>
        </w:tc>
        <w:tc>
          <w:tcPr>
            <w:tcW w:w="2681" w:type="dxa"/>
            <w:tcBorders>
              <w:top w:val="nil"/>
              <w:left w:val="nil"/>
              <w:bottom w:val="single" w:color="auto" w:sz="4" w:space="0"/>
              <w:right w:val="single" w:color="auto" w:sz="4" w:space="0"/>
            </w:tcBorders>
            <w:shd w:val="clear" w:color="auto" w:fill="auto"/>
            <w:vAlign w:val="bottom"/>
          </w:tcPr>
          <w:p>
            <w:pPr>
              <w:spacing w:line="240" w:lineRule="auto"/>
              <w:ind w:firstLine="0" w:firstLineChars="0"/>
              <w:jc w:val="center"/>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0.</w:t>
            </w:r>
            <w:r>
              <w:rPr>
                <w:rFonts w:eastAsiaTheme="minorEastAsia"/>
                <w:color w:val="000000" w:themeColor="text1"/>
                <w:sz w:val="21"/>
                <w:szCs w:val="21"/>
                <w14:textFill>
                  <w14:solidFill>
                    <w14:schemeClr w14:val="tx1"/>
                  </w14:solidFill>
                </w14:textFill>
              </w:rPr>
              <w:t>3</w:t>
            </w:r>
            <w:r>
              <w:rPr>
                <w:rFonts w:hint="eastAsia" w:eastAsiaTheme="minorEastAsia"/>
                <w:color w:val="000000" w:themeColor="text1"/>
                <w:sz w:val="21"/>
                <w:szCs w:val="21"/>
                <w14:textFill>
                  <w14:solidFill>
                    <w14:schemeClr w14:val="tx1"/>
                  </w14:solidFill>
                </w14:textFill>
              </w:rPr>
              <w:t>5kg非甲烷总烃/t 产品</w:t>
            </w:r>
          </w:p>
        </w:tc>
      </w:tr>
      <w:tr>
        <w:tblPrEx>
          <w:tblLayout w:type="fixed"/>
          <w:tblCellMar>
            <w:top w:w="0" w:type="dxa"/>
            <w:left w:w="108" w:type="dxa"/>
            <w:bottom w:w="0" w:type="dxa"/>
            <w:right w:w="108" w:type="dxa"/>
          </w:tblCellMar>
        </w:tblPrEx>
        <w:trPr>
          <w:trHeight w:val="20" w:hRule="atLeast"/>
        </w:trPr>
        <w:tc>
          <w:tcPr>
            <w:tcW w:w="701" w:type="dxa"/>
            <w:tcBorders>
              <w:top w:val="nil"/>
              <w:left w:val="single" w:color="auto" w:sz="8" w:space="0"/>
              <w:bottom w:val="single" w:color="auto" w:sz="8" w:space="0"/>
              <w:right w:val="nil"/>
            </w:tcBorders>
            <w:shd w:val="clear" w:color="auto" w:fill="auto"/>
            <w:vAlign w:val="center"/>
          </w:tcPr>
          <w:p>
            <w:pPr>
              <w:pStyle w:val="107"/>
            </w:pPr>
            <w:r>
              <w:t>5</w:t>
            </w:r>
          </w:p>
        </w:tc>
        <w:tc>
          <w:tcPr>
            <w:tcW w:w="1135"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274"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701" w:type="dxa"/>
            <w:tcBorders>
              <w:top w:val="nil"/>
              <w:left w:val="nil"/>
              <w:bottom w:val="single" w:color="auto" w:sz="4" w:space="0"/>
              <w:right w:val="single" w:color="auto" w:sz="4" w:space="0"/>
            </w:tcBorders>
            <w:shd w:val="clear" w:color="auto" w:fill="auto"/>
            <w:vAlign w:val="center"/>
          </w:tcPr>
          <w:p>
            <w:pPr>
              <w:pStyle w:val="107"/>
            </w:pPr>
            <w:r>
              <w:rPr>
                <w:rFonts w:hint="eastAsia"/>
              </w:rPr>
              <w:t>固体废物产生量</w:t>
            </w:r>
          </w:p>
        </w:tc>
        <w:tc>
          <w:tcPr>
            <w:tcW w:w="1558" w:type="dxa"/>
            <w:tcBorders>
              <w:top w:val="nil"/>
              <w:left w:val="nil"/>
              <w:bottom w:val="single" w:color="auto" w:sz="8" w:space="0"/>
              <w:right w:val="single" w:color="auto" w:sz="8" w:space="0"/>
            </w:tcBorders>
            <w:shd w:val="clear" w:color="auto" w:fill="auto"/>
            <w:vAlign w:val="center"/>
          </w:tcPr>
          <w:p>
            <w:pPr>
              <w:pStyle w:val="107"/>
            </w:pPr>
            <w:r>
              <w:t>27.8857t/a</w:t>
            </w:r>
          </w:p>
        </w:tc>
        <w:tc>
          <w:tcPr>
            <w:tcW w:w="2681" w:type="dxa"/>
            <w:tcBorders>
              <w:top w:val="nil"/>
              <w:left w:val="nil"/>
              <w:bottom w:val="single" w:color="auto" w:sz="8" w:space="0"/>
              <w:right w:val="single" w:color="auto" w:sz="8" w:space="0"/>
            </w:tcBorders>
            <w:shd w:val="clear" w:color="auto" w:fill="auto"/>
            <w:vAlign w:val="center"/>
          </w:tcPr>
          <w:p>
            <w:pPr>
              <w:pStyle w:val="107"/>
            </w:pPr>
            <w:r>
              <w:t>32.73kg固体废物/t 产品</w:t>
            </w:r>
          </w:p>
        </w:tc>
      </w:tr>
    </w:tbl>
    <w:p>
      <w:pPr>
        <w:ind w:firstLine="482"/>
        <w:rPr>
          <w:rFonts w:eastAsiaTheme="minorEastAsia"/>
          <w:b/>
        </w:rPr>
      </w:pPr>
      <w:r>
        <w:rPr>
          <w:rFonts w:hint="eastAsia" w:eastAsiaTheme="minorEastAsia"/>
          <w:b/>
        </w:rPr>
        <w:t>6、废物回收利用指标分析</w:t>
      </w:r>
    </w:p>
    <w:p>
      <w:pPr>
        <w:ind w:firstLine="480"/>
        <w:rPr>
          <w:rFonts w:eastAsiaTheme="minorEastAsia"/>
        </w:rPr>
      </w:pPr>
      <w:r>
        <w:rPr>
          <w:rFonts w:hint="eastAsia" w:eastAsiaTheme="minorEastAsia"/>
        </w:rPr>
        <w:t>项目固体废物有一般工业固废、危险废物、生活垃圾。但项目固体废物不直接对外排放，一般工业固废（布袋除尘灰、边角料、不合格品等）尽可能自行或由资源回收公司回收利用，危险废物（废饱和活性炭、废润滑油、含油废抹布等）交由有资质的单位处理。生活垃圾交当地环卫部门处置。各类固体废物均能得到合理处理，实现“零排放”。</w:t>
      </w:r>
    </w:p>
    <w:p>
      <w:pPr>
        <w:ind w:firstLine="482"/>
        <w:rPr>
          <w:rFonts w:eastAsiaTheme="minorEastAsia"/>
          <w:b/>
        </w:rPr>
      </w:pPr>
      <w:r>
        <w:rPr>
          <w:rFonts w:hint="eastAsia" w:eastAsiaTheme="minorEastAsia"/>
          <w:b/>
        </w:rPr>
        <w:t>7、环境管理要求</w:t>
      </w:r>
    </w:p>
    <w:p>
      <w:pPr>
        <w:ind w:firstLine="480"/>
        <w:rPr>
          <w:rFonts w:eastAsiaTheme="minorEastAsia"/>
        </w:rPr>
      </w:pPr>
      <w:r>
        <w:rPr>
          <w:rFonts w:hint="eastAsia" w:eastAsiaTheme="minorEastAsia"/>
        </w:rPr>
        <w:t>根据环境相关的法律法规标准要求，建设单位拟对项目产生的废气、固废进行处理，使产生的各污染物均可达到相关的标准限值。为了提高本项目的清洁生产水平，建设单位应认真贯彻执行《中华人民共和国清洁生产促进法》，大力推行清洁生产，积极开展清洁生产审计和ISO14001环境管理体系认证。对项目原材料消耗定额，对能耗、水耗、产品的合格率均应进行考核，务必将能源资源消耗降到最低。同时应对生产厂区内人流、物料包括人的活动区域、物品堆存区域、废物贮存点、水（气）处理设施区域、消防栓（池）区、各污染物的排放口等作出明显的标识。严格操作，控制和完善最佳工艺条件，物料按最佳工艺配比投加。这不仅能减少原材料的使用量，而且减少了潜在的事故风险。另外，加强生产管理，杜绝“跑”、“冒”、“滴”、“漏”现象。</w:t>
      </w:r>
    </w:p>
    <w:p>
      <w:pPr>
        <w:pStyle w:val="5"/>
      </w:pPr>
      <w:r>
        <w:rPr>
          <w:rFonts w:hint="eastAsia"/>
        </w:rPr>
        <w:t>项目清洁生产水平评价</w:t>
      </w:r>
    </w:p>
    <w:p>
      <w:pPr>
        <w:ind w:firstLine="480"/>
        <w:rPr>
          <w:rFonts w:eastAsiaTheme="minorEastAsia"/>
        </w:rPr>
      </w:pPr>
      <w:r>
        <w:rPr>
          <w:rFonts w:hint="eastAsia" w:cs="Times New Roman" w:eastAsiaTheme="minorEastAsia"/>
          <w:color w:val="000000" w:themeColor="text1"/>
          <w14:textFill>
            <w14:solidFill>
              <w14:schemeClr w14:val="tx1"/>
            </w14:solidFill>
          </w14:textFill>
        </w:rPr>
        <w:t>综上所述，根据目前资料分析，本项目使用先进的生产工艺，原材料指标清洁，耗水量较小、污染物产生量较低，生产过程中的环境管理完善，并对比同行业清洁生产水平，项目基本符合清洁生产原则，能够达到国际清洁生产先进水平。但清洁生产是一个持续生产的过程，必须不断的改进生产工艺、提高物料利用率，节能减排，使本项目的清洁生产水平进一步的提高。</w:t>
      </w:r>
      <w:bookmarkEnd w:id="148"/>
      <w:bookmarkEnd w:id="243"/>
      <w:bookmarkStart w:id="246" w:name="_Toc6774"/>
      <w:r>
        <w:rPr>
          <w:rFonts w:eastAsiaTheme="minorEastAsia"/>
        </w:rPr>
        <w:br w:type="page"/>
      </w:r>
    </w:p>
    <w:p>
      <w:pPr>
        <w:pStyle w:val="3"/>
        <w:rPr>
          <w:rFonts w:eastAsiaTheme="minorEastAsia"/>
        </w:rPr>
      </w:pPr>
      <w:bookmarkStart w:id="247" w:name="_Toc3538789"/>
      <w:r>
        <w:rPr>
          <w:rFonts w:hint="eastAsia" w:eastAsiaTheme="minorEastAsia"/>
        </w:rPr>
        <w:t>环境现状</w:t>
      </w:r>
      <w:bookmarkEnd w:id="246"/>
      <w:r>
        <w:rPr>
          <w:rFonts w:hint="eastAsia" w:eastAsiaTheme="minorEastAsia"/>
        </w:rPr>
        <w:t>调查与评价</w:t>
      </w:r>
      <w:bookmarkEnd w:id="247"/>
    </w:p>
    <w:p>
      <w:pPr>
        <w:pStyle w:val="4"/>
      </w:pPr>
      <w:bookmarkStart w:id="248" w:name="_Toc329784202"/>
      <w:bookmarkStart w:id="249" w:name="_Toc251244518"/>
      <w:bookmarkStart w:id="250" w:name="_Toc149357232"/>
      <w:bookmarkStart w:id="251" w:name="_Toc289870378"/>
      <w:bookmarkStart w:id="252" w:name="_Toc331536136"/>
      <w:bookmarkStart w:id="253" w:name="_Toc255818665"/>
      <w:bookmarkStart w:id="254" w:name="_Toc260956218"/>
      <w:bookmarkStart w:id="255" w:name="_Toc306606131"/>
      <w:bookmarkStart w:id="256" w:name="_Toc251940451"/>
      <w:bookmarkStart w:id="257" w:name="_Toc256071938"/>
      <w:bookmarkStart w:id="258" w:name="_Toc297650752"/>
      <w:bookmarkStart w:id="259" w:name="_Toc5779"/>
      <w:bookmarkStart w:id="260" w:name="_Toc31583"/>
      <w:bookmarkStart w:id="261" w:name="_Toc3538790"/>
      <w:r>
        <w:t>自然环境</w:t>
      </w:r>
      <w:bookmarkEnd w:id="248"/>
      <w:bookmarkEnd w:id="249"/>
      <w:bookmarkEnd w:id="250"/>
      <w:bookmarkEnd w:id="251"/>
      <w:bookmarkEnd w:id="252"/>
      <w:bookmarkEnd w:id="253"/>
      <w:bookmarkEnd w:id="254"/>
      <w:bookmarkEnd w:id="255"/>
      <w:bookmarkEnd w:id="256"/>
      <w:bookmarkEnd w:id="257"/>
      <w:bookmarkEnd w:id="258"/>
      <w:r>
        <w:rPr>
          <w:rFonts w:hint="eastAsia"/>
        </w:rPr>
        <w:t>现状调查</w:t>
      </w:r>
      <w:bookmarkEnd w:id="259"/>
      <w:bookmarkEnd w:id="260"/>
      <w:r>
        <w:rPr>
          <w:rFonts w:hint="eastAsia"/>
        </w:rPr>
        <w:t>与评价</w:t>
      </w:r>
      <w:bookmarkEnd w:id="261"/>
    </w:p>
    <w:p>
      <w:pPr>
        <w:pStyle w:val="5"/>
      </w:pPr>
      <w:bookmarkStart w:id="262" w:name="_Toc149357233"/>
      <w:bookmarkStart w:id="263" w:name="_Toc256071939"/>
      <w:bookmarkStart w:id="264" w:name="_Toc251244519"/>
      <w:bookmarkStart w:id="265" w:name="_Toc255818666"/>
      <w:bookmarkStart w:id="266" w:name="_Toc251940452"/>
      <w:bookmarkStart w:id="267" w:name="_Toc331536137"/>
      <w:r>
        <w:t>地理位置</w:t>
      </w:r>
      <w:bookmarkEnd w:id="262"/>
      <w:bookmarkEnd w:id="263"/>
      <w:bookmarkEnd w:id="264"/>
      <w:bookmarkEnd w:id="265"/>
      <w:bookmarkEnd w:id="266"/>
      <w:bookmarkEnd w:id="267"/>
    </w:p>
    <w:p>
      <w:pPr>
        <w:ind w:firstLine="480"/>
        <w:rPr>
          <w:rFonts w:cs="Times New Roman" w:eastAsiaTheme="minorEastAsia"/>
        </w:rPr>
      </w:pPr>
      <w:bookmarkStart w:id="268" w:name="_Toc255818668"/>
      <w:bookmarkStart w:id="269" w:name="_Toc149357235"/>
      <w:bookmarkStart w:id="270" w:name="_Toc251244521"/>
      <w:bookmarkStart w:id="271" w:name="_Toc251940454"/>
      <w:bookmarkStart w:id="272" w:name="_Toc256071941"/>
      <w:r>
        <w:rPr>
          <w:rFonts w:hint="eastAsia" w:cs="Times New Roman" w:eastAsiaTheme="minorEastAsia"/>
        </w:rPr>
        <w:t>项目位于开平市苍城镇西郊工业园三区7号</w:t>
      </w:r>
      <w:r>
        <w:rPr>
          <w:rFonts w:cs="Times New Roman" w:eastAsiaTheme="minorEastAsia"/>
        </w:rPr>
        <w:t>，中心地理坐标</w:t>
      </w:r>
      <w:r>
        <w:rPr>
          <w:rFonts w:hint="eastAsia" w:cs="Times New Roman" w:eastAsiaTheme="minorEastAsia"/>
        </w:rPr>
        <w:t>为：N</w:t>
      </w:r>
      <w:r>
        <w:rPr>
          <w:rFonts w:cs="Times New Roman" w:eastAsiaTheme="minorEastAsia"/>
        </w:rPr>
        <w:t>22.478245</w:t>
      </w:r>
      <w:r>
        <w:rPr>
          <w:rFonts w:hint="eastAsia" w:cs="Times New Roman" w:eastAsiaTheme="minorEastAsia"/>
        </w:rPr>
        <w:t>，E</w:t>
      </w:r>
      <w:r>
        <w:rPr>
          <w:rFonts w:cs="Times New Roman" w:eastAsiaTheme="minorEastAsia"/>
        </w:rPr>
        <w:t>112.546917</w:t>
      </w:r>
      <w:r>
        <w:rPr>
          <w:rFonts w:hint="eastAsia" w:cs="Times New Roman" w:eastAsiaTheme="minorEastAsia"/>
        </w:rPr>
        <w:t>（北纬</w:t>
      </w:r>
      <w:r>
        <w:rPr>
          <w:rFonts w:cs="Times New Roman" w:eastAsiaTheme="minorEastAsia"/>
        </w:rPr>
        <w:t>22°28'41.68"</w:t>
      </w:r>
      <w:r>
        <w:rPr>
          <w:rFonts w:cs="Arial" w:eastAsiaTheme="minorEastAsia"/>
        </w:rPr>
        <w:t>，东经</w:t>
      </w:r>
      <w:r>
        <w:rPr>
          <w:rFonts w:hint="eastAsia" w:cs="Arial" w:eastAsiaTheme="minorEastAsia"/>
        </w:rPr>
        <w:t xml:space="preserve"> </w:t>
      </w:r>
      <w:r>
        <w:rPr>
          <w:rFonts w:cs="Arial" w:eastAsiaTheme="minorEastAsia"/>
        </w:rPr>
        <w:t>112°32'48.90"</w:t>
      </w:r>
      <w:r>
        <w:rPr>
          <w:rFonts w:hint="eastAsia" w:cs="Times New Roman" w:eastAsiaTheme="minorEastAsia"/>
        </w:rPr>
        <w:t>），</w:t>
      </w:r>
      <w:r>
        <w:rPr>
          <w:rFonts w:cs="Times New Roman" w:eastAsiaTheme="minorEastAsia"/>
        </w:rPr>
        <w:t>地理位置见</w:t>
      </w:r>
      <w:r>
        <w:rPr>
          <w:rFonts w:cs="Times New Roman" w:eastAsiaTheme="minorEastAsia"/>
        </w:rPr>
        <w:fldChar w:fldCharType="begin"/>
      </w:r>
      <w:r>
        <w:rPr>
          <w:rFonts w:cs="Times New Roman" w:eastAsiaTheme="minorEastAsia"/>
        </w:rPr>
        <w:instrText xml:space="preserve"> REF _Ref529743729 \h  \* MERGEFORMAT </w:instrText>
      </w:r>
      <w:r>
        <w:rPr>
          <w:rFonts w:cs="Times New Roman" w:eastAsiaTheme="minorEastAsia"/>
        </w:rPr>
        <w:fldChar w:fldCharType="separate"/>
      </w:r>
      <w:r>
        <w:rPr>
          <w:rFonts w:hint="eastAsia"/>
        </w:rPr>
        <w:t xml:space="preserve">图 </w:t>
      </w:r>
      <w:r>
        <w:t>1</w:t>
      </w:r>
      <w:r>
        <w:rPr>
          <w:rFonts w:cs="Times New Roman" w:eastAsiaTheme="minorEastAsia"/>
        </w:rPr>
        <w:fldChar w:fldCharType="end"/>
      </w:r>
      <w:r>
        <w:rPr>
          <w:rFonts w:hint="eastAsia" w:cs="Times New Roman" w:eastAsiaTheme="minorEastAsia"/>
        </w:rPr>
        <w:t>。</w:t>
      </w:r>
    </w:p>
    <w:p>
      <w:pPr>
        <w:ind w:firstLine="480"/>
        <w:rPr>
          <w:rFonts w:cs="Times New Roman" w:eastAsiaTheme="minorEastAsia"/>
          <w:kern w:val="2"/>
        </w:rPr>
      </w:pPr>
      <w:r>
        <w:rPr>
          <w:rFonts w:cs="Times New Roman" w:eastAsiaTheme="minorEastAsia"/>
        </w:rPr>
        <w:t>开平市位于广东省中南部、珠江三角洲西南面，地跨东经112°13′~112°48′，北纬21°56′~22°39′；</w:t>
      </w:r>
      <w:r>
        <w:rPr>
          <w:rFonts w:hint="eastAsia" w:cs="Times New Roman" w:eastAsiaTheme="minorEastAsia"/>
          <w:kern w:val="2"/>
        </w:rPr>
        <w:t>濒临南海，靠近港澳，东北距江门市区46km，距广州110km，北扼鹤山之冲，西接恩平之咽，东南有新会为藩篱，西南以台山为屏障。位于江门五邑中心，地理位置优越。全市总面积1659平方公里。1649年建县，1993年1月5日撤县设市，1995年被国家定为二类市。现辖13个镇和三埠、长沙2个办事处。</w:t>
      </w:r>
    </w:p>
    <w:p>
      <w:pPr>
        <w:ind w:firstLine="480"/>
        <w:rPr>
          <w:rFonts w:eastAsiaTheme="minorEastAsia"/>
        </w:rPr>
      </w:pPr>
      <w:r>
        <w:rPr>
          <w:rFonts w:eastAsiaTheme="minorEastAsia"/>
        </w:rPr>
        <w:t>位于广东省</w:t>
      </w:r>
      <w:r>
        <w:fldChar w:fldCharType="begin"/>
      </w:r>
      <w:r>
        <w:instrText xml:space="preserve"> HYPERLINK "https://baike.baidu.com/item/%E5%BC%80%E5%B9%B3%E5%B8%82/7386147" \t "_blank" </w:instrText>
      </w:r>
      <w:r>
        <w:fldChar w:fldCharType="separate"/>
      </w:r>
      <w:r>
        <w:rPr>
          <w:rFonts w:eastAsiaTheme="minorEastAsia"/>
        </w:rPr>
        <w:t>开平市</w:t>
      </w:r>
      <w:r>
        <w:rPr>
          <w:rFonts w:eastAsiaTheme="minorEastAsia"/>
        </w:rPr>
        <w:fldChar w:fldCharType="end"/>
      </w:r>
      <w:r>
        <w:rPr>
          <w:rFonts w:eastAsiaTheme="minorEastAsia"/>
        </w:rPr>
        <w:t>的西北部，总面积138.6平方公里，</w:t>
      </w:r>
      <w:r>
        <w:rPr>
          <w:rFonts w:hint="eastAsia" w:eastAsiaTheme="minorEastAsia"/>
        </w:rPr>
        <w:t>北</w:t>
      </w:r>
      <w:r>
        <w:rPr>
          <w:rFonts w:eastAsiaTheme="minorEastAsia"/>
        </w:rPr>
        <w:t>邻</w:t>
      </w:r>
      <w:r>
        <w:fldChar w:fldCharType="begin"/>
      </w:r>
      <w:r>
        <w:instrText xml:space="preserve"> HYPERLINK "https://baike.baidu.com/item/%E8%8B%8D%E5%9F%8E%E9%95%87" \t "https://baike.baidu.com/item/%E9%BE%99%E8%83%9C%E9%95%87/_blank" </w:instrText>
      </w:r>
      <w:r>
        <w:fldChar w:fldCharType="separate"/>
      </w:r>
      <w:r>
        <w:rPr>
          <w:rFonts w:hint="eastAsia" w:eastAsiaTheme="minorEastAsia"/>
        </w:rPr>
        <w:t>龙胜</w:t>
      </w:r>
      <w:r>
        <w:rPr>
          <w:rFonts w:eastAsiaTheme="minorEastAsia"/>
        </w:rPr>
        <w:t>镇</w:t>
      </w:r>
      <w:r>
        <w:rPr>
          <w:rFonts w:eastAsiaTheme="minorEastAsia"/>
        </w:rPr>
        <w:fldChar w:fldCharType="end"/>
      </w:r>
      <w:r>
        <w:rPr>
          <w:rFonts w:eastAsiaTheme="minorEastAsia"/>
        </w:rPr>
        <w:t>，</w:t>
      </w:r>
      <w:r>
        <w:rPr>
          <w:rFonts w:hint="eastAsia" w:eastAsiaTheme="minorEastAsia"/>
        </w:rPr>
        <w:t>北</w:t>
      </w:r>
      <w:r>
        <w:rPr>
          <w:rFonts w:eastAsiaTheme="minorEastAsia"/>
        </w:rPr>
        <w:t>接</w:t>
      </w:r>
      <w:r>
        <w:fldChar w:fldCharType="begin"/>
      </w:r>
      <w:r>
        <w:instrText xml:space="preserve"> HYPERLINK "https://baike.baidu.com/item/%E9%A9%AC%E5%86%88%E9%95%87" \t "https://baike.baidu.com/item/%E9%BE%99%E8%83%9C%E9%95%87/_blank" </w:instrText>
      </w:r>
      <w:r>
        <w:fldChar w:fldCharType="separate"/>
      </w:r>
      <w:r>
        <w:rPr>
          <w:rFonts w:eastAsiaTheme="minorEastAsia"/>
        </w:rPr>
        <w:t>马冈镇</w:t>
      </w:r>
      <w:r>
        <w:rPr>
          <w:rFonts w:eastAsiaTheme="minorEastAsia"/>
        </w:rPr>
        <w:fldChar w:fldCharType="end"/>
      </w:r>
      <w:r>
        <w:rPr>
          <w:rFonts w:eastAsiaTheme="minorEastAsia"/>
        </w:rPr>
        <w:t>，</w:t>
      </w:r>
      <w:r>
        <w:rPr>
          <w:rFonts w:hint="eastAsia" w:eastAsiaTheme="minorEastAsia"/>
        </w:rPr>
        <w:t>东接</w:t>
      </w:r>
      <w:r>
        <w:fldChar w:fldCharType="begin"/>
      </w:r>
      <w:r>
        <w:instrText xml:space="preserve"> HYPERLINK "https://baike.baidu.com/item/%E5%A4%A7%E6%B2%99%E9%95%87" \t "https://baike.baidu.com/item/%E9%BE%99%E8%83%9C%E9%95%87/_blank" </w:instrText>
      </w:r>
      <w:r>
        <w:fldChar w:fldCharType="separate"/>
      </w:r>
      <w:r>
        <w:rPr>
          <w:rFonts w:hint="eastAsia" w:eastAsiaTheme="minorEastAsia"/>
        </w:rPr>
        <w:t>沙塘</w:t>
      </w:r>
      <w:r>
        <w:rPr>
          <w:rFonts w:eastAsiaTheme="minorEastAsia"/>
        </w:rPr>
        <w:t>镇</w:t>
      </w:r>
      <w:r>
        <w:rPr>
          <w:rFonts w:eastAsiaTheme="minorEastAsia"/>
        </w:rPr>
        <w:fldChar w:fldCharType="end"/>
      </w:r>
      <w:r>
        <w:rPr>
          <w:rFonts w:eastAsiaTheme="minorEastAsia"/>
        </w:rPr>
        <w:t>。全镇总面积138.6平方公里，人口2.9万人，镇政府驻苍城墟，辖大罗村、联丰、联红、联胜、新村、联兴、城东、旺岗、附城、下湾、田心、莲塘、六合、楼田、潭碧15个管理区（行政村）和1个居委会。</w:t>
      </w:r>
    </w:p>
    <w:p>
      <w:pPr>
        <w:pStyle w:val="5"/>
      </w:pPr>
      <w:bookmarkStart w:id="273" w:name="_Toc331536138"/>
      <w:r>
        <w:t>地质</w:t>
      </w:r>
      <w:bookmarkEnd w:id="273"/>
    </w:p>
    <w:p>
      <w:pPr>
        <w:ind w:firstLine="480"/>
        <w:rPr>
          <w:rFonts w:cs="Times New Roman" w:eastAsiaTheme="minorEastAsia"/>
        </w:rPr>
      </w:pPr>
      <w:r>
        <w:rPr>
          <w:rFonts w:hint="eastAsia" w:cs="Times New Roman" w:eastAsiaTheme="minorEastAsia"/>
        </w:rPr>
        <w:t>项目所在区域地震烈度：开平市的地质大部分为花岗岩和沙页岩结构，属于非重震区，有两断裂带横贯全境。一条是海陵断裂带，南起阳江市南部沿海，经恩平市大槐、恩城、沙湖进入域内马冈、苍城、大罗村，再过鹤山、花县、河源、和平至江西龙南县；另一条是金鸡至鹤城断裂带（属活动型断裂带），南起台山市挪扶，经域内金鸡墟、瓦片坑、蚬冈、赤坎、交流渡、梁金山、月山至鹤城。两条断裂带把市域划分为南、北、中三块。根据开平市科学技术委员会提供的资料表明，潭江流域近500多年来，轻微地震发生30次，但未发生过地倾崩裂现象。</w:t>
      </w:r>
    </w:p>
    <w:p>
      <w:pPr>
        <w:ind w:firstLine="480"/>
        <w:rPr>
          <w:rFonts w:cs="Times New Roman" w:eastAsiaTheme="minorEastAsia"/>
        </w:rPr>
      </w:pPr>
      <w:r>
        <w:rPr>
          <w:rFonts w:hint="eastAsia" w:cs="Times New Roman" w:eastAsiaTheme="minorEastAsia"/>
        </w:rPr>
        <w:t>本地区处于华南褶皱系粤中坳陷带。出露的岩土按地质时代、成因和风化程度分，自上而下依次为第四系填筑土、冲击土及海路交互相沉积土、残积土及强-中风化砂岩。大部分地区出露的岩层为白垩纪砂岩、泥质砂岩、页岩和第四纪粘性土，局部地段出露的岩层为寒武纪石英砂岩、变质砂岩，奥陶纪砂岩、砂砾岩，泥盆纪石灰岩。岩浆岩在龙胜、大沙、赤水镇有出露。</w:t>
      </w:r>
    </w:p>
    <w:p>
      <w:pPr>
        <w:pStyle w:val="5"/>
      </w:pPr>
      <w:r>
        <w:rPr>
          <w:rFonts w:hint="eastAsia"/>
        </w:rPr>
        <w:t>地形地貌</w:t>
      </w:r>
    </w:p>
    <w:p>
      <w:pPr>
        <w:ind w:firstLine="480"/>
      </w:pPr>
      <w:r>
        <w:t>开平市</w:t>
      </w:r>
      <w:r>
        <w:rPr>
          <w:rFonts w:hint="eastAsia"/>
        </w:rPr>
        <w:t>地势</w:t>
      </w:r>
      <w:r>
        <w:t>西北南三面高，东、中部低，</w:t>
      </w:r>
      <w:r>
        <w:rPr>
          <w:rFonts w:hint="eastAsia"/>
        </w:rPr>
        <w:t>潭江自西向东横贯市腹，地势自南、北两面向潭江河谷地带倾斜，海拔50米以下的平原面积占全市面积的69%，丘陵面积占29%，山地面积占2%。</w:t>
      </w:r>
      <w:r>
        <w:t>北部、西部和南部</w:t>
      </w:r>
      <w:r>
        <w:rPr>
          <w:rFonts w:hint="eastAsia"/>
        </w:rPr>
        <w:t>多</w:t>
      </w:r>
      <w:r>
        <w:t>山地丘陵，</w:t>
      </w:r>
      <w:r>
        <w:rPr>
          <w:rFonts w:hint="eastAsia"/>
        </w:rPr>
        <w:t>西北部的天露山海拔1250米，是江门五邑最高峰；</w:t>
      </w:r>
      <w:r>
        <w:t>中部为河谷平原，东部为三角洲平原湿地。区域东部地区，地势平坦、交通便捷、环境容量高，形成了开平市最主要的经济与人口集聚区，土地开发程度高。开平中部地区，属于潭江河谷平原丘陵地区，地势相对平坦，土地开发利用程度较高，社会经济较发达。而开平北部受地形地貌和水资源条件制约，社会经济发展水平较低，土地开发程度也较低。</w:t>
      </w:r>
      <w:r>
        <w:rPr>
          <w:rFonts w:hint="eastAsia"/>
        </w:rPr>
        <w:t>主要山脉有天露山、梁金山、百立山、罗汉山等。</w:t>
      </w:r>
    </w:p>
    <w:bookmarkEnd w:id="268"/>
    <w:bookmarkEnd w:id="269"/>
    <w:bookmarkEnd w:id="270"/>
    <w:bookmarkEnd w:id="271"/>
    <w:bookmarkEnd w:id="272"/>
    <w:p>
      <w:pPr>
        <w:pStyle w:val="5"/>
      </w:pPr>
      <w:bookmarkStart w:id="274" w:name="_Toc331536141"/>
      <w:r>
        <w:rPr>
          <w:rFonts w:hint="eastAsia"/>
        </w:rPr>
        <w:t>自然资源、土壤与植被</w:t>
      </w:r>
    </w:p>
    <w:p>
      <w:pPr>
        <w:ind w:firstLine="480"/>
        <w:rPr>
          <w:rFonts w:eastAsiaTheme="minorEastAsia"/>
        </w:rPr>
      </w:pPr>
      <w:r>
        <w:rPr>
          <w:rFonts w:hint="eastAsia" w:eastAsiaTheme="minorEastAsia"/>
        </w:rPr>
        <w:t>开平市矿产资源种类丰富，已探明和开采的有铁、锰、铜、锡、金、铀、煤、独居石、耐火石、钾长石等33种。但储量贫瘠，且零星分散，除花岗岩、建筑用砂岩、陶瓷用石英砂、水泥用石灰岩和粘土外，其余矿产资源储量较少。</w:t>
      </w:r>
    </w:p>
    <w:p>
      <w:pPr>
        <w:ind w:firstLine="480"/>
        <w:rPr>
          <w:rFonts w:eastAsiaTheme="minorEastAsia"/>
        </w:rPr>
      </w:pPr>
      <w:r>
        <w:rPr>
          <w:rFonts w:hint="eastAsia" w:eastAsiaTheme="minorEastAsia"/>
        </w:rPr>
        <w:t>农业以水稻为主，是广东18 个重点产粮区之一。</w:t>
      </w:r>
    </w:p>
    <w:p>
      <w:pPr>
        <w:ind w:firstLine="480"/>
        <w:rPr>
          <w:rFonts w:eastAsiaTheme="minorEastAsia"/>
        </w:rPr>
      </w:pPr>
      <w:r>
        <w:rPr>
          <w:rFonts w:hint="eastAsia" w:eastAsiaTheme="minorEastAsia"/>
        </w:rPr>
        <w:t>开平市生物资源种类繁多。植物方面有种子植物和蕨类植物，主要代表科有壳斗科、山茶科、木兰科、樟科、桑科、蝶形花科、梧桐科、苏木科、桃金娘科、山龙眼科和芭蕉科等。动物方面主要是鸟、鱼、虫、兽。常见的珍稀动物有穿山甲、大头龟、果子狸、猴面鹰。较多的野生动物有山猪、石蛤、鳖、蛇、鹧鸪、坑螺等。</w:t>
      </w:r>
    </w:p>
    <w:p>
      <w:pPr>
        <w:ind w:firstLine="480"/>
        <w:rPr>
          <w:rFonts w:eastAsiaTheme="minorEastAsia"/>
        </w:rPr>
      </w:pPr>
      <w:r>
        <w:rPr>
          <w:rFonts w:hint="eastAsia" w:eastAsiaTheme="minorEastAsia"/>
        </w:rPr>
        <w:t>项目所在区域的土壤属冲积泥沙土壤和冲积黄红壤；周围植被主要为亚热带、热带的树种。乔木主要有松科、杉科、樟科、木麻黄科等。草被以芒萁为主，蕨类次之，常见芒萁群和马尾松、岗松、小叶樟、大叶樟、鸭脚木、乌桕、荷木、桃金娘、野牡丹和算盘子等。</w:t>
      </w:r>
    </w:p>
    <w:p>
      <w:pPr>
        <w:pStyle w:val="5"/>
      </w:pPr>
      <w:r>
        <w:rPr>
          <w:rFonts w:hint="eastAsia"/>
        </w:rPr>
        <w:t>气象、气候特征</w:t>
      </w:r>
    </w:p>
    <w:p>
      <w:pPr>
        <w:ind w:firstLine="480"/>
      </w:pPr>
      <w:r>
        <w:t>开平市地处北回归线以南，属南亚热带海洋性季风气候，濒临南海，有海洋风调节，常年气候温和湿润，日照充分，雨量充沛</w:t>
      </w:r>
      <w:r>
        <w:rPr>
          <w:rFonts w:hint="eastAsia"/>
        </w:rPr>
        <w:t>，冬季受东北风影响，夏季受东南季风影响，每年2-3月有不同程度的低温阴雨天气，</w:t>
      </w:r>
      <w:r>
        <w:t>全年80%以上的降水出现在4～9月，7～9月是台风活动的频发期。</w:t>
      </w:r>
    </w:p>
    <w:p>
      <w:pPr>
        <w:ind w:firstLine="480"/>
        <w:rPr>
          <w:rFonts w:eastAsiaTheme="minorEastAsia"/>
        </w:rPr>
      </w:pPr>
      <w:r>
        <w:rPr>
          <w:rFonts w:hint="eastAsia" w:eastAsiaTheme="minorEastAsia"/>
        </w:rPr>
        <w:t>根据开平市气象部门多年的气象观测资料统计，全年主导风向为北风、东北风，夏季主导风向为偏南风，年平均风速为1.</w:t>
      </w:r>
      <w:r>
        <w:rPr>
          <w:rFonts w:eastAsiaTheme="minorEastAsia"/>
        </w:rPr>
        <w:t>9</w:t>
      </w:r>
      <w:r>
        <w:rPr>
          <w:rFonts w:hint="eastAsia" w:eastAsiaTheme="minorEastAsia"/>
        </w:rPr>
        <w:t>m/s，年平均温度</w:t>
      </w:r>
      <w:r>
        <w:rPr>
          <w:rFonts w:eastAsiaTheme="minorEastAsia"/>
        </w:rPr>
        <w:t>23.0</w:t>
      </w:r>
      <w:r>
        <w:rPr>
          <w:rFonts w:hint="eastAsia" w:eastAsiaTheme="minorEastAsia"/>
        </w:rPr>
        <w:t>ºC，极端最高气温39.4ºC，极端最低气温2.5ºC，年均降水量达</w:t>
      </w:r>
      <w:r>
        <w:rPr>
          <w:rFonts w:eastAsiaTheme="minorEastAsia"/>
        </w:rPr>
        <w:t>1844.7</w:t>
      </w:r>
      <w:r>
        <w:rPr>
          <w:rFonts w:hint="eastAsia" w:eastAsiaTheme="minorEastAsia"/>
        </w:rPr>
        <w:t xml:space="preserve"> 毫米，年降水量最多的2001年为2579.6mm，最少的20</w:t>
      </w:r>
      <w:r>
        <w:rPr>
          <w:rFonts w:eastAsiaTheme="minorEastAsia"/>
        </w:rPr>
        <w:t>11</w:t>
      </w:r>
      <w:r>
        <w:rPr>
          <w:rFonts w:hint="eastAsia" w:eastAsiaTheme="minorEastAsia"/>
        </w:rPr>
        <w:t>年为</w:t>
      </w:r>
      <w:r>
        <w:rPr>
          <w:rFonts w:eastAsiaTheme="minorEastAsia"/>
        </w:rPr>
        <w:t>1091.9</w:t>
      </w:r>
      <w:r>
        <w:rPr>
          <w:rFonts w:hint="eastAsia" w:eastAsiaTheme="minorEastAsia"/>
        </w:rPr>
        <w:t>mm，累年相对湿度平均为7</w:t>
      </w:r>
      <w:r>
        <w:rPr>
          <w:rFonts w:eastAsiaTheme="minorEastAsia"/>
        </w:rPr>
        <w:t>7</w:t>
      </w:r>
      <w:r>
        <w:rPr>
          <w:rFonts w:hint="eastAsia" w:eastAsiaTheme="minorEastAsia"/>
        </w:rPr>
        <w:t>%。</w:t>
      </w:r>
    </w:p>
    <w:p>
      <w:pPr>
        <w:ind w:firstLine="480"/>
        <w:rPr>
          <w:rFonts w:cs="Times New Roman" w:eastAsiaTheme="minorEastAsia"/>
        </w:rPr>
      </w:pPr>
      <w:r>
        <w:rPr>
          <w:rFonts w:cs="Times New Roman" w:eastAsiaTheme="minorEastAsia"/>
        </w:rPr>
        <w:t>开平市</w:t>
      </w:r>
      <w:r>
        <w:rPr>
          <w:rFonts w:hint="eastAsia" w:cs="Times New Roman" w:eastAsiaTheme="minorEastAsia"/>
        </w:rPr>
        <w:t>气象部门</w:t>
      </w:r>
      <w:r>
        <w:rPr>
          <w:rFonts w:cs="Times New Roman" w:eastAsiaTheme="minorEastAsia"/>
        </w:rPr>
        <w:t>最近20年</w:t>
      </w:r>
      <w:r>
        <w:rPr>
          <w:rFonts w:hint="eastAsia" w:cs="Times New Roman" w:eastAsiaTheme="minorEastAsia"/>
        </w:rPr>
        <w:t>（</w:t>
      </w:r>
      <w:r>
        <w:rPr>
          <w:rFonts w:cs="Times New Roman" w:eastAsiaTheme="minorEastAsia"/>
        </w:rPr>
        <w:t>1998</w:t>
      </w:r>
      <w:r>
        <w:rPr>
          <w:rFonts w:hint="eastAsia" w:cs="Times New Roman" w:eastAsiaTheme="minorEastAsia"/>
        </w:rPr>
        <w:t>～</w:t>
      </w:r>
      <w:r>
        <w:rPr>
          <w:rFonts w:cs="Times New Roman" w:eastAsiaTheme="minorEastAsia"/>
        </w:rPr>
        <w:t>2017</w:t>
      </w:r>
      <w:r>
        <w:rPr>
          <w:rFonts w:hint="eastAsia" w:cs="Times New Roman" w:eastAsiaTheme="minorEastAsia"/>
        </w:rPr>
        <w:t>年）气象要素统计见下表。</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w:t>
      </w:r>
      <w:r>
        <w:rPr>
          <w:rFonts w:hint="eastAsia"/>
        </w:rPr>
        <w:t>开平市近20年（199</w:t>
      </w:r>
      <w:r>
        <w:t>8</w:t>
      </w:r>
      <w:r>
        <w:rPr>
          <w:rFonts w:hint="eastAsia"/>
        </w:rPr>
        <w:t>～201</w:t>
      </w:r>
      <w:r>
        <w:t>7</w:t>
      </w:r>
      <w:r>
        <w:rPr>
          <w:rFonts w:hint="eastAsia"/>
        </w:rPr>
        <w:t>年）气象要素统计表</w:t>
      </w:r>
    </w:p>
    <w:tbl>
      <w:tblPr>
        <w:tblStyle w:val="56"/>
        <w:tblW w:w="89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82"/>
        <w:gridCol w:w="48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b/>
                <w:snapToGrid w:val="0"/>
                <w:sz w:val="21"/>
                <w:szCs w:val="21"/>
              </w:rPr>
            </w:pPr>
            <w:r>
              <w:rPr>
                <w:rFonts w:cs="Times New Roman" w:eastAsiaTheme="minorEastAsia"/>
                <w:b/>
                <w:snapToGrid w:val="0"/>
                <w:sz w:val="21"/>
                <w:szCs w:val="21"/>
              </w:rPr>
              <w:t>项目</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b/>
                <w:snapToGrid w:val="0"/>
                <w:color w:val="000000"/>
                <w:sz w:val="21"/>
                <w:szCs w:val="21"/>
              </w:rPr>
            </w:pPr>
            <w:r>
              <w:rPr>
                <w:rFonts w:hint="eastAsia" w:cs="Times New Roman" w:eastAsiaTheme="minorEastAsia"/>
                <w:b/>
                <w:snapToGrid w:val="0"/>
                <w:color w:val="000000"/>
                <w:sz w:val="21"/>
                <w:szCs w:val="21"/>
              </w:rPr>
              <w:t>平均（极）</w:t>
            </w:r>
            <w:r>
              <w:rPr>
                <w:rFonts w:cs="Times New Roman" w:eastAsiaTheme="minorEastAsia"/>
                <w:b/>
                <w:snapToGrid w:val="0"/>
                <w:color w:val="000000"/>
                <w:sz w:val="21"/>
                <w:szCs w:val="21"/>
              </w:rPr>
              <w:t>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sz w:val="21"/>
                <w:szCs w:val="21"/>
              </w:rPr>
            </w:pPr>
            <w:r>
              <w:rPr>
                <w:rFonts w:hint="eastAsia" w:cs="Times New Roman" w:eastAsiaTheme="minorEastAsia"/>
                <w:snapToGrid w:val="0"/>
                <w:sz w:val="21"/>
                <w:szCs w:val="21"/>
              </w:rPr>
              <w:t>年平均气压（百帕）</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color w:val="000000"/>
                <w:sz w:val="21"/>
                <w:szCs w:val="21"/>
              </w:rPr>
            </w:pPr>
            <w:r>
              <w:rPr>
                <w:rFonts w:cs="Times New Roman" w:eastAsiaTheme="minorEastAsia"/>
                <w:snapToGrid w:val="0"/>
                <w:color w:val="000000"/>
                <w:sz w:val="21"/>
                <w:szCs w:val="21"/>
              </w:rPr>
              <w:t>1010.2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sz w:val="21"/>
                <w:szCs w:val="21"/>
              </w:rPr>
            </w:pPr>
            <w:r>
              <w:rPr>
                <w:rFonts w:cs="Times New Roman" w:eastAsiaTheme="minorEastAsia"/>
                <w:snapToGrid w:val="0"/>
                <w:sz w:val="21"/>
                <w:szCs w:val="21"/>
              </w:rPr>
              <w:t>年平均风速(m/s)</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color w:val="000000"/>
                <w:sz w:val="21"/>
                <w:szCs w:val="21"/>
              </w:rPr>
            </w:pPr>
            <w:r>
              <w:rPr>
                <w:rFonts w:cs="Times New Roman" w:eastAsiaTheme="minorEastAsia"/>
                <w:snapToGrid w:val="0"/>
                <w:color w:val="000000"/>
                <w:sz w:val="21"/>
                <w:szCs w:val="21"/>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sz w:val="21"/>
                <w:szCs w:val="21"/>
              </w:rPr>
            </w:pPr>
            <w:r>
              <w:rPr>
                <w:rFonts w:cs="Times New Roman" w:eastAsiaTheme="minorEastAsia"/>
                <w:snapToGrid w:val="0"/>
                <w:sz w:val="21"/>
                <w:szCs w:val="21"/>
              </w:rPr>
              <w:t>最大风速(m/s)及出现的时间</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color w:val="000000"/>
                <w:sz w:val="21"/>
                <w:szCs w:val="21"/>
              </w:rPr>
            </w:pPr>
            <w:r>
              <w:rPr>
                <w:rFonts w:cs="Times New Roman" w:eastAsiaTheme="minorEastAsia"/>
                <w:snapToGrid w:val="0"/>
                <w:color w:val="000000"/>
                <w:sz w:val="21"/>
                <w:szCs w:val="21"/>
              </w:rPr>
              <w:t>24.8，</w:t>
            </w:r>
            <w:r>
              <w:rPr>
                <w:rFonts w:hint="eastAsia" w:cs="Times New Roman" w:eastAsiaTheme="minorEastAsia"/>
                <w:snapToGrid w:val="0"/>
                <w:color w:val="000000"/>
                <w:sz w:val="21"/>
                <w:szCs w:val="21"/>
              </w:rPr>
              <w:t>风向：</w:t>
            </w:r>
            <w:r>
              <w:rPr>
                <w:rFonts w:cs="Times New Roman" w:eastAsiaTheme="minorEastAsia"/>
                <w:snapToGrid w:val="0"/>
                <w:color w:val="000000"/>
                <w:sz w:val="21"/>
                <w:szCs w:val="21"/>
              </w:rPr>
              <w:t>NE</w:t>
            </w:r>
          </w:p>
          <w:p>
            <w:pPr>
              <w:adjustRightInd w:val="0"/>
              <w:snapToGrid w:val="0"/>
              <w:spacing w:line="240" w:lineRule="auto"/>
              <w:ind w:firstLine="0" w:firstLineChars="0"/>
              <w:jc w:val="center"/>
              <w:rPr>
                <w:rFonts w:cs="Times New Roman" w:eastAsiaTheme="minorEastAsia"/>
                <w:snapToGrid w:val="0"/>
                <w:color w:val="000000"/>
                <w:sz w:val="21"/>
                <w:szCs w:val="21"/>
              </w:rPr>
            </w:pPr>
            <w:r>
              <w:rPr>
                <w:rFonts w:cs="Times New Roman" w:eastAsiaTheme="minorEastAsia"/>
                <w:snapToGrid w:val="0"/>
                <w:color w:val="000000"/>
                <w:sz w:val="21"/>
                <w:szCs w:val="21"/>
              </w:rPr>
              <w:t>出现时间：2012年7月24日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sz w:val="21"/>
                <w:szCs w:val="21"/>
              </w:rPr>
            </w:pPr>
            <w:r>
              <w:rPr>
                <w:rFonts w:cs="Times New Roman" w:eastAsiaTheme="minorEastAsia"/>
                <w:snapToGrid w:val="0"/>
                <w:sz w:val="21"/>
                <w:szCs w:val="21"/>
              </w:rPr>
              <w:t>年平均气温（</w:t>
            </w:r>
            <w:r>
              <w:rPr>
                <w:rFonts w:hint="eastAsia" w:cs="微软雅黑" w:eastAsiaTheme="minorEastAsia"/>
                <w:snapToGrid w:val="0"/>
                <w:sz w:val="21"/>
                <w:szCs w:val="21"/>
              </w:rPr>
              <w:t>℃</w:t>
            </w:r>
            <w:r>
              <w:rPr>
                <w:rFonts w:cs="Times New Roman" w:eastAsiaTheme="minorEastAsia"/>
                <w:snapToGrid w:val="0"/>
                <w:sz w:val="21"/>
                <w:szCs w:val="21"/>
              </w:rPr>
              <w:t>）</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color w:val="000000"/>
                <w:sz w:val="21"/>
                <w:szCs w:val="21"/>
              </w:rPr>
            </w:pPr>
            <w:r>
              <w:rPr>
                <w:rFonts w:cs="Times New Roman" w:eastAsiaTheme="minorEastAsia"/>
                <w:snapToGrid w:val="0"/>
                <w:color w:val="000000"/>
                <w:sz w:val="21"/>
                <w:szCs w:val="21"/>
              </w:rP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sz w:val="21"/>
                <w:szCs w:val="21"/>
              </w:rPr>
            </w:pPr>
            <w:r>
              <w:rPr>
                <w:rFonts w:cs="Times New Roman" w:eastAsiaTheme="minorEastAsia"/>
                <w:snapToGrid w:val="0"/>
                <w:sz w:val="21"/>
                <w:szCs w:val="21"/>
              </w:rPr>
              <w:t>极端最高气温（</w:t>
            </w:r>
            <w:r>
              <w:rPr>
                <w:rFonts w:hint="eastAsia" w:cs="微软雅黑" w:eastAsiaTheme="minorEastAsia"/>
                <w:snapToGrid w:val="0"/>
                <w:sz w:val="21"/>
                <w:szCs w:val="21"/>
              </w:rPr>
              <w:t>℃</w:t>
            </w:r>
            <w:r>
              <w:rPr>
                <w:rFonts w:cs="Times New Roman" w:eastAsiaTheme="minorEastAsia"/>
                <w:snapToGrid w:val="0"/>
                <w:sz w:val="21"/>
                <w:szCs w:val="21"/>
              </w:rPr>
              <w:t>）及出现的时间</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color w:val="000000"/>
                <w:sz w:val="21"/>
                <w:szCs w:val="21"/>
              </w:rPr>
            </w:pPr>
            <w:r>
              <w:rPr>
                <w:rFonts w:cs="Times New Roman" w:eastAsiaTheme="minorEastAsia"/>
                <w:snapToGrid w:val="0"/>
                <w:color w:val="000000"/>
                <w:sz w:val="21"/>
                <w:szCs w:val="21"/>
              </w:rPr>
              <w:t>39.4</w:t>
            </w:r>
          </w:p>
          <w:p>
            <w:pPr>
              <w:adjustRightInd w:val="0"/>
              <w:snapToGrid w:val="0"/>
              <w:spacing w:line="240" w:lineRule="auto"/>
              <w:ind w:firstLine="0" w:firstLineChars="0"/>
              <w:jc w:val="center"/>
              <w:rPr>
                <w:rFonts w:cs="Times New Roman" w:eastAsiaTheme="minorEastAsia"/>
                <w:snapToGrid w:val="0"/>
                <w:color w:val="000000"/>
                <w:sz w:val="21"/>
                <w:szCs w:val="21"/>
              </w:rPr>
            </w:pPr>
            <w:r>
              <w:rPr>
                <w:rFonts w:cs="Times New Roman" w:eastAsiaTheme="minorEastAsia"/>
                <w:snapToGrid w:val="0"/>
                <w:color w:val="000000"/>
                <w:sz w:val="21"/>
                <w:szCs w:val="21"/>
              </w:rPr>
              <w:t>出现时间：2004年7月1日、2005年7月19日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sz w:val="21"/>
                <w:szCs w:val="21"/>
              </w:rPr>
            </w:pPr>
            <w:r>
              <w:rPr>
                <w:rFonts w:cs="Times New Roman" w:eastAsiaTheme="minorEastAsia"/>
                <w:snapToGrid w:val="0"/>
                <w:sz w:val="21"/>
                <w:szCs w:val="21"/>
              </w:rPr>
              <w:t>极端最低气温（</w:t>
            </w:r>
            <w:r>
              <w:rPr>
                <w:rFonts w:hint="eastAsia" w:cs="微软雅黑" w:eastAsiaTheme="minorEastAsia"/>
                <w:snapToGrid w:val="0"/>
                <w:sz w:val="21"/>
                <w:szCs w:val="21"/>
              </w:rPr>
              <w:t>℃</w:t>
            </w:r>
            <w:r>
              <w:rPr>
                <w:rFonts w:cs="Times New Roman" w:eastAsiaTheme="minorEastAsia"/>
                <w:snapToGrid w:val="0"/>
                <w:sz w:val="21"/>
                <w:szCs w:val="21"/>
              </w:rPr>
              <w:t>）及出现的时间</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color w:val="000000"/>
                <w:sz w:val="21"/>
                <w:szCs w:val="21"/>
              </w:rPr>
            </w:pPr>
            <w:r>
              <w:rPr>
                <w:rFonts w:cs="Times New Roman" w:eastAsiaTheme="minorEastAsia"/>
                <w:snapToGrid w:val="0"/>
                <w:color w:val="000000"/>
                <w:sz w:val="21"/>
                <w:szCs w:val="21"/>
              </w:rPr>
              <w:t>1.5</w:t>
            </w:r>
          </w:p>
          <w:p>
            <w:pPr>
              <w:adjustRightInd w:val="0"/>
              <w:snapToGrid w:val="0"/>
              <w:spacing w:line="240" w:lineRule="auto"/>
              <w:ind w:firstLine="0" w:firstLineChars="0"/>
              <w:jc w:val="center"/>
              <w:rPr>
                <w:rFonts w:cs="Times New Roman" w:eastAsiaTheme="minorEastAsia"/>
                <w:snapToGrid w:val="0"/>
                <w:color w:val="000000"/>
                <w:sz w:val="21"/>
                <w:szCs w:val="21"/>
              </w:rPr>
            </w:pPr>
            <w:r>
              <w:rPr>
                <w:rFonts w:cs="Times New Roman" w:eastAsiaTheme="minorEastAsia"/>
                <w:snapToGrid w:val="0"/>
                <w:color w:val="000000"/>
                <w:sz w:val="21"/>
                <w:szCs w:val="21"/>
              </w:rPr>
              <w:t>出现时间：2010年12月17日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sz w:val="21"/>
                <w:szCs w:val="21"/>
              </w:rPr>
            </w:pPr>
            <w:r>
              <w:rPr>
                <w:rFonts w:cs="Times New Roman" w:eastAsiaTheme="minorEastAsia"/>
                <w:snapToGrid w:val="0"/>
                <w:sz w:val="21"/>
                <w:szCs w:val="21"/>
              </w:rPr>
              <w:t>年平均相对湿度（%）</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color w:val="000000"/>
                <w:sz w:val="21"/>
                <w:szCs w:val="21"/>
              </w:rPr>
            </w:pPr>
            <w:r>
              <w:rPr>
                <w:rFonts w:cs="Times New Roman" w:eastAsiaTheme="minorEastAsia"/>
                <w:snapToGrid w:val="0"/>
                <w:color w:val="000000"/>
                <w:sz w:val="21"/>
                <w:szCs w:val="21"/>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sz w:val="21"/>
                <w:szCs w:val="21"/>
              </w:rPr>
            </w:pPr>
            <w:r>
              <w:rPr>
                <w:rFonts w:cs="Times New Roman" w:eastAsiaTheme="minorEastAsia"/>
                <w:snapToGrid w:val="0"/>
                <w:sz w:val="21"/>
                <w:szCs w:val="21"/>
              </w:rPr>
              <w:t>年均降水量（mm）</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color w:val="000000"/>
                <w:sz w:val="21"/>
                <w:szCs w:val="21"/>
              </w:rPr>
            </w:pPr>
            <w:r>
              <w:rPr>
                <w:rFonts w:cs="Times New Roman" w:eastAsiaTheme="minorEastAsia"/>
                <w:snapToGrid w:val="0"/>
                <w:color w:val="000000"/>
                <w:sz w:val="21"/>
                <w:szCs w:val="21"/>
              </w:rPr>
              <w:t>1844.7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sz w:val="21"/>
                <w:szCs w:val="21"/>
              </w:rPr>
            </w:pPr>
            <w:r>
              <w:rPr>
                <w:rFonts w:hint="eastAsia" w:cs="Times New Roman" w:eastAsiaTheme="minorEastAsia"/>
                <w:snapToGrid w:val="0"/>
                <w:sz w:val="21"/>
                <w:szCs w:val="21"/>
              </w:rPr>
              <w:t>年均降雨日数</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color w:val="000000"/>
                <w:sz w:val="21"/>
                <w:szCs w:val="21"/>
              </w:rPr>
            </w:pPr>
            <w:r>
              <w:rPr>
                <w:rFonts w:hint="eastAsia" w:cs="Times New Roman" w:eastAsiaTheme="minorEastAsia"/>
                <w:snapToGrid w:val="0"/>
                <w:color w:val="000000"/>
                <w:sz w:val="21"/>
                <w:szCs w:val="21"/>
              </w:rPr>
              <w:t>1</w:t>
            </w:r>
            <w:r>
              <w:rPr>
                <w:rFonts w:cs="Times New Roman" w:eastAsiaTheme="minorEastAsia"/>
                <w:snapToGrid w:val="0"/>
                <w:color w:val="000000"/>
                <w:sz w:val="21"/>
                <w:szCs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sz w:val="21"/>
                <w:szCs w:val="21"/>
              </w:rPr>
            </w:pPr>
            <w:r>
              <w:rPr>
                <w:rFonts w:cs="Times New Roman" w:eastAsiaTheme="minorEastAsia"/>
                <w:snapToGrid w:val="0"/>
                <w:sz w:val="21"/>
                <w:szCs w:val="21"/>
              </w:rPr>
              <w:t>年最大降水量（mm）及出现的时间</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color w:val="000000"/>
                <w:sz w:val="21"/>
                <w:szCs w:val="21"/>
              </w:rPr>
            </w:pPr>
            <w:r>
              <w:rPr>
                <w:rFonts w:cs="Times New Roman" w:eastAsiaTheme="minorEastAsia"/>
                <w:snapToGrid w:val="0"/>
                <w:color w:val="000000"/>
                <w:sz w:val="21"/>
                <w:szCs w:val="21"/>
              </w:rPr>
              <w:t>最大值：2579.6mm  出现时间：2001年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sz w:val="21"/>
                <w:szCs w:val="21"/>
              </w:rPr>
            </w:pPr>
            <w:r>
              <w:rPr>
                <w:rFonts w:cs="Times New Roman" w:eastAsiaTheme="minorEastAsia"/>
                <w:snapToGrid w:val="0"/>
                <w:sz w:val="21"/>
                <w:szCs w:val="21"/>
              </w:rPr>
              <w:t>年最小降水量（mm）及出现的时间</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color w:val="000000"/>
                <w:sz w:val="21"/>
                <w:szCs w:val="21"/>
              </w:rPr>
            </w:pPr>
            <w:r>
              <w:rPr>
                <w:rFonts w:cs="Times New Roman" w:eastAsiaTheme="minorEastAsia"/>
                <w:snapToGrid w:val="0"/>
                <w:color w:val="000000"/>
                <w:sz w:val="21"/>
                <w:szCs w:val="21"/>
              </w:rPr>
              <w:t>最小值：1091.9mm  出现时间：2011年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sz w:val="21"/>
                <w:szCs w:val="21"/>
              </w:rPr>
            </w:pPr>
            <w:r>
              <w:rPr>
                <w:rFonts w:cs="Times New Roman" w:eastAsiaTheme="minorEastAsia"/>
                <w:snapToGrid w:val="0"/>
                <w:sz w:val="21"/>
                <w:szCs w:val="21"/>
              </w:rPr>
              <w:t>年平均日照时数（h）</w:t>
            </w:r>
          </w:p>
        </w:tc>
        <w:tc>
          <w:tcPr>
            <w:tcW w:w="4864" w:type="dxa"/>
            <w:tcBorders>
              <w:top w:val="single" w:color="auto" w:sz="4" w:space="0"/>
              <w:left w:val="single" w:color="auto" w:sz="4" w:space="0"/>
              <w:bottom w:val="single" w:color="auto" w:sz="4" w:space="0"/>
              <w:right w:val="single" w:color="auto" w:sz="4" w:space="0"/>
            </w:tcBorders>
            <w:vAlign w:val="center"/>
          </w:tcPr>
          <w:p>
            <w:pPr>
              <w:keepNext/>
              <w:adjustRightInd w:val="0"/>
              <w:snapToGrid w:val="0"/>
              <w:spacing w:line="240" w:lineRule="auto"/>
              <w:ind w:firstLine="0" w:firstLineChars="0"/>
              <w:jc w:val="center"/>
              <w:rPr>
                <w:rFonts w:cs="Times New Roman" w:eastAsiaTheme="minorEastAsia"/>
                <w:snapToGrid w:val="0"/>
                <w:color w:val="000000"/>
                <w:sz w:val="21"/>
                <w:szCs w:val="21"/>
              </w:rPr>
            </w:pPr>
            <w:r>
              <w:rPr>
                <w:rFonts w:cs="Times New Roman" w:eastAsiaTheme="minorEastAsia"/>
                <w:snapToGrid w:val="0"/>
                <w:color w:val="000000"/>
                <w:sz w:val="21"/>
                <w:szCs w:val="21"/>
              </w:rPr>
              <w:t>1696.8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sz w:val="21"/>
                <w:szCs w:val="21"/>
              </w:rPr>
            </w:pPr>
            <w:r>
              <w:rPr>
                <w:rFonts w:hint="eastAsia" w:cs="Times New Roman" w:eastAsiaTheme="minorEastAsia"/>
                <w:snapToGrid w:val="0"/>
                <w:sz w:val="21"/>
                <w:szCs w:val="21"/>
              </w:rPr>
              <w:t>年蒸发量（mm）</w:t>
            </w:r>
          </w:p>
        </w:tc>
        <w:tc>
          <w:tcPr>
            <w:tcW w:w="4864" w:type="dxa"/>
            <w:tcBorders>
              <w:top w:val="single" w:color="auto" w:sz="4" w:space="0"/>
              <w:left w:val="single" w:color="auto" w:sz="4" w:space="0"/>
              <w:bottom w:val="single" w:color="auto" w:sz="4" w:space="0"/>
              <w:right w:val="single" w:color="auto" w:sz="4" w:space="0"/>
            </w:tcBorders>
            <w:vAlign w:val="center"/>
          </w:tcPr>
          <w:p>
            <w:pPr>
              <w:keepNext/>
              <w:adjustRightInd w:val="0"/>
              <w:snapToGrid w:val="0"/>
              <w:spacing w:line="240" w:lineRule="auto"/>
              <w:ind w:firstLine="0" w:firstLineChars="0"/>
              <w:jc w:val="center"/>
              <w:rPr>
                <w:rFonts w:cs="Times New Roman" w:eastAsiaTheme="minorEastAsia"/>
                <w:snapToGrid w:val="0"/>
                <w:color w:val="000000"/>
                <w:sz w:val="21"/>
                <w:szCs w:val="21"/>
              </w:rPr>
            </w:pPr>
            <w:r>
              <w:rPr>
                <w:rFonts w:cs="Times New Roman" w:eastAsiaTheme="minorEastAsia"/>
                <w:snapToGrid w:val="0"/>
                <w:color w:val="000000"/>
                <w:sz w:val="21"/>
                <w:szCs w:val="21"/>
              </w:rPr>
              <w:t>1721.6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08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sz w:val="21"/>
                <w:szCs w:val="21"/>
              </w:rPr>
            </w:pPr>
            <w:r>
              <w:rPr>
                <w:rFonts w:cs="Times New Roman" w:eastAsiaTheme="minorEastAsia"/>
                <w:snapToGrid w:val="0"/>
                <w:sz w:val="21"/>
                <w:szCs w:val="21"/>
              </w:rPr>
              <w:t>年平均风速(m/s)</w:t>
            </w:r>
          </w:p>
        </w:tc>
        <w:tc>
          <w:tcPr>
            <w:tcW w:w="48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rFonts w:cs="Times New Roman" w:eastAsiaTheme="minorEastAsia"/>
                <w:snapToGrid w:val="0"/>
                <w:color w:val="000000"/>
                <w:sz w:val="21"/>
                <w:szCs w:val="21"/>
              </w:rPr>
            </w:pPr>
            <w:r>
              <w:rPr>
                <w:rFonts w:cs="Times New Roman" w:eastAsiaTheme="minorEastAsia"/>
                <w:snapToGrid w:val="0"/>
                <w:color w:val="000000"/>
                <w:sz w:val="21"/>
                <w:szCs w:val="21"/>
              </w:rPr>
              <w:t>1.9</w:t>
            </w:r>
          </w:p>
        </w:tc>
      </w:tr>
    </w:tbl>
    <w:p>
      <w:pPr>
        <w:keepNext/>
        <w:adjustRightInd w:val="0"/>
        <w:snapToGrid w:val="0"/>
        <w:ind w:firstLine="480"/>
        <w:jc w:val="center"/>
        <w:rPr>
          <w:rFonts w:eastAsiaTheme="minorEastAsia"/>
        </w:rPr>
      </w:pPr>
      <w:r>
        <w:rPr>
          <w:rFonts w:eastAsiaTheme="minorEastAsia"/>
        </w:rPr>
        <w:drawing>
          <wp:inline distT="0" distB="0" distL="0" distR="0">
            <wp:extent cx="2333625" cy="2090420"/>
            <wp:effectExtent l="0" t="0" r="0" b="44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54"/>
                    <a:srcRect/>
                    <a:stretch>
                      <a:fillRect/>
                    </a:stretch>
                  </pic:blipFill>
                  <pic:spPr>
                    <a:xfrm>
                      <a:off x="0" y="0"/>
                      <a:ext cx="2333625" cy="2091049"/>
                    </a:xfrm>
                    <a:prstGeom prst="rect">
                      <a:avLst/>
                    </a:prstGeom>
                    <a:noFill/>
                    <a:ln>
                      <a:noFill/>
                    </a:ln>
                  </pic:spPr>
                </pic:pic>
              </a:graphicData>
            </a:graphic>
          </wp:inline>
        </w:drawing>
      </w:r>
    </w:p>
    <w:p>
      <w:pPr>
        <w:pStyle w:val="18"/>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rPr>
          <w:rFonts w:hint="eastAsia"/>
        </w:rPr>
        <w:t>开平气象站风向玫瑰图</w:t>
      </w:r>
    </w:p>
    <w:p>
      <w:pPr>
        <w:pStyle w:val="5"/>
      </w:pPr>
      <w:r>
        <w:t>河流</w:t>
      </w:r>
      <w:r>
        <w:rPr>
          <w:rFonts w:hint="eastAsia"/>
        </w:rPr>
        <w:t>及</w:t>
      </w:r>
      <w:r>
        <w:t>水文</w:t>
      </w:r>
      <w:bookmarkEnd w:id="274"/>
      <w:r>
        <w:rPr>
          <w:rFonts w:hint="eastAsia"/>
        </w:rPr>
        <w:t>特征</w:t>
      </w:r>
    </w:p>
    <w:p>
      <w:pPr>
        <w:ind w:firstLine="480"/>
        <w:rPr>
          <w:rFonts w:eastAsiaTheme="minorEastAsia"/>
          <w:bCs/>
        </w:rPr>
      </w:pPr>
      <w:bookmarkStart w:id="275" w:name="_Toc208366940"/>
      <w:bookmarkStart w:id="276" w:name="_Toc210197854"/>
      <w:bookmarkStart w:id="277" w:name="_Toc211670784"/>
      <w:bookmarkStart w:id="278" w:name="_Toc211682348"/>
      <w:bookmarkStart w:id="279" w:name="_Toc207632971"/>
      <w:bookmarkStart w:id="280" w:name="_Toc225226699"/>
      <w:r>
        <w:rPr>
          <w:rFonts w:hint="eastAsia" w:eastAsiaTheme="minorEastAsia"/>
          <w:bCs/>
        </w:rPr>
        <w:t>开平市地处珠江三角洲西部网河地带，河流密布，水道纵横，主要河流是潭江，全市面积95％在潭江流域内。潭江干流发源于阳江市阳东县牛围岭，与莲塘水汇合入境，经百合、三埠、水口入新会市境，直泻珠江三角河口区，向崖门奔注南海。潭江干流全长</w:t>
      </w:r>
      <w:r>
        <w:rPr>
          <w:rFonts w:eastAsiaTheme="minorEastAsia"/>
          <w:bCs/>
        </w:rPr>
        <w:t>248km</w:t>
      </w:r>
      <w:r>
        <w:rPr>
          <w:rFonts w:hint="eastAsia" w:eastAsiaTheme="minorEastAsia"/>
          <w:bCs/>
        </w:rPr>
        <w:t>，流域面积</w:t>
      </w:r>
      <w:r>
        <w:rPr>
          <w:rFonts w:eastAsiaTheme="minorEastAsia"/>
          <w:bCs/>
        </w:rPr>
        <w:t>5068km</w:t>
      </w:r>
      <w:r>
        <w:rPr>
          <w:rFonts w:eastAsiaTheme="minorEastAsia"/>
          <w:bCs/>
          <w:vertAlign w:val="superscript"/>
        </w:rPr>
        <w:t>2</w:t>
      </w:r>
      <w:r>
        <w:rPr>
          <w:rFonts w:hint="eastAsia" w:eastAsiaTheme="minorEastAsia"/>
          <w:bCs/>
        </w:rPr>
        <w:t>；在开平境内河长</w:t>
      </w:r>
      <w:r>
        <w:rPr>
          <w:rFonts w:eastAsiaTheme="minorEastAsia"/>
          <w:bCs/>
        </w:rPr>
        <w:t>56km</w:t>
      </w:r>
      <w:r>
        <w:rPr>
          <w:rFonts w:hint="eastAsia" w:eastAsiaTheme="minorEastAsia"/>
          <w:bCs/>
        </w:rPr>
        <w:t>，流域面积</w:t>
      </w:r>
      <w:r>
        <w:rPr>
          <w:rFonts w:eastAsiaTheme="minorEastAsia"/>
          <w:bCs/>
        </w:rPr>
        <w:t>1580km</w:t>
      </w:r>
      <w:r>
        <w:rPr>
          <w:rFonts w:eastAsiaTheme="minorEastAsia"/>
          <w:bCs/>
          <w:vertAlign w:val="superscript"/>
        </w:rPr>
        <w:t>2</w:t>
      </w:r>
      <w:r>
        <w:rPr>
          <w:rFonts w:hint="eastAsia" w:eastAsiaTheme="minorEastAsia"/>
          <w:bCs/>
        </w:rPr>
        <w:t>，全河平均坡降为</w:t>
      </w:r>
      <w:r>
        <w:rPr>
          <w:rFonts w:eastAsiaTheme="minorEastAsia"/>
          <w:bCs/>
        </w:rPr>
        <w:t>0.45</w:t>
      </w:r>
      <w:r>
        <w:rPr>
          <w:rFonts w:hint="eastAsia" w:eastAsiaTheme="minorEastAsia"/>
          <w:bCs/>
        </w:rPr>
        <w:t>‰。潭江在开平市境内集雨面积大于100</w:t>
      </w:r>
      <w:r>
        <w:rPr>
          <w:rFonts w:eastAsiaTheme="minorEastAsia"/>
          <w:bCs/>
        </w:rPr>
        <w:t>0km</w:t>
      </w:r>
      <w:r>
        <w:rPr>
          <w:rFonts w:eastAsiaTheme="minorEastAsia"/>
          <w:bCs/>
          <w:vertAlign w:val="superscript"/>
        </w:rPr>
        <w:t>2</w:t>
      </w:r>
      <w:r>
        <w:rPr>
          <w:rFonts w:hint="eastAsia" w:eastAsiaTheme="minorEastAsia"/>
          <w:bCs/>
        </w:rPr>
        <w:t>的二级支流有镇海水、白沙水、蚬冈水、新桥水、新昌水、址山水、莲塘水7条；三级支流有双桥水和开平水（均属镇海水支流）2条。</w:t>
      </w:r>
    </w:p>
    <w:p>
      <w:pPr>
        <w:ind w:firstLine="480"/>
        <w:rPr>
          <w:rFonts w:eastAsiaTheme="minorEastAsia"/>
          <w:bCs/>
        </w:rPr>
      </w:pPr>
      <w:r>
        <w:rPr>
          <w:rFonts w:hint="eastAsia" w:eastAsiaTheme="minorEastAsia"/>
          <w:bCs/>
        </w:rPr>
        <w:t>与项目有关的河流水系主要有镇海水，其情况如下。</w:t>
      </w:r>
    </w:p>
    <w:p>
      <w:pPr>
        <w:ind w:firstLine="480"/>
        <w:rPr>
          <w:rFonts w:eastAsiaTheme="minorEastAsia"/>
        </w:rPr>
      </w:pPr>
      <w:r>
        <w:rPr>
          <w:rFonts w:hint="eastAsia" w:eastAsiaTheme="minorEastAsia"/>
          <w:bCs/>
        </w:rPr>
        <w:t>镇海水位于潭江下游左岸，为潭江最大的一级支流，发源于鹤山将军岭，上游于鹤山境内称宅梧河，自西北向东南汇入汇入双桥水后折向南流，并先后汇入开平水，经苍城、沙塘，在交流渡分成两股水，其中较大的一股向南由八一村委会流入潭江，另一股向东南经三埠北面在新美流入潭江。流域总面积</w:t>
      </w:r>
      <w:r>
        <w:rPr>
          <w:rFonts w:eastAsiaTheme="minorEastAsia"/>
          <w:bCs/>
        </w:rPr>
        <w:t>1203km</w:t>
      </w:r>
      <w:r>
        <w:rPr>
          <w:rFonts w:eastAsiaTheme="minorEastAsia"/>
          <w:bCs/>
          <w:vertAlign w:val="superscript"/>
        </w:rPr>
        <w:t>2</w:t>
      </w:r>
      <w:r>
        <w:rPr>
          <w:rFonts w:hint="eastAsia" w:eastAsiaTheme="minorEastAsia"/>
          <w:bCs/>
        </w:rPr>
        <w:t>，河流长</w:t>
      </w:r>
      <w:r>
        <w:rPr>
          <w:rFonts w:eastAsiaTheme="minorEastAsia"/>
          <w:bCs/>
        </w:rPr>
        <w:t>69km</w:t>
      </w:r>
      <w:r>
        <w:rPr>
          <w:rFonts w:hint="eastAsia" w:eastAsiaTheme="minorEastAsia"/>
          <w:bCs/>
        </w:rPr>
        <w:t>，河床上游平缓，平均比降为</w:t>
      </w:r>
      <w:r>
        <w:rPr>
          <w:rFonts w:eastAsiaTheme="minorEastAsia"/>
          <w:bCs/>
        </w:rPr>
        <w:t>0.81‰</w:t>
      </w:r>
      <w:r>
        <w:rPr>
          <w:rFonts w:hint="eastAsia" w:eastAsiaTheme="minorEastAsia"/>
          <w:bCs/>
        </w:rPr>
        <w:t>，其中集水面积</w:t>
      </w:r>
      <w:r>
        <w:rPr>
          <w:rFonts w:eastAsiaTheme="minorEastAsia"/>
          <w:bCs/>
        </w:rPr>
        <w:t>100 km</w:t>
      </w:r>
      <w:r>
        <w:rPr>
          <w:rFonts w:eastAsiaTheme="minorEastAsia"/>
          <w:bCs/>
          <w:vertAlign w:val="superscript"/>
        </w:rPr>
        <w:t>2</w:t>
      </w:r>
      <w:r>
        <w:rPr>
          <w:rFonts w:hint="eastAsia" w:eastAsiaTheme="minorEastAsia"/>
          <w:bCs/>
        </w:rPr>
        <w:t>以上的支流有双桥水、开平水、靖村水、曲水等</w:t>
      </w:r>
      <w:r>
        <w:rPr>
          <w:rFonts w:eastAsiaTheme="minorEastAsia"/>
          <w:bCs/>
        </w:rPr>
        <w:t>4</w:t>
      </w:r>
      <w:r>
        <w:rPr>
          <w:rFonts w:hint="eastAsia" w:eastAsiaTheme="minorEastAsia"/>
          <w:bCs/>
        </w:rPr>
        <w:t>条。镇海水已建大沙河、镇海</w:t>
      </w:r>
      <w:r>
        <w:rPr>
          <w:rFonts w:eastAsiaTheme="minorEastAsia"/>
          <w:bCs/>
        </w:rPr>
        <w:t>2</w:t>
      </w:r>
      <w:r>
        <w:rPr>
          <w:rFonts w:hint="eastAsia" w:eastAsiaTheme="minorEastAsia"/>
          <w:bCs/>
        </w:rPr>
        <w:t>宗大（二）型水库和立新、花身蚕</w:t>
      </w:r>
      <w:r>
        <w:rPr>
          <w:rFonts w:eastAsiaTheme="minorEastAsia"/>
          <w:bCs/>
        </w:rPr>
        <w:t>2</w:t>
      </w:r>
      <w:r>
        <w:rPr>
          <w:rFonts w:hint="eastAsia" w:eastAsiaTheme="minorEastAsia"/>
          <w:bCs/>
        </w:rPr>
        <w:t>宗中型水库，以及小（一）型水库</w:t>
      </w:r>
      <w:r>
        <w:rPr>
          <w:rFonts w:eastAsiaTheme="minorEastAsia"/>
          <w:bCs/>
        </w:rPr>
        <w:t>17</w:t>
      </w:r>
      <w:r>
        <w:rPr>
          <w:rFonts w:hint="eastAsia" w:eastAsiaTheme="minorEastAsia"/>
          <w:bCs/>
        </w:rPr>
        <w:t>宗，小（二）型水库</w:t>
      </w:r>
      <w:r>
        <w:rPr>
          <w:rFonts w:eastAsiaTheme="minorEastAsia"/>
          <w:bCs/>
        </w:rPr>
        <w:t>45</w:t>
      </w:r>
      <w:r>
        <w:rPr>
          <w:rFonts w:hint="eastAsia" w:eastAsiaTheme="minorEastAsia"/>
          <w:bCs/>
        </w:rPr>
        <w:t>宗，总库容</w:t>
      </w:r>
      <w:r>
        <w:rPr>
          <w:rFonts w:eastAsiaTheme="minorEastAsia"/>
          <w:bCs/>
        </w:rPr>
        <w:t>4.38</w:t>
      </w:r>
      <w:r>
        <w:rPr>
          <w:rFonts w:hint="eastAsia" w:eastAsiaTheme="minorEastAsia"/>
          <w:bCs/>
        </w:rPr>
        <w:t>亿立方米，控制集雨面积</w:t>
      </w:r>
      <w:r>
        <w:rPr>
          <w:rFonts w:eastAsiaTheme="minorEastAsia"/>
          <w:bCs/>
        </w:rPr>
        <w:t>459 km</w:t>
      </w:r>
      <w:r>
        <w:rPr>
          <w:rFonts w:eastAsiaTheme="minorEastAsia"/>
          <w:bCs/>
          <w:vertAlign w:val="superscript"/>
        </w:rPr>
        <w:t>2</w:t>
      </w:r>
      <w:r>
        <w:rPr>
          <w:rFonts w:hint="eastAsia" w:eastAsiaTheme="minorEastAsia"/>
        </w:rPr>
        <w:t>。</w:t>
      </w:r>
    </w:p>
    <w:p>
      <w:pPr>
        <w:pStyle w:val="5"/>
      </w:pPr>
      <w:r>
        <w:t>地下水</w:t>
      </w:r>
    </w:p>
    <w:p>
      <w:pPr>
        <w:ind w:firstLine="480"/>
        <w:rPr>
          <w:rFonts w:eastAsiaTheme="minorEastAsia"/>
        </w:rPr>
      </w:pPr>
      <w:r>
        <w:rPr>
          <w:rFonts w:eastAsiaTheme="minorEastAsia"/>
        </w:rPr>
        <w:t>根据1：20万开平幅水文地质资料，区域含水层分为属于松散岩类孔隙水、层状基岩裂隙水和断层裂隙水(见图</w:t>
      </w:r>
      <w:r>
        <w:rPr>
          <w:rFonts w:hint="eastAsia" w:eastAsiaTheme="minorEastAsia"/>
        </w:rPr>
        <w:t>3.1-2</w:t>
      </w:r>
      <w:r>
        <w:rPr>
          <w:rFonts w:eastAsiaTheme="minorEastAsia"/>
        </w:rPr>
        <w:t>)。</w:t>
      </w:r>
    </w:p>
    <w:p>
      <w:pPr>
        <w:keepNext/>
        <w:spacing w:line="240" w:lineRule="auto"/>
        <w:ind w:firstLine="480"/>
        <w:jc w:val="center"/>
        <w:rPr>
          <w:rFonts w:eastAsiaTheme="minorEastAsia"/>
        </w:rPr>
      </w:pPr>
      <w:r>
        <w:rPr>
          <w:rFonts w:eastAsiaTheme="minorEastAsia"/>
          <w:u w:val="single"/>
        </w:rPr>
        <w:drawing>
          <wp:inline distT="0" distB="0" distL="114300" distR="114300">
            <wp:extent cx="4930140" cy="4933950"/>
            <wp:effectExtent l="0" t="0" r="3810" b="0"/>
            <wp:docPr id="6" name="图片 60" descr="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0" descr="插图"/>
                    <pic:cNvPicPr>
                      <a:picLocks noChangeAspect="1"/>
                    </pic:cNvPicPr>
                  </pic:nvPicPr>
                  <pic:blipFill>
                    <a:blip r:embed="rId55"/>
                    <a:stretch>
                      <a:fillRect/>
                    </a:stretch>
                  </pic:blipFill>
                  <pic:spPr>
                    <a:xfrm>
                      <a:off x="0" y="0"/>
                      <a:ext cx="4930140" cy="4933950"/>
                    </a:xfrm>
                    <a:prstGeom prst="rect">
                      <a:avLst/>
                    </a:prstGeom>
                    <a:noFill/>
                    <a:ln w="9525">
                      <a:noFill/>
                    </a:ln>
                  </pic:spPr>
                </pic:pic>
              </a:graphicData>
            </a:graphic>
          </wp:inline>
        </w:drawing>
      </w:r>
    </w:p>
    <w:p>
      <w:pPr>
        <w:pStyle w:val="18"/>
        <w:rPr>
          <w:u w:val="single"/>
        </w:rPr>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r>
        <w:t xml:space="preserve"> </w:t>
      </w:r>
      <w:r>
        <w:rPr>
          <w:rFonts w:hint="eastAsia"/>
        </w:rPr>
        <w:t>项目所在区域水文地质图</w:t>
      </w:r>
    </w:p>
    <w:p>
      <w:pPr>
        <w:spacing w:before="120"/>
        <w:ind w:firstLine="480"/>
        <w:jc w:val="center"/>
        <w:rPr>
          <w:rFonts w:eastAsiaTheme="minorEastAsia"/>
        </w:rPr>
      </w:pPr>
      <w:r>
        <w:rPr>
          <w:rFonts w:eastAsiaTheme="minorEastAsia"/>
        </w:rPr>
        <w:t>（据1：20万开平幅水文地质图修编）</w:t>
      </w:r>
    </w:p>
    <w:p>
      <w:pPr>
        <w:ind w:firstLine="480"/>
        <w:rPr>
          <w:rFonts w:eastAsiaTheme="minorEastAsia"/>
        </w:rPr>
      </w:pPr>
      <w:bookmarkStart w:id="281" w:name="_Toc303323542"/>
      <w:r>
        <w:rPr>
          <w:rFonts w:eastAsiaTheme="minorEastAsia"/>
        </w:rPr>
        <w:t>（1）松散岩类孔隙水</w:t>
      </w:r>
      <w:bookmarkEnd w:id="281"/>
    </w:p>
    <w:p>
      <w:pPr>
        <w:ind w:firstLine="480"/>
        <w:rPr>
          <w:rFonts w:eastAsiaTheme="minorEastAsia"/>
        </w:rPr>
      </w:pPr>
      <w:r>
        <w:rPr>
          <w:rFonts w:eastAsiaTheme="minorEastAsia"/>
        </w:rPr>
        <w:t xml:space="preserve">含水岩组为第四系的冲积层，主要分布于沿河两岸的一级阶地及残丘沟谷和山间谷地中，岩性为砂土、亚砂土、粘土和耕土等，厚度一般10～20m，含孔隙潜水。根据抽水试验结果，项目所在位置单位涌水量q分别为0.033L/（s.m），水量贫乏，富水性弱。 </w:t>
      </w:r>
    </w:p>
    <w:p>
      <w:pPr>
        <w:ind w:firstLine="480"/>
        <w:rPr>
          <w:rFonts w:eastAsiaTheme="minorEastAsia"/>
        </w:rPr>
      </w:pPr>
      <w:bookmarkStart w:id="282" w:name="_Toc303323543"/>
      <w:r>
        <w:rPr>
          <w:rFonts w:eastAsiaTheme="minorEastAsia"/>
        </w:rPr>
        <w:t>（2）层状基岩裂隙水</w:t>
      </w:r>
      <w:bookmarkEnd w:id="282"/>
    </w:p>
    <w:p>
      <w:pPr>
        <w:ind w:firstLine="480"/>
        <w:rPr>
          <w:rFonts w:eastAsiaTheme="minorEastAsia"/>
        </w:rPr>
      </w:pPr>
      <w:r>
        <w:rPr>
          <w:rFonts w:eastAsiaTheme="minorEastAsia"/>
        </w:rPr>
        <w:t>岩性为侏罗系百足山群的砂岩、粉砂岩，地下水常以下降泉的形式排泄，流量0.05～0.15 L/s，枯季地下迳流模数为4.6 L(/s.km</w:t>
      </w:r>
      <w:r>
        <w:rPr>
          <w:rFonts w:eastAsiaTheme="minorEastAsia"/>
          <w:vertAlign w:val="superscript"/>
        </w:rPr>
        <w:t>2</w:t>
      </w:r>
      <w:r>
        <w:rPr>
          <w:rFonts w:eastAsiaTheme="minorEastAsia"/>
        </w:rPr>
        <w:t>)，水化学类型为HCO</w:t>
      </w:r>
      <w:r>
        <w:rPr>
          <w:rFonts w:eastAsiaTheme="minorEastAsia"/>
          <w:vertAlign w:val="subscript"/>
        </w:rPr>
        <w:t>3</w:t>
      </w:r>
      <w:r>
        <w:rPr>
          <w:rFonts w:eastAsiaTheme="minorEastAsia"/>
        </w:rPr>
        <w:t>—Ca型，矿化度为0.014～0.065g/L，pH值为5.20～6.70。</w:t>
      </w:r>
    </w:p>
    <w:p>
      <w:pPr>
        <w:ind w:firstLine="480"/>
        <w:rPr>
          <w:rFonts w:eastAsiaTheme="minorEastAsia"/>
          <w:bCs/>
        </w:rPr>
      </w:pPr>
      <w:bookmarkStart w:id="283" w:name="_Toc303323544"/>
      <w:r>
        <w:rPr>
          <w:rFonts w:eastAsiaTheme="minorEastAsia"/>
          <w:bCs/>
        </w:rPr>
        <w:t>（3）断层裂隙水</w:t>
      </w:r>
      <w:bookmarkEnd w:id="283"/>
    </w:p>
    <w:p>
      <w:pPr>
        <w:ind w:firstLine="480"/>
        <w:rPr>
          <w:rFonts w:eastAsiaTheme="minorEastAsia"/>
        </w:rPr>
      </w:pPr>
      <w:r>
        <w:rPr>
          <w:rFonts w:eastAsiaTheme="minorEastAsia"/>
        </w:rPr>
        <w:t>断裂的含水性主要取决于断裂两盘岩石的性质、断裂的力学性质及规模。从调查区园区西北角侧通过的恩平～苍城断裂带充水条件较好，断裂带的泉流量（20.0L/s）远远超出附近泉水流量(0.05～0.15L/s)，多沿断裂呈线状展布。</w:t>
      </w:r>
    </w:p>
    <w:p>
      <w:pPr>
        <w:ind w:firstLine="480"/>
        <w:rPr>
          <w:rFonts w:eastAsiaTheme="minorEastAsia"/>
        </w:rPr>
      </w:pPr>
      <w:bookmarkStart w:id="284" w:name="_Toc303323552"/>
      <w:r>
        <w:rPr>
          <w:rFonts w:eastAsiaTheme="minorEastAsia"/>
        </w:rPr>
        <w:t>（4）区内含水层、隔水层特征</w:t>
      </w:r>
      <w:bookmarkEnd w:id="284"/>
    </w:p>
    <w:p>
      <w:pPr>
        <w:ind w:firstLine="480"/>
        <w:rPr>
          <w:rFonts w:eastAsiaTheme="minorEastAsia"/>
          <w:bCs/>
        </w:rPr>
      </w:pPr>
      <w:r>
        <w:rPr>
          <w:rFonts w:eastAsiaTheme="minorEastAsia"/>
          <w:bCs/>
        </w:rPr>
        <w:t>根据1：20万区域资料及本次调查所获得的数据和经验，将区内的中风化砂岩（层号</w:t>
      </w:r>
      <w:r>
        <w:rPr>
          <w:rFonts w:hint="eastAsia" w:eastAsiaTheme="minorEastAsia"/>
          <w:bCs/>
        </w:rPr>
        <w:t>④</w:t>
      </w:r>
      <w:r>
        <w:rPr>
          <w:rFonts w:eastAsiaTheme="minorEastAsia"/>
          <w:bCs/>
        </w:rPr>
        <w:t>3）划分为弱含水层，其余岩土层划分为相对隔水层。</w:t>
      </w:r>
    </w:p>
    <w:p>
      <w:pPr>
        <w:ind w:firstLine="480"/>
        <w:rPr>
          <w:rFonts w:eastAsiaTheme="minorEastAsia"/>
        </w:rPr>
      </w:pPr>
      <w:bookmarkStart w:id="285" w:name="_Toc303323553"/>
      <w:r>
        <w:rPr>
          <w:rFonts w:eastAsiaTheme="minorEastAsia"/>
        </w:rPr>
        <w:t>A、含水层</w:t>
      </w:r>
      <w:bookmarkEnd w:id="285"/>
    </w:p>
    <w:p>
      <w:pPr>
        <w:ind w:firstLine="480"/>
        <w:rPr>
          <w:rFonts w:eastAsiaTheme="minorEastAsia"/>
          <w:bCs/>
        </w:rPr>
      </w:pPr>
      <w:r>
        <w:rPr>
          <w:rFonts w:eastAsiaTheme="minorEastAsia"/>
          <w:bCs/>
        </w:rPr>
        <w:t>中风化砂岩层厚度3.40～8.10m，平均6.15m，裂隙发育较差，多属闭合型，局部见有地下水活动痕迹，为弱含水层。</w:t>
      </w:r>
    </w:p>
    <w:p>
      <w:pPr>
        <w:ind w:firstLine="480"/>
        <w:rPr>
          <w:rFonts w:eastAsiaTheme="minorEastAsia"/>
        </w:rPr>
      </w:pPr>
      <w:bookmarkStart w:id="286" w:name="_Toc303323554"/>
      <w:r>
        <w:rPr>
          <w:rFonts w:eastAsiaTheme="minorEastAsia"/>
        </w:rPr>
        <w:t>B、隔水层</w:t>
      </w:r>
      <w:bookmarkEnd w:id="286"/>
    </w:p>
    <w:p>
      <w:pPr>
        <w:ind w:firstLine="480"/>
        <w:rPr>
          <w:rFonts w:eastAsiaTheme="minorEastAsia"/>
          <w:bCs/>
        </w:rPr>
      </w:pPr>
      <w:r>
        <w:rPr>
          <w:rFonts w:eastAsiaTheme="minorEastAsia"/>
          <w:bCs/>
        </w:rPr>
        <w:t>其余各岩土层均为隔水层，包括素填土、粉质粘土（冲积层及残积层）及全、强风化的砂岩。其中第四系的素填土、粉质粘土（冲积层及残积层）的总厚度1.5</w:t>
      </w:r>
      <w:bookmarkStart w:id="287" w:name="OLE_LINK3"/>
      <w:r>
        <w:rPr>
          <w:rFonts w:eastAsiaTheme="minorEastAsia"/>
          <w:bCs/>
        </w:rPr>
        <w:t>～</w:t>
      </w:r>
      <w:bookmarkEnd w:id="287"/>
      <w:r>
        <w:rPr>
          <w:rFonts w:eastAsiaTheme="minorEastAsia"/>
          <w:bCs/>
        </w:rPr>
        <w:t>10.0m ，平均6.56m，孔隙发育，但多为封闭孔隙，连通性差，据以往的经验，单位涌水量小于0.001L/(s.m)，为相对隔水层。下部的中-上侏罗统百足山群在在拟建工程场地广泛分布，为一套陆相沉积的碎屑岩，岩性主要为灰色、浅灰色石英砂岩、细砂岩，局部夹薄层含砾砂岩，厚度大于800米。</w:t>
      </w:r>
    </w:p>
    <w:p>
      <w:pPr>
        <w:ind w:firstLine="480"/>
        <w:rPr>
          <w:rFonts w:eastAsiaTheme="minorEastAsia"/>
        </w:rPr>
      </w:pPr>
      <w:r>
        <w:rPr>
          <w:rFonts w:eastAsiaTheme="minorEastAsia"/>
          <w:bCs/>
        </w:rPr>
        <w:t>据抽水试验（全孔段抽水试验）结果，地块单井涌水量约1.56～38.45m</w:t>
      </w:r>
      <w:r>
        <w:rPr>
          <w:rFonts w:eastAsiaTheme="minorEastAsia"/>
          <w:bCs/>
          <w:vertAlign w:val="superscript"/>
        </w:rPr>
        <w:t>3</w:t>
      </w:r>
      <w:r>
        <w:rPr>
          <w:rFonts w:eastAsiaTheme="minorEastAsia"/>
          <w:bCs/>
        </w:rPr>
        <w:t>/d，单位涌水量q=0.002～0.033L(/s.m)；透水性、导水性差。</w:t>
      </w:r>
    </w:p>
    <w:bookmarkEnd w:id="275"/>
    <w:bookmarkEnd w:id="276"/>
    <w:bookmarkEnd w:id="277"/>
    <w:bookmarkEnd w:id="278"/>
    <w:bookmarkEnd w:id="279"/>
    <w:bookmarkEnd w:id="280"/>
    <w:p>
      <w:pPr>
        <w:pStyle w:val="4"/>
      </w:pPr>
      <w:bookmarkStart w:id="288" w:name="_Toc3538791"/>
      <w:bookmarkStart w:id="289" w:name="_Toc12365"/>
      <w:bookmarkStart w:id="290" w:name="_Toc329784206"/>
      <w:bookmarkStart w:id="291" w:name="_Toc307847889"/>
      <w:bookmarkStart w:id="292" w:name="_Toc582"/>
      <w:bookmarkStart w:id="293" w:name="_Toc331536151"/>
      <w:bookmarkStart w:id="294" w:name="_Toc338865516"/>
      <w:r>
        <w:rPr>
          <w:rFonts w:hint="eastAsia"/>
        </w:rPr>
        <w:t>环境保护目标调查</w:t>
      </w:r>
      <w:bookmarkEnd w:id="288"/>
    </w:p>
    <w:p>
      <w:pPr>
        <w:ind w:firstLine="480"/>
        <w:rPr>
          <w:rFonts w:eastAsiaTheme="minorEastAsia"/>
        </w:rPr>
      </w:pPr>
      <w:r>
        <w:rPr>
          <w:rFonts w:hint="eastAsia" w:eastAsiaTheme="minorEastAsia"/>
        </w:rPr>
        <w:t>项目所在位置环境功能区划见</w:t>
      </w:r>
      <w:r>
        <w:rPr>
          <w:rFonts w:eastAsiaTheme="minorEastAsia"/>
        </w:rPr>
        <w:fldChar w:fldCharType="begin"/>
      </w:r>
      <w:r>
        <w:rPr>
          <w:rFonts w:eastAsiaTheme="minorEastAsia"/>
        </w:rPr>
        <w:instrText xml:space="preserve"> </w:instrText>
      </w:r>
      <w:r>
        <w:rPr>
          <w:rFonts w:hint="eastAsia" w:eastAsiaTheme="minorEastAsia"/>
        </w:rPr>
        <w:instrText xml:space="preserve">REF _Ref521962984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1.2</w:t>
      </w:r>
      <w:r>
        <w:rPr>
          <w:rFonts w:eastAsiaTheme="minorEastAsia"/>
        </w:rPr>
        <w:noBreakHyphen/>
      </w:r>
      <w:r>
        <w:rPr>
          <w:rFonts w:eastAsiaTheme="minorEastAsia"/>
        </w:rPr>
        <w:t>4</w:t>
      </w:r>
      <w:r>
        <w:rPr>
          <w:rFonts w:eastAsiaTheme="minorEastAsia"/>
        </w:rPr>
        <w:fldChar w:fldCharType="end"/>
      </w:r>
      <w:r>
        <w:rPr>
          <w:rFonts w:hint="eastAsia" w:eastAsiaTheme="minorEastAsia"/>
        </w:rPr>
        <w:t>，评价区域的环境功能区划见</w:t>
      </w:r>
      <w:r>
        <w:rPr>
          <w:rFonts w:eastAsiaTheme="minorEastAsia"/>
        </w:rPr>
        <w:fldChar w:fldCharType="begin"/>
      </w:r>
      <w:r>
        <w:rPr>
          <w:rFonts w:eastAsiaTheme="minorEastAsia"/>
        </w:rPr>
        <w:instrText xml:space="preserve"> </w:instrText>
      </w:r>
      <w:r>
        <w:rPr>
          <w:rFonts w:hint="eastAsia" w:eastAsiaTheme="minorEastAsia"/>
        </w:rPr>
        <w:instrText xml:space="preserve">REF _Ref522822458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1.2</w:t>
      </w:r>
      <w:r>
        <w:rPr>
          <w:rFonts w:eastAsiaTheme="minorEastAsia"/>
        </w:rPr>
        <w:noBreakHyphen/>
      </w:r>
      <w:r>
        <w:rPr>
          <w:rFonts w:eastAsiaTheme="minorEastAsia"/>
        </w:rPr>
        <w:t>1</w:t>
      </w:r>
      <w:r>
        <w:rPr>
          <w:rFonts w:eastAsiaTheme="minorEastAsia"/>
        </w:rPr>
        <w:fldChar w:fldCharType="end"/>
      </w:r>
      <w:r>
        <w:rPr>
          <w:rFonts w:hint="eastAsia" w:eastAsiaTheme="minorEastAsia"/>
        </w:rPr>
        <w:t>~</w:t>
      </w:r>
      <w:r>
        <w:rPr>
          <w:rFonts w:eastAsiaTheme="minorEastAsia"/>
        </w:rPr>
        <w:fldChar w:fldCharType="begin"/>
      </w:r>
      <w:r>
        <w:rPr>
          <w:rFonts w:eastAsiaTheme="minorEastAsia"/>
        </w:rPr>
        <w:instrText xml:space="preserve"> </w:instrText>
      </w:r>
      <w:r>
        <w:rPr>
          <w:rFonts w:hint="eastAsia" w:eastAsiaTheme="minorEastAsia"/>
        </w:rPr>
        <w:instrText xml:space="preserve">REF _Ref522822527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1.2</w:t>
      </w:r>
      <w:r>
        <w:rPr>
          <w:rFonts w:eastAsiaTheme="minorEastAsia"/>
        </w:rPr>
        <w:noBreakHyphen/>
      </w:r>
      <w:r>
        <w:rPr>
          <w:rFonts w:eastAsiaTheme="minorEastAsia"/>
        </w:rPr>
        <w:t>6</w:t>
      </w:r>
      <w:r>
        <w:rPr>
          <w:rFonts w:eastAsiaTheme="minorEastAsia"/>
        </w:rPr>
        <w:fldChar w:fldCharType="end"/>
      </w:r>
      <w:r>
        <w:rPr>
          <w:rFonts w:hint="eastAsia" w:eastAsiaTheme="minorEastAsia"/>
        </w:rPr>
        <w:t>，评价范围见</w:t>
      </w:r>
      <w:r>
        <w:rPr>
          <w:rFonts w:eastAsiaTheme="minorEastAsia"/>
        </w:rPr>
        <w:fldChar w:fldCharType="begin"/>
      </w:r>
      <w:r>
        <w:rPr>
          <w:rFonts w:eastAsiaTheme="minorEastAsia"/>
        </w:rPr>
        <w:instrText xml:space="preserve"> </w:instrText>
      </w:r>
      <w:r>
        <w:rPr>
          <w:rFonts w:hint="eastAsia" w:eastAsiaTheme="minorEastAsia"/>
        </w:rPr>
        <w:instrText xml:space="preserve">REF _Ref524468399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1.5</w:t>
      </w:r>
      <w:r>
        <w:rPr>
          <w:rFonts w:eastAsiaTheme="minorEastAsia"/>
        </w:rPr>
        <w:noBreakHyphen/>
      </w:r>
      <w:r>
        <w:rPr>
          <w:rFonts w:eastAsiaTheme="minorEastAsia"/>
        </w:rPr>
        <w:t>1</w:t>
      </w:r>
      <w:r>
        <w:rPr>
          <w:rFonts w:eastAsiaTheme="minorEastAsia"/>
        </w:rPr>
        <w:fldChar w:fldCharType="end"/>
      </w:r>
      <w:r>
        <w:rPr>
          <w:rFonts w:hint="eastAsia" w:eastAsiaTheme="minorEastAsia"/>
        </w:rPr>
        <w:t>。本项目评价范围内不涉及环境敏感区，不涉及其它需要保护的文物、古迹、自然保护区和自然遗产等，环境保护目标详情见</w:t>
      </w:r>
      <w:r>
        <w:rPr>
          <w:rFonts w:eastAsiaTheme="minorEastAsia"/>
        </w:rPr>
        <w:fldChar w:fldCharType="begin"/>
      </w:r>
      <w:r>
        <w:rPr>
          <w:rFonts w:eastAsiaTheme="minorEastAsia"/>
        </w:rPr>
        <w:instrText xml:space="preserve"> </w:instrText>
      </w:r>
      <w:r>
        <w:rPr>
          <w:rFonts w:hint="eastAsia" w:eastAsiaTheme="minorEastAsia"/>
        </w:rPr>
        <w:instrText xml:space="preserve">REF _Ref526860808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1.6</w:t>
      </w:r>
      <w:r>
        <w:rPr>
          <w:rFonts w:eastAsiaTheme="minorEastAsia"/>
        </w:rPr>
        <w:noBreakHyphen/>
      </w:r>
      <w:r>
        <w:rPr>
          <w:rFonts w:eastAsiaTheme="minorEastAsia"/>
        </w:rPr>
        <w:t>1</w:t>
      </w:r>
      <w:r>
        <w:rPr>
          <w:rFonts w:eastAsiaTheme="minorEastAsia"/>
        </w:rPr>
        <w:fldChar w:fldCharType="end"/>
      </w:r>
      <w:r>
        <w:rPr>
          <w:rFonts w:hint="eastAsia" w:eastAsiaTheme="minorEastAsia"/>
        </w:rPr>
        <w:t>及</w:t>
      </w:r>
      <w:r>
        <w:rPr>
          <w:rFonts w:eastAsiaTheme="minorEastAsia"/>
        </w:rPr>
        <w:fldChar w:fldCharType="begin"/>
      </w:r>
      <w:r>
        <w:rPr>
          <w:rFonts w:eastAsiaTheme="minorEastAsia"/>
        </w:rPr>
        <w:instrText xml:space="preserve"> </w:instrText>
      </w:r>
      <w:r>
        <w:rPr>
          <w:rFonts w:hint="eastAsia" w:eastAsiaTheme="minorEastAsia"/>
        </w:rPr>
        <w:instrText xml:space="preserve">REF _Ref526860881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1.6</w:t>
      </w:r>
      <w:r>
        <w:rPr>
          <w:rFonts w:eastAsiaTheme="minorEastAsia"/>
        </w:rPr>
        <w:noBreakHyphen/>
      </w:r>
      <w:r>
        <w:rPr>
          <w:rFonts w:eastAsiaTheme="minorEastAsia"/>
        </w:rPr>
        <w:t>1</w:t>
      </w:r>
      <w:r>
        <w:rPr>
          <w:rFonts w:eastAsiaTheme="minorEastAsia"/>
        </w:rPr>
        <w:fldChar w:fldCharType="end"/>
      </w:r>
      <w:r>
        <w:rPr>
          <w:rFonts w:hint="eastAsia" w:eastAsiaTheme="minorEastAsia"/>
        </w:rPr>
        <w:t>。</w:t>
      </w:r>
    </w:p>
    <w:p>
      <w:pPr>
        <w:pStyle w:val="4"/>
      </w:pPr>
      <w:bookmarkStart w:id="295" w:name="_Toc3538792"/>
      <w:r>
        <w:t>环境</w:t>
      </w:r>
      <w:r>
        <w:rPr>
          <w:rFonts w:hint="eastAsia"/>
        </w:rPr>
        <w:t>质量</w:t>
      </w:r>
      <w:r>
        <w:t>现状调查与评价</w:t>
      </w:r>
      <w:bookmarkEnd w:id="295"/>
    </w:p>
    <w:p>
      <w:pPr>
        <w:ind w:firstLine="480"/>
        <w:rPr>
          <w:rFonts w:eastAsiaTheme="minorEastAsia"/>
        </w:rPr>
      </w:pPr>
      <w:r>
        <w:rPr>
          <w:rFonts w:hint="eastAsia" w:eastAsiaTheme="minorEastAsia"/>
        </w:rPr>
        <w:t>为了解项目所在区域环境质量现状，本次评价委托广州市二轻系统环境监测站于201</w:t>
      </w:r>
      <w:r>
        <w:rPr>
          <w:rFonts w:eastAsiaTheme="minorEastAsia"/>
        </w:rPr>
        <w:t>9</w:t>
      </w:r>
      <w:r>
        <w:rPr>
          <w:rFonts w:hint="eastAsia" w:eastAsiaTheme="minorEastAsia"/>
        </w:rPr>
        <w:t>年</w:t>
      </w:r>
      <w:r>
        <w:rPr>
          <w:rFonts w:eastAsiaTheme="minorEastAsia"/>
        </w:rPr>
        <w:t>4</w:t>
      </w:r>
      <w:r>
        <w:rPr>
          <w:rFonts w:hint="eastAsia" w:eastAsiaTheme="minorEastAsia"/>
        </w:rPr>
        <w:t>月</w:t>
      </w:r>
      <w:r>
        <w:rPr>
          <w:rFonts w:eastAsiaTheme="minorEastAsia"/>
        </w:rPr>
        <w:t>21</w:t>
      </w:r>
      <w:r>
        <w:rPr>
          <w:rFonts w:hint="eastAsia" w:eastAsiaTheme="minorEastAsia"/>
        </w:rPr>
        <w:t>日至201</w:t>
      </w:r>
      <w:r>
        <w:rPr>
          <w:rFonts w:eastAsiaTheme="minorEastAsia"/>
        </w:rPr>
        <w:t>9</w:t>
      </w:r>
      <w:r>
        <w:rPr>
          <w:rFonts w:hint="eastAsia" w:eastAsiaTheme="minorEastAsia"/>
        </w:rPr>
        <w:t>年</w:t>
      </w:r>
      <w:r>
        <w:rPr>
          <w:rFonts w:eastAsiaTheme="minorEastAsia"/>
        </w:rPr>
        <w:t>4</w:t>
      </w:r>
      <w:r>
        <w:rPr>
          <w:rFonts w:hint="eastAsia" w:eastAsiaTheme="minorEastAsia"/>
        </w:rPr>
        <w:t>月2</w:t>
      </w:r>
      <w:r>
        <w:rPr>
          <w:rFonts w:eastAsiaTheme="minorEastAsia"/>
        </w:rPr>
        <w:t>7</w:t>
      </w:r>
      <w:r>
        <w:rPr>
          <w:rFonts w:hint="eastAsia" w:eastAsiaTheme="minorEastAsia"/>
        </w:rPr>
        <w:t>日期间对项目所在区域地表水、地下水、环境空气、声环境、土壤环境进行了环境质量现状监测，监测报告见</w:t>
      </w:r>
      <w:r>
        <w:rPr>
          <w:rFonts w:eastAsiaTheme="minorEastAsia"/>
        </w:rPr>
        <w:fldChar w:fldCharType="begin"/>
      </w:r>
      <w:r>
        <w:rPr>
          <w:rFonts w:eastAsiaTheme="minorEastAsia"/>
        </w:rPr>
        <w:instrText xml:space="preserve"> </w:instrText>
      </w:r>
      <w:r>
        <w:rPr>
          <w:rFonts w:hint="eastAsia" w:eastAsiaTheme="minorEastAsia"/>
        </w:rPr>
        <w:instrText xml:space="preserve">REF _Ref526865029 \n \h</w:instrText>
      </w:r>
      <w:r>
        <w:rPr>
          <w:rFonts w:eastAsiaTheme="minorEastAsia"/>
        </w:rPr>
        <w:instrText xml:space="preserve">  \* MERGEFORMAT </w:instrText>
      </w:r>
      <w:r>
        <w:rPr>
          <w:rFonts w:eastAsiaTheme="minorEastAsia"/>
        </w:rPr>
        <w:fldChar w:fldCharType="separate"/>
      </w:r>
      <w:r>
        <w:rPr>
          <w:rFonts w:hint="eastAsia" w:eastAsiaTheme="minorEastAsia"/>
        </w:rPr>
        <w:t>附件5</w:t>
      </w:r>
      <w:r>
        <w:rPr>
          <w:rFonts w:eastAsiaTheme="minorEastAsia"/>
        </w:rPr>
        <w:fldChar w:fldCharType="end"/>
      </w:r>
      <w:r>
        <w:rPr>
          <w:rFonts w:hint="eastAsia" w:eastAsiaTheme="minorEastAsia"/>
        </w:rPr>
        <w:t>。</w:t>
      </w:r>
    </w:p>
    <w:p>
      <w:pPr>
        <w:ind w:firstLine="480"/>
        <w:rPr>
          <w:rFonts w:eastAsiaTheme="minorEastAsia"/>
        </w:rPr>
      </w:pPr>
      <w:bookmarkStart w:id="296" w:name="_Hlk11684716"/>
      <w:r>
        <w:rPr>
          <w:snapToGrid w:val="0"/>
        </w:rPr>
        <w:t>SO</w:t>
      </w:r>
      <w:r>
        <w:rPr>
          <w:snapToGrid w:val="0"/>
          <w:vertAlign w:val="subscript"/>
        </w:rPr>
        <w:t>2</w:t>
      </w:r>
      <w:r>
        <w:rPr>
          <w:snapToGrid w:val="0"/>
        </w:rPr>
        <w:t>、NO</w:t>
      </w:r>
      <w:r>
        <w:rPr>
          <w:snapToGrid w:val="0"/>
          <w:vertAlign w:val="subscript"/>
        </w:rPr>
        <w:t>2</w:t>
      </w:r>
      <w:r>
        <w:rPr>
          <w:snapToGrid w:val="0"/>
        </w:rPr>
        <w:t>、PM</w:t>
      </w:r>
      <w:r>
        <w:rPr>
          <w:snapToGrid w:val="0"/>
          <w:vertAlign w:val="subscript"/>
        </w:rPr>
        <w:t>2.5</w:t>
      </w:r>
      <w:r>
        <w:rPr>
          <w:rFonts w:hint="eastAsia"/>
          <w:snapToGrid w:val="0"/>
        </w:rPr>
        <w:t>、</w:t>
      </w:r>
      <w:r>
        <w:rPr>
          <w:snapToGrid w:val="0"/>
        </w:rPr>
        <w:t>PM</w:t>
      </w:r>
      <w:r>
        <w:rPr>
          <w:snapToGrid w:val="0"/>
          <w:vertAlign w:val="subscript"/>
        </w:rPr>
        <w:t>10</w:t>
      </w:r>
      <w:r>
        <w:rPr>
          <w:rFonts w:hint="eastAsia"/>
          <w:snapToGrid w:val="0"/>
          <w:vertAlign w:val="subscript"/>
        </w:rPr>
        <w:t>、</w:t>
      </w:r>
      <w:r>
        <w:rPr>
          <w:snapToGrid w:val="0"/>
        </w:rPr>
        <w:t>O</w:t>
      </w:r>
      <w:r>
        <w:rPr>
          <w:snapToGrid w:val="0"/>
          <w:vertAlign w:val="subscript"/>
        </w:rPr>
        <w:t>3</w:t>
      </w:r>
      <w:r>
        <w:rPr>
          <w:snapToGrid w:val="0"/>
        </w:rPr>
        <w:t>和CO</w:t>
      </w:r>
      <w:r>
        <w:rPr>
          <w:rFonts w:hint="eastAsia"/>
          <w:snapToGrid w:val="0"/>
        </w:rPr>
        <w:t>数据</w:t>
      </w:r>
      <w:r>
        <w:rPr>
          <w:rFonts w:hint="eastAsia" w:eastAsiaTheme="minorEastAsia"/>
        </w:rPr>
        <w:t>引用</w:t>
      </w:r>
      <w:r>
        <w:rPr>
          <w:snapToGrid w:val="0"/>
        </w:rPr>
        <w:t>江门市环境保护局网站上的《201</w:t>
      </w:r>
      <w:r>
        <w:rPr>
          <w:rFonts w:hint="eastAsia"/>
          <w:snapToGrid w:val="0"/>
        </w:rPr>
        <w:t>8</w:t>
      </w:r>
      <w:r>
        <w:rPr>
          <w:snapToGrid w:val="0"/>
        </w:rPr>
        <w:t>年江门市环境状况（公报）》中201</w:t>
      </w:r>
      <w:r>
        <w:rPr>
          <w:rFonts w:hint="eastAsia"/>
          <w:snapToGrid w:val="0"/>
        </w:rPr>
        <w:t>8</w:t>
      </w:r>
      <w:r>
        <w:rPr>
          <w:snapToGrid w:val="0"/>
        </w:rPr>
        <w:t>年度</w:t>
      </w:r>
      <w:r>
        <w:rPr>
          <w:rFonts w:hint="eastAsia"/>
          <w:snapToGrid w:val="0"/>
        </w:rPr>
        <w:t>开平</w:t>
      </w:r>
      <w:r>
        <w:rPr>
          <w:snapToGrid w:val="0"/>
        </w:rPr>
        <w:t>市空气质量监测数据</w:t>
      </w:r>
      <w:bookmarkEnd w:id="296"/>
      <w:r>
        <w:rPr>
          <w:rFonts w:hint="eastAsia" w:eastAsiaTheme="minorEastAsia"/>
        </w:rPr>
        <w:t>。</w:t>
      </w:r>
    </w:p>
    <w:p>
      <w:pPr>
        <w:pStyle w:val="5"/>
      </w:pPr>
      <w:r>
        <w:t>地表水环境</w:t>
      </w:r>
      <w:r>
        <w:rPr>
          <w:rFonts w:hint="eastAsia"/>
        </w:rPr>
        <w:t>质量</w:t>
      </w:r>
      <w:r>
        <w:t>现状调查与评价</w:t>
      </w:r>
      <w:bookmarkEnd w:id="289"/>
      <w:bookmarkEnd w:id="290"/>
      <w:bookmarkEnd w:id="291"/>
      <w:bookmarkEnd w:id="292"/>
      <w:bookmarkEnd w:id="293"/>
    </w:p>
    <w:p>
      <w:pPr>
        <w:pStyle w:val="6"/>
      </w:pPr>
      <w:r>
        <w:rPr>
          <w:rFonts w:hint="eastAsia"/>
        </w:rPr>
        <w:t>地表水环境质量现状监测</w:t>
      </w:r>
    </w:p>
    <w:p>
      <w:pPr>
        <w:ind w:firstLine="480"/>
        <w:rPr>
          <w:rFonts w:eastAsiaTheme="minorEastAsia"/>
        </w:rPr>
      </w:pPr>
      <w:r>
        <w:rPr>
          <w:rFonts w:hint="eastAsia" w:cs="Times New Roman" w:eastAsiaTheme="minorEastAsia"/>
        </w:rPr>
        <w:t>项目不产生生产废水，</w:t>
      </w:r>
      <w:r>
        <w:rPr>
          <w:rFonts w:hint="eastAsia" w:eastAsiaTheme="minorEastAsia"/>
        </w:rPr>
        <w:t>生活污水经地埋式生活污水经三级化粪池处理达到《橡胶制品工业污染物排放标准》（GB</w:t>
      </w:r>
      <w:r>
        <w:rPr>
          <w:rFonts w:eastAsiaTheme="minorEastAsia"/>
        </w:rPr>
        <w:t xml:space="preserve"> </w:t>
      </w:r>
      <w:r>
        <w:rPr>
          <w:rFonts w:hint="eastAsia" w:eastAsiaTheme="minorEastAsia"/>
        </w:rPr>
        <w:t>27632-2011）表2 新建企业水污染物排放限值中轮胎企业和其他制品企业间接排放限值和</w:t>
      </w:r>
      <w:r>
        <w:rPr>
          <w:rFonts w:hint="eastAsia" w:cs="Times New Roman" w:eastAsiaTheme="minorEastAsia"/>
          <w:bCs/>
        </w:rPr>
        <w:t>（DB</w:t>
      </w:r>
      <w:r>
        <w:rPr>
          <w:rFonts w:cs="Times New Roman" w:eastAsiaTheme="minorEastAsia"/>
          <w:bCs/>
        </w:rPr>
        <w:t xml:space="preserve"> </w:t>
      </w:r>
      <w:r>
        <w:rPr>
          <w:rFonts w:hint="eastAsia" w:cs="Times New Roman" w:eastAsiaTheme="minorEastAsia"/>
          <w:bCs/>
        </w:rPr>
        <w:t>44/26-2001）第二时段三级标准两者间较严者</w:t>
      </w:r>
      <w:r>
        <w:rPr>
          <w:rFonts w:hint="eastAsia" w:eastAsiaTheme="minorEastAsia"/>
        </w:rPr>
        <w:t>后进入市政污水管网苍城污水处理厂进行处理，污水处理厂处理后排入镇海水。</w:t>
      </w:r>
    </w:p>
    <w:p>
      <w:pPr>
        <w:pStyle w:val="126"/>
        <w:numPr>
          <w:ilvl w:val="0"/>
          <w:numId w:val="37"/>
        </w:numPr>
        <w:ind w:firstLine="482"/>
        <w:rPr>
          <w:rFonts w:eastAsiaTheme="minorEastAsia"/>
        </w:rPr>
      </w:pPr>
      <w:bookmarkStart w:id="297" w:name="_Toc331536153"/>
      <w:r>
        <w:rPr>
          <w:rFonts w:hint="eastAsia" w:eastAsiaTheme="minorEastAsia"/>
        </w:rPr>
        <w:t>监测项目</w:t>
      </w:r>
    </w:p>
    <w:p>
      <w:pPr>
        <w:ind w:firstLine="480"/>
        <w:rPr>
          <w:rFonts w:eastAsiaTheme="minorEastAsia"/>
        </w:rPr>
      </w:pPr>
      <w:r>
        <w:rPr>
          <w:rFonts w:hint="eastAsia" w:eastAsiaTheme="minorEastAsia"/>
        </w:rPr>
        <w:t>根据本项目排放废水性质、地表水体的功能特点，确定监测指标分别为</w:t>
      </w:r>
      <w:r>
        <w:rPr>
          <w:rFonts w:eastAsiaTheme="minorEastAsia"/>
        </w:rPr>
        <w:t>水温、pH、DO、COD</w:t>
      </w:r>
      <w:r>
        <w:rPr>
          <w:rFonts w:eastAsiaTheme="minorEastAsia"/>
          <w:vertAlign w:val="subscript"/>
        </w:rPr>
        <w:t>Cr</w:t>
      </w:r>
      <w:r>
        <w:rPr>
          <w:rFonts w:eastAsiaTheme="minorEastAsia"/>
        </w:rPr>
        <w:t>、BOD</w:t>
      </w:r>
      <w:r>
        <w:rPr>
          <w:rFonts w:eastAsiaTheme="minorEastAsia"/>
          <w:vertAlign w:val="subscript"/>
        </w:rPr>
        <w:t>5</w:t>
      </w:r>
      <w:r>
        <w:rPr>
          <w:rFonts w:eastAsiaTheme="minorEastAsia"/>
        </w:rPr>
        <w:t>、SS、氨氮、总磷、</w:t>
      </w:r>
      <w:r>
        <w:rPr>
          <w:rFonts w:hint="eastAsia" w:eastAsiaTheme="minorEastAsia"/>
        </w:rPr>
        <w:t>总氮、挥发酚、石油类、LAS、硫化物、粪大肠菌群，共</w:t>
      </w:r>
      <w:r>
        <w:rPr>
          <w:rFonts w:eastAsiaTheme="minorEastAsia"/>
        </w:rPr>
        <w:t>14</w:t>
      </w:r>
      <w:r>
        <w:rPr>
          <w:rFonts w:hint="eastAsia" w:eastAsiaTheme="minorEastAsia"/>
        </w:rPr>
        <w:t>项。</w:t>
      </w:r>
    </w:p>
    <w:p>
      <w:pPr>
        <w:pStyle w:val="126"/>
        <w:numPr>
          <w:ilvl w:val="0"/>
          <w:numId w:val="37"/>
        </w:numPr>
        <w:ind w:firstLine="482"/>
        <w:rPr>
          <w:rFonts w:eastAsiaTheme="minorEastAsia"/>
        </w:rPr>
      </w:pPr>
      <w:r>
        <w:rPr>
          <w:rFonts w:hint="eastAsia" w:eastAsiaTheme="minorEastAsia"/>
        </w:rPr>
        <w:t>监测</w:t>
      </w:r>
      <w:r>
        <w:rPr>
          <w:rFonts w:eastAsiaTheme="minorEastAsia"/>
        </w:rPr>
        <w:t>断面</w:t>
      </w:r>
      <w:bookmarkEnd w:id="297"/>
      <w:r>
        <w:rPr>
          <w:rFonts w:hint="eastAsia" w:eastAsiaTheme="minorEastAsia"/>
        </w:rPr>
        <w:t>布设</w:t>
      </w:r>
    </w:p>
    <w:p>
      <w:pPr>
        <w:ind w:firstLine="480"/>
        <w:rPr>
          <w:rFonts w:cs="Times New Roman" w:eastAsiaTheme="minorEastAsia"/>
        </w:rPr>
      </w:pPr>
      <w:r>
        <w:rPr>
          <w:rFonts w:hint="eastAsia" w:cs="Times New Roman" w:eastAsiaTheme="minorEastAsia"/>
        </w:rPr>
        <w:t>根据地表水评价工作等级和周围地表水环境情况，布设</w:t>
      </w:r>
      <w:r>
        <w:rPr>
          <w:rFonts w:cs="Times New Roman" w:eastAsiaTheme="minorEastAsia"/>
        </w:rPr>
        <w:t>2</w:t>
      </w:r>
      <w:r>
        <w:rPr>
          <w:rFonts w:hint="eastAsia" w:cs="Times New Roman" w:eastAsiaTheme="minorEastAsia"/>
        </w:rPr>
        <w:t>个监测断面。</w:t>
      </w:r>
    </w:p>
    <w:p>
      <w:pPr>
        <w:ind w:firstLine="480"/>
        <w:rPr>
          <w:rFonts w:cs="Times New Roman" w:eastAsiaTheme="minorEastAsia"/>
        </w:rPr>
      </w:pPr>
      <w:r>
        <w:rPr>
          <w:rFonts w:hint="eastAsia" w:cs="Times New Roman" w:eastAsiaTheme="minorEastAsia"/>
        </w:rPr>
        <w:t>各水质监测断面具体位置</w:t>
      </w:r>
      <w:r>
        <w:rPr>
          <w:rFonts w:cs="Times New Roman" w:eastAsiaTheme="minorEastAsia"/>
        </w:rPr>
        <w:t>详见</w:t>
      </w:r>
      <w:r>
        <w:rPr>
          <w:rFonts w:cs="Times New Roman" w:eastAsiaTheme="minorEastAsia"/>
        </w:rPr>
        <w:fldChar w:fldCharType="begin"/>
      </w:r>
      <w:r>
        <w:rPr>
          <w:rFonts w:cs="Times New Roman" w:eastAsiaTheme="minorEastAsia"/>
        </w:rPr>
        <w:instrText xml:space="preserve"> REF _Ref527453067 \h  \* MERGEFORMAT </w:instrText>
      </w:r>
      <w:r>
        <w:rPr>
          <w:rFonts w:cs="Times New Roman" w:eastAsiaTheme="minorEastAsia"/>
        </w:rPr>
        <w:fldChar w:fldCharType="separate"/>
      </w:r>
      <w:r>
        <w:rPr>
          <w:rFonts w:hint="eastAsia" w:eastAsiaTheme="minorEastAsia"/>
        </w:rPr>
        <w:t xml:space="preserve">表 </w:t>
      </w:r>
      <w:r>
        <w:rPr>
          <w:rFonts w:eastAsiaTheme="minorEastAsia"/>
        </w:rPr>
        <w:t>3.3</w:t>
      </w:r>
      <w:r>
        <w:rPr>
          <w:rFonts w:eastAsiaTheme="minorEastAsia"/>
        </w:rPr>
        <w:noBreakHyphen/>
      </w:r>
      <w:r>
        <w:rPr>
          <w:rFonts w:eastAsiaTheme="minorEastAsia"/>
        </w:rPr>
        <w:t>1</w:t>
      </w:r>
      <w:r>
        <w:rPr>
          <w:rFonts w:cs="Times New Roman" w:eastAsiaTheme="minorEastAsia"/>
        </w:rPr>
        <w:fldChar w:fldCharType="end"/>
      </w:r>
      <w:r>
        <w:rPr>
          <w:rFonts w:cs="Times New Roman" w:eastAsiaTheme="minorEastAsia"/>
        </w:rPr>
        <w:t>和</w:t>
      </w:r>
      <w:r>
        <w:rPr>
          <w:rFonts w:cs="Times New Roman" w:eastAsiaTheme="minorEastAsia"/>
        </w:rPr>
        <w:fldChar w:fldCharType="begin"/>
      </w:r>
      <w:r>
        <w:rPr>
          <w:rFonts w:cs="Times New Roman" w:eastAsiaTheme="minorEastAsia"/>
        </w:rPr>
        <w:instrText xml:space="preserve"> REF _Ref527453095 \h  \* MERGEFORMAT </w:instrText>
      </w:r>
      <w:r>
        <w:rPr>
          <w:rFonts w:cs="Times New Roman" w:eastAsiaTheme="minorEastAsia"/>
        </w:rPr>
        <w:fldChar w:fldCharType="separate"/>
      </w:r>
      <w:r>
        <w:rPr>
          <w:rFonts w:hint="eastAsia" w:eastAsiaTheme="minorEastAsia"/>
        </w:rPr>
        <w:t xml:space="preserve">图 </w:t>
      </w:r>
      <w:r>
        <w:rPr>
          <w:rFonts w:eastAsiaTheme="minorEastAsia"/>
        </w:rPr>
        <w:t>3.3</w:t>
      </w:r>
      <w:r>
        <w:rPr>
          <w:rFonts w:eastAsiaTheme="minorEastAsia"/>
        </w:rPr>
        <w:noBreakHyphen/>
      </w:r>
      <w:r>
        <w:rPr>
          <w:rFonts w:eastAsiaTheme="minorEastAsia"/>
        </w:rPr>
        <w:t>1</w:t>
      </w:r>
      <w:r>
        <w:rPr>
          <w:rFonts w:cs="Times New Roman" w:eastAsiaTheme="minorEastAsia"/>
        </w:rPr>
        <w:fldChar w:fldCharType="end"/>
      </w:r>
      <w:r>
        <w:rPr>
          <w:rFonts w:cs="Times New Roman" w:eastAsiaTheme="minorEastAsia"/>
        </w:rPr>
        <w:t>。</w:t>
      </w:r>
    </w:p>
    <w:p>
      <w:pPr>
        <w:pStyle w:val="18"/>
      </w:pPr>
      <w:bookmarkStart w:id="298" w:name="_Ref527453067"/>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bookmarkEnd w:id="298"/>
      <w:r>
        <w:rPr>
          <w:rFonts w:hint="eastAsia"/>
        </w:rPr>
        <w:t>项目纳污水体地表水水质现状监测布点</w:t>
      </w:r>
    </w:p>
    <w:tbl>
      <w:tblPr>
        <w:tblStyle w:val="56"/>
        <w:tblW w:w="9060" w:type="dxa"/>
        <w:tblInd w:w="0" w:type="dxa"/>
        <w:tblLayout w:type="fixed"/>
        <w:tblCellMar>
          <w:top w:w="0" w:type="dxa"/>
          <w:left w:w="108" w:type="dxa"/>
          <w:bottom w:w="0" w:type="dxa"/>
          <w:right w:w="108" w:type="dxa"/>
        </w:tblCellMar>
      </w:tblPr>
      <w:tblGrid>
        <w:gridCol w:w="768"/>
        <w:gridCol w:w="1618"/>
        <w:gridCol w:w="850"/>
        <w:gridCol w:w="4563"/>
        <w:gridCol w:w="1261"/>
      </w:tblGrid>
      <w:tr>
        <w:tblPrEx>
          <w:tblLayout w:type="fixed"/>
          <w:tblCellMar>
            <w:top w:w="0" w:type="dxa"/>
            <w:left w:w="108" w:type="dxa"/>
            <w:bottom w:w="0" w:type="dxa"/>
            <w:right w:w="108" w:type="dxa"/>
          </w:tblCellMar>
        </w:tblPrEx>
        <w:trPr>
          <w:trHeight w:val="405" w:hRule="atLeast"/>
        </w:trPr>
        <w:tc>
          <w:tcPr>
            <w:tcW w:w="76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b/>
              </w:rPr>
            </w:pPr>
            <w:r>
              <w:rPr>
                <w:rFonts w:hint="eastAsia"/>
                <w:b/>
              </w:rPr>
              <w:t>监测点位布设</w:t>
            </w:r>
          </w:p>
        </w:tc>
        <w:tc>
          <w:tcPr>
            <w:tcW w:w="161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b/>
              </w:rPr>
            </w:pPr>
            <w:r>
              <w:rPr>
                <w:rFonts w:hint="eastAsia"/>
                <w:b/>
              </w:rPr>
              <w:t>监测点位</w:t>
            </w:r>
          </w:p>
        </w:tc>
        <w:tc>
          <w:tcPr>
            <w:tcW w:w="850" w:type="dxa"/>
            <w:tcBorders>
              <w:top w:val="single" w:color="000000" w:sz="4" w:space="0"/>
              <w:left w:val="nil"/>
              <w:bottom w:val="single" w:color="000000" w:sz="4" w:space="0"/>
              <w:right w:val="single" w:color="auto" w:sz="4" w:space="0"/>
            </w:tcBorders>
            <w:shd w:val="clear" w:color="auto" w:fill="auto"/>
            <w:vAlign w:val="center"/>
          </w:tcPr>
          <w:p>
            <w:pPr>
              <w:pStyle w:val="107"/>
            </w:pPr>
            <w:r>
              <w:rPr>
                <w:rFonts w:hint="eastAsia"/>
              </w:rPr>
              <w:t>编号</w:t>
            </w:r>
          </w:p>
        </w:tc>
        <w:tc>
          <w:tcPr>
            <w:tcW w:w="4563" w:type="dxa"/>
            <w:tcBorders>
              <w:top w:val="single" w:color="000000" w:sz="4" w:space="0"/>
              <w:left w:val="single" w:color="auto" w:sz="4" w:space="0"/>
              <w:bottom w:val="single" w:color="000000" w:sz="4" w:space="0"/>
              <w:right w:val="single" w:color="000000" w:sz="4" w:space="0"/>
            </w:tcBorders>
            <w:shd w:val="clear" w:color="auto" w:fill="auto"/>
            <w:vAlign w:val="center"/>
          </w:tcPr>
          <w:p>
            <w:pPr>
              <w:pStyle w:val="107"/>
            </w:pPr>
            <w:r>
              <w:rPr>
                <w:rFonts w:hint="eastAsia"/>
              </w:rPr>
              <w:t>监测断面</w:t>
            </w:r>
          </w:p>
        </w:tc>
        <w:tc>
          <w:tcPr>
            <w:tcW w:w="1261"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监测水体</w:t>
            </w:r>
          </w:p>
        </w:tc>
      </w:tr>
      <w:tr>
        <w:tblPrEx>
          <w:tblLayout w:type="fixed"/>
          <w:tblCellMar>
            <w:top w:w="0" w:type="dxa"/>
            <w:left w:w="108" w:type="dxa"/>
            <w:bottom w:w="0" w:type="dxa"/>
            <w:right w:w="108" w:type="dxa"/>
          </w:tblCellMar>
        </w:tblPrEx>
        <w:trPr>
          <w:trHeight w:val="405" w:hRule="atLeast"/>
        </w:trPr>
        <w:tc>
          <w:tcPr>
            <w:tcW w:w="768"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b/>
              </w:rPr>
            </w:pPr>
          </w:p>
        </w:tc>
        <w:tc>
          <w:tcPr>
            <w:tcW w:w="1618"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b/>
              </w:rPr>
            </w:pPr>
          </w:p>
        </w:tc>
        <w:tc>
          <w:tcPr>
            <w:tcW w:w="850" w:type="dxa"/>
            <w:tcBorders>
              <w:top w:val="single" w:color="000000" w:sz="4" w:space="0"/>
              <w:left w:val="nil"/>
              <w:bottom w:val="single" w:color="000000" w:sz="4" w:space="0"/>
              <w:right w:val="single" w:color="auto" w:sz="4" w:space="0"/>
            </w:tcBorders>
            <w:shd w:val="clear" w:color="auto" w:fill="auto"/>
            <w:vAlign w:val="center"/>
          </w:tcPr>
          <w:p>
            <w:pPr>
              <w:pStyle w:val="107"/>
            </w:pPr>
            <w:r>
              <w:t>W1</w:t>
            </w:r>
          </w:p>
        </w:tc>
        <w:tc>
          <w:tcPr>
            <w:tcW w:w="4563" w:type="dxa"/>
            <w:tcBorders>
              <w:top w:val="single" w:color="000000" w:sz="4" w:space="0"/>
              <w:left w:val="single" w:color="auto" w:sz="4" w:space="0"/>
              <w:bottom w:val="single" w:color="000000" w:sz="4" w:space="0"/>
              <w:right w:val="single" w:color="000000" w:sz="4" w:space="0"/>
            </w:tcBorders>
            <w:shd w:val="clear" w:color="auto" w:fill="auto"/>
            <w:vAlign w:val="center"/>
          </w:tcPr>
          <w:p>
            <w:pPr>
              <w:pStyle w:val="107"/>
            </w:pPr>
            <w:r>
              <w:rPr>
                <w:rFonts w:hint="eastAsia"/>
              </w:rPr>
              <w:t>镇海水污水厂排污口上游</w:t>
            </w:r>
            <w:r>
              <w:t>500m</w:t>
            </w:r>
          </w:p>
        </w:tc>
        <w:tc>
          <w:tcPr>
            <w:tcW w:w="1261"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镇海水</w:t>
            </w:r>
          </w:p>
        </w:tc>
      </w:tr>
      <w:tr>
        <w:tblPrEx>
          <w:tblLayout w:type="fixed"/>
          <w:tblCellMar>
            <w:top w:w="0" w:type="dxa"/>
            <w:left w:w="108" w:type="dxa"/>
            <w:bottom w:w="0" w:type="dxa"/>
            <w:right w:w="108" w:type="dxa"/>
          </w:tblCellMar>
        </w:tblPrEx>
        <w:trPr>
          <w:trHeight w:val="405" w:hRule="atLeast"/>
        </w:trPr>
        <w:tc>
          <w:tcPr>
            <w:tcW w:w="768"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b/>
              </w:rPr>
            </w:pPr>
          </w:p>
        </w:tc>
        <w:tc>
          <w:tcPr>
            <w:tcW w:w="1618"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b/>
              </w:rPr>
            </w:pPr>
          </w:p>
        </w:tc>
        <w:tc>
          <w:tcPr>
            <w:tcW w:w="850" w:type="dxa"/>
            <w:tcBorders>
              <w:top w:val="single" w:color="000000" w:sz="4" w:space="0"/>
              <w:left w:val="nil"/>
              <w:bottom w:val="single" w:color="000000" w:sz="4" w:space="0"/>
              <w:right w:val="single" w:color="auto" w:sz="4" w:space="0"/>
            </w:tcBorders>
            <w:shd w:val="clear" w:color="auto" w:fill="auto"/>
            <w:vAlign w:val="center"/>
          </w:tcPr>
          <w:p>
            <w:pPr>
              <w:pStyle w:val="107"/>
            </w:pPr>
            <w:r>
              <w:t>W2</w:t>
            </w:r>
          </w:p>
        </w:tc>
        <w:tc>
          <w:tcPr>
            <w:tcW w:w="4563" w:type="dxa"/>
            <w:tcBorders>
              <w:top w:val="single" w:color="000000" w:sz="4" w:space="0"/>
              <w:left w:val="single" w:color="auto" w:sz="4" w:space="0"/>
              <w:bottom w:val="single" w:color="000000" w:sz="4" w:space="0"/>
              <w:right w:val="single" w:color="000000" w:sz="4" w:space="0"/>
            </w:tcBorders>
            <w:shd w:val="clear" w:color="auto" w:fill="auto"/>
            <w:vAlign w:val="center"/>
          </w:tcPr>
          <w:p>
            <w:pPr>
              <w:pStyle w:val="107"/>
            </w:pPr>
            <w:r>
              <w:rPr>
                <w:rFonts w:hint="eastAsia"/>
              </w:rPr>
              <w:t>镇海水污水厂排污口下游</w:t>
            </w:r>
            <w:r>
              <w:t>500m</w:t>
            </w:r>
          </w:p>
        </w:tc>
        <w:tc>
          <w:tcPr>
            <w:tcW w:w="1261"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镇海水</w:t>
            </w:r>
          </w:p>
        </w:tc>
      </w:tr>
      <w:tr>
        <w:tblPrEx>
          <w:tblLayout w:type="fixed"/>
          <w:tblCellMar>
            <w:top w:w="0" w:type="dxa"/>
            <w:left w:w="108" w:type="dxa"/>
            <w:bottom w:w="0" w:type="dxa"/>
            <w:right w:w="108" w:type="dxa"/>
          </w:tblCellMar>
        </w:tblPrEx>
        <w:trPr>
          <w:trHeight w:val="405" w:hRule="atLeast"/>
        </w:trPr>
        <w:tc>
          <w:tcPr>
            <w:tcW w:w="768"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b/>
              </w:rPr>
            </w:pPr>
          </w:p>
        </w:tc>
        <w:tc>
          <w:tcPr>
            <w:tcW w:w="1618" w:type="dxa"/>
            <w:tcBorders>
              <w:top w:val="single" w:color="000000" w:sz="4" w:space="0"/>
              <w:left w:val="nil"/>
              <w:bottom w:val="single" w:color="000000" w:sz="4" w:space="0"/>
              <w:right w:val="single" w:color="000000" w:sz="4" w:space="0"/>
            </w:tcBorders>
            <w:shd w:val="clear" w:color="auto" w:fill="auto"/>
            <w:vAlign w:val="center"/>
          </w:tcPr>
          <w:p>
            <w:pPr>
              <w:pStyle w:val="107"/>
              <w:rPr>
                <w:b/>
              </w:rPr>
            </w:pPr>
            <w:r>
              <w:rPr>
                <w:rFonts w:hint="eastAsia"/>
                <w:b/>
              </w:rPr>
              <w:t>采样频次</w:t>
            </w:r>
          </w:p>
        </w:tc>
        <w:tc>
          <w:tcPr>
            <w:tcW w:w="6674" w:type="dxa"/>
            <w:gridSpan w:val="3"/>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连续采样</w:t>
            </w:r>
            <w:r>
              <w:t>3</w:t>
            </w:r>
            <w:r>
              <w:rPr>
                <w:rFonts w:hint="eastAsia"/>
              </w:rPr>
              <w:t>天，每天采样</w:t>
            </w:r>
            <w:r>
              <w:t>1</w:t>
            </w:r>
            <w:r>
              <w:rPr>
                <w:rFonts w:hint="eastAsia"/>
              </w:rPr>
              <w:t>次</w:t>
            </w:r>
          </w:p>
        </w:tc>
      </w:tr>
      <w:tr>
        <w:tblPrEx>
          <w:tblLayout w:type="fixed"/>
          <w:tblCellMar>
            <w:top w:w="0" w:type="dxa"/>
            <w:left w:w="108" w:type="dxa"/>
            <w:bottom w:w="0" w:type="dxa"/>
            <w:right w:w="108" w:type="dxa"/>
          </w:tblCellMar>
        </w:tblPrEx>
        <w:trPr>
          <w:trHeight w:val="645" w:hRule="atLeast"/>
        </w:trPr>
        <w:tc>
          <w:tcPr>
            <w:tcW w:w="7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b/>
              </w:rPr>
            </w:pPr>
            <w:r>
              <w:rPr>
                <w:rFonts w:hint="eastAsia"/>
                <w:b/>
              </w:rPr>
              <w:t>监测</w:t>
            </w:r>
            <w:r>
              <w:rPr>
                <w:rFonts w:hint="eastAsia"/>
                <w:b/>
              </w:rPr>
              <w:br w:type="textWrapping"/>
            </w:r>
            <w:r>
              <w:rPr>
                <w:rFonts w:hint="eastAsia"/>
                <w:b/>
              </w:rPr>
              <w:t>项目</w:t>
            </w:r>
          </w:p>
        </w:tc>
        <w:tc>
          <w:tcPr>
            <w:tcW w:w="1618" w:type="dxa"/>
            <w:tcBorders>
              <w:top w:val="single" w:color="000000" w:sz="4" w:space="0"/>
              <w:left w:val="nil"/>
              <w:bottom w:val="single" w:color="000000" w:sz="4" w:space="0"/>
              <w:right w:val="single" w:color="000000" w:sz="4" w:space="0"/>
            </w:tcBorders>
            <w:shd w:val="clear" w:color="auto" w:fill="auto"/>
            <w:vAlign w:val="center"/>
          </w:tcPr>
          <w:p>
            <w:pPr>
              <w:pStyle w:val="107"/>
              <w:rPr>
                <w:b/>
              </w:rPr>
            </w:pPr>
            <w:r>
              <w:rPr>
                <w:rFonts w:hint="eastAsia"/>
                <w:b/>
              </w:rPr>
              <w:t>监测因子</w:t>
            </w:r>
          </w:p>
        </w:tc>
        <w:tc>
          <w:tcPr>
            <w:tcW w:w="6674" w:type="dxa"/>
            <w:gridSpan w:val="3"/>
            <w:tcBorders>
              <w:top w:val="single" w:color="000000" w:sz="4" w:space="0"/>
              <w:left w:val="nil"/>
              <w:bottom w:val="single" w:color="000000" w:sz="4" w:space="0"/>
              <w:right w:val="single" w:color="000000" w:sz="4" w:space="0"/>
            </w:tcBorders>
            <w:shd w:val="clear" w:color="auto" w:fill="auto"/>
            <w:vAlign w:val="center"/>
          </w:tcPr>
          <w:p>
            <w:pPr>
              <w:pStyle w:val="107"/>
              <w:jc w:val="left"/>
            </w:pPr>
            <w:r>
              <w:t>pH、</w:t>
            </w:r>
            <w:r>
              <w:rPr>
                <w:rFonts w:hint="eastAsia"/>
              </w:rPr>
              <w:t>D</w:t>
            </w:r>
            <w:r>
              <w:t>O</w:t>
            </w:r>
            <w:r>
              <w:rPr>
                <w:rFonts w:hint="eastAsia"/>
              </w:rPr>
              <w:t>、</w:t>
            </w:r>
            <w:r>
              <w:t>CODcr、BOD</w:t>
            </w:r>
            <w:r>
              <w:rPr>
                <w:vertAlign w:val="subscript"/>
              </w:rPr>
              <w:t>5</w:t>
            </w:r>
            <w:r>
              <w:t>、氨氮、总磷、</w:t>
            </w:r>
            <w:r>
              <w:rPr>
                <w:rFonts w:hint="eastAsia"/>
              </w:rPr>
              <w:t>总氮、粪大肠菌群</w:t>
            </w:r>
          </w:p>
        </w:tc>
      </w:tr>
      <w:tr>
        <w:tblPrEx>
          <w:tblLayout w:type="fixed"/>
          <w:tblCellMar>
            <w:top w:w="0" w:type="dxa"/>
            <w:left w:w="108" w:type="dxa"/>
            <w:bottom w:w="0" w:type="dxa"/>
            <w:right w:w="108" w:type="dxa"/>
          </w:tblCellMar>
        </w:tblPrEx>
        <w:trPr>
          <w:trHeight w:val="405" w:hRule="atLeast"/>
        </w:trPr>
        <w:tc>
          <w:tcPr>
            <w:tcW w:w="238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b/>
              </w:rPr>
            </w:pPr>
            <w:r>
              <w:rPr>
                <w:rFonts w:hint="eastAsia"/>
                <w:b/>
              </w:rPr>
              <w:t>采样日期</w:t>
            </w:r>
          </w:p>
        </w:tc>
        <w:tc>
          <w:tcPr>
            <w:tcW w:w="6674" w:type="dxa"/>
            <w:gridSpan w:val="3"/>
            <w:tcBorders>
              <w:top w:val="single" w:color="000000" w:sz="4" w:space="0"/>
              <w:left w:val="nil"/>
              <w:bottom w:val="single" w:color="000000" w:sz="4" w:space="0"/>
              <w:right w:val="single" w:color="000000" w:sz="4" w:space="0"/>
            </w:tcBorders>
            <w:shd w:val="clear" w:color="auto" w:fill="auto"/>
            <w:vAlign w:val="center"/>
          </w:tcPr>
          <w:p>
            <w:pPr>
              <w:pStyle w:val="107"/>
            </w:pPr>
            <w:r>
              <w:t>2019</w:t>
            </w:r>
            <w:r>
              <w:rPr>
                <w:rFonts w:hint="eastAsia"/>
              </w:rPr>
              <w:t>年</w:t>
            </w:r>
            <w:r>
              <w:t>4</w:t>
            </w:r>
            <w:r>
              <w:rPr>
                <w:rFonts w:hint="eastAsia"/>
              </w:rPr>
              <w:t>月</w:t>
            </w:r>
            <w:r>
              <w:t>25</w:t>
            </w:r>
            <w:r>
              <w:rPr>
                <w:rFonts w:hint="eastAsia"/>
              </w:rPr>
              <w:t>日</w:t>
            </w:r>
            <w:r>
              <w:t>~4</w:t>
            </w:r>
            <w:r>
              <w:rPr>
                <w:rFonts w:hint="eastAsia"/>
              </w:rPr>
              <w:t>月</w:t>
            </w:r>
            <w:r>
              <w:t>27</w:t>
            </w:r>
            <w:r>
              <w:rPr>
                <w:rFonts w:hint="eastAsia"/>
              </w:rPr>
              <w:t>日</w:t>
            </w:r>
          </w:p>
        </w:tc>
      </w:tr>
    </w:tbl>
    <w:p>
      <w:pPr>
        <w:ind w:firstLine="480"/>
        <w:rPr>
          <w:rFonts w:eastAsiaTheme="minorEastAsia"/>
        </w:rPr>
        <w:sectPr>
          <w:pgSz w:w="11906" w:h="16838"/>
          <w:pgMar w:top="1418" w:right="1418" w:bottom="1418" w:left="1418" w:header="851" w:footer="992" w:gutter="0"/>
          <w:cols w:space="720" w:num="1"/>
          <w:docGrid w:type="lines" w:linePitch="312" w:charSpace="0"/>
        </w:sectPr>
      </w:pPr>
    </w:p>
    <w:p>
      <w:pPr>
        <w:pStyle w:val="107"/>
      </w:pPr>
      <w:r>
        <w:drawing>
          <wp:anchor distT="0" distB="0" distL="114300" distR="114300" simplePos="0" relativeHeight="252018688" behindDoc="0" locked="0" layoutInCell="1" allowOverlap="1">
            <wp:simplePos x="0" y="0"/>
            <wp:positionH relativeFrom="column">
              <wp:posOffset>1270</wp:posOffset>
            </wp:positionH>
            <wp:positionV relativeFrom="paragraph">
              <wp:posOffset>4319270</wp:posOffset>
            </wp:positionV>
            <wp:extent cx="872490" cy="208915"/>
            <wp:effectExtent l="0" t="0" r="4445" b="1270"/>
            <wp:wrapNone/>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872197" cy="208685"/>
                    </a:xfrm>
                    <a:prstGeom prst="rect">
                      <a:avLst/>
                    </a:prstGeom>
                  </pic:spPr>
                </pic:pic>
              </a:graphicData>
            </a:graphic>
          </wp:anchor>
        </w:drawing>
      </w:r>
      <w:r>
        <w:drawing>
          <wp:anchor distT="0" distB="0" distL="114300" distR="114300" simplePos="0" relativeHeight="252008448" behindDoc="0" locked="0" layoutInCell="1" allowOverlap="1">
            <wp:simplePos x="0" y="0"/>
            <wp:positionH relativeFrom="column">
              <wp:posOffset>7954010</wp:posOffset>
            </wp:positionH>
            <wp:positionV relativeFrom="paragraph">
              <wp:posOffset>26670</wp:posOffset>
            </wp:positionV>
            <wp:extent cx="938530" cy="926465"/>
            <wp:effectExtent l="0" t="0" r="0" b="6985"/>
            <wp:wrapNone/>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938530" cy="926465"/>
                    </a:xfrm>
                    <a:prstGeom prst="rect">
                      <a:avLst/>
                    </a:prstGeom>
                    <a:noFill/>
                    <a:ln>
                      <a:noFill/>
                    </a:ln>
                  </pic:spPr>
                </pic:pic>
              </a:graphicData>
            </a:graphic>
          </wp:anchor>
        </w:drawing>
      </w:r>
      <w:r>
        <mc:AlternateContent>
          <mc:Choice Requires="wps">
            <w:drawing>
              <wp:anchor distT="0" distB="0" distL="114300" distR="114300" simplePos="0" relativeHeight="252006400" behindDoc="0" locked="0" layoutInCell="1" allowOverlap="1">
                <wp:simplePos x="0" y="0"/>
                <wp:positionH relativeFrom="column">
                  <wp:posOffset>5405120</wp:posOffset>
                </wp:positionH>
                <wp:positionV relativeFrom="paragraph">
                  <wp:posOffset>3125470</wp:posOffset>
                </wp:positionV>
                <wp:extent cx="501650" cy="431800"/>
                <wp:effectExtent l="0" t="0" r="0" b="0"/>
                <wp:wrapNone/>
                <wp:docPr id="502" name="矩形 502"/>
                <wp:cNvGraphicFramePr/>
                <a:graphic xmlns:a="http://schemas.openxmlformats.org/drawingml/2006/main">
                  <a:graphicData uri="http://schemas.microsoft.com/office/word/2010/wordprocessingShape">
                    <wps:wsp>
                      <wps:cNvSpPr/>
                      <wps:spPr>
                        <a:xfrm>
                          <a:off x="0" y="0"/>
                          <a:ext cx="501650" cy="431800"/>
                        </a:xfrm>
                        <a:prstGeom prst="rect">
                          <a:avLst/>
                        </a:prstGeom>
                        <a:noFill/>
                        <a:ln w="12700" cap="flat" cmpd="sng" algn="ctr">
                          <a:noFill/>
                          <a:prstDash val="solid"/>
                          <a:miter lim="800000"/>
                        </a:ln>
                        <a:effectLst/>
                      </wps:spPr>
                      <wps:txbx>
                        <w:txbxContent>
                          <w:p>
                            <w:pPr>
                              <w:ind w:firstLine="0" w:firstLineChars="0"/>
                              <w:rPr>
                                <w:b/>
                                <w:color w:val="FF0000"/>
                                <w:sz w:val="21"/>
                                <w:szCs w:val="21"/>
                              </w:rPr>
                            </w:pPr>
                            <w:r>
                              <w:rPr>
                                <w:rFonts w:hint="eastAsia"/>
                                <w:b/>
                                <w:color w:val="FF0000"/>
                                <w:sz w:val="21"/>
                                <w:szCs w:val="21"/>
                              </w:rPr>
                              <w:t>W</w:t>
                            </w:r>
                            <w:r>
                              <w:rPr>
                                <w:b/>
                                <w:color w:val="FF0000"/>
                                <w:sz w:val="21"/>
                                <w:szCs w:val="21"/>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5.6pt;margin-top:246.1pt;height:34pt;width:39.5pt;z-index:252006400;v-text-anchor:middle;mso-width-relative:page;mso-height-relative:page;" filled="f" stroked="f" coordsize="21600,21600" o:gfxdata="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Crhn9gAAAALAQAADwAAAAAA&#10;AAABACAAAAAiAAAAZHJzL2Rvd25yZXYueG1sUEsBAhQAFAAAAAgAh07iQDgur91MAgAAcAQAAA4A&#10;AAAAAAAAAQAgAAAAJwEAAGRycy9lMm9Eb2MueG1sUEsFBgAAAAAGAAYAWQEAAOUFAAAAAA==&#10;">
                <v:fill on="f" focussize="0,0"/>
                <v:stroke on="f" weight="1pt" miterlimit="8" joinstyle="miter"/>
                <v:imagedata o:title=""/>
                <o:lock v:ext="edit" aspectratio="f"/>
                <v:textbox>
                  <w:txbxContent>
                    <w:p>
                      <w:pPr>
                        <w:ind w:firstLine="0" w:firstLineChars="0"/>
                        <w:rPr>
                          <w:b/>
                          <w:color w:val="FF0000"/>
                          <w:sz w:val="21"/>
                          <w:szCs w:val="21"/>
                        </w:rPr>
                      </w:pPr>
                      <w:r>
                        <w:rPr>
                          <w:rFonts w:hint="eastAsia"/>
                          <w:b/>
                          <w:color w:val="FF0000"/>
                          <w:sz w:val="21"/>
                          <w:szCs w:val="21"/>
                        </w:rPr>
                        <w:t>W</w:t>
                      </w:r>
                      <w:r>
                        <w:rPr>
                          <w:b/>
                          <w:color w:val="FF0000"/>
                          <w:sz w:val="21"/>
                          <w:szCs w:val="21"/>
                        </w:rPr>
                        <w:t>2</w:t>
                      </w:r>
                    </w:p>
                  </w:txbxContent>
                </v:textbox>
              </v:rect>
            </w:pict>
          </mc:Fallback>
        </mc:AlternateContent>
      </w:r>
      <w:r>
        <mc:AlternateContent>
          <mc:Choice Requires="wps">
            <w:drawing>
              <wp:anchor distT="0" distB="0" distL="114300" distR="114300" simplePos="0" relativeHeight="252004352" behindDoc="0" locked="0" layoutInCell="1" allowOverlap="1">
                <wp:simplePos x="0" y="0"/>
                <wp:positionH relativeFrom="column">
                  <wp:posOffset>5817870</wp:posOffset>
                </wp:positionH>
                <wp:positionV relativeFrom="paragraph">
                  <wp:posOffset>1404620</wp:posOffset>
                </wp:positionV>
                <wp:extent cx="501650" cy="431800"/>
                <wp:effectExtent l="0" t="0" r="0" b="0"/>
                <wp:wrapNone/>
                <wp:docPr id="501" name="矩形 501"/>
                <wp:cNvGraphicFramePr/>
                <a:graphic xmlns:a="http://schemas.openxmlformats.org/drawingml/2006/main">
                  <a:graphicData uri="http://schemas.microsoft.com/office/word/2010/wordprocessingShape">
                    <wps:wsp>
                      <wps:cNvSpPr/>
                      <wps:spPr>
                        <a:xfrm>
                          <a:off x="0" y="0"/>
                          <a:ext cx="501650" cy="431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rPr>
                                <w:b/>
                                <w:color w:val="FF0000"/>
                                <w:sz w:val="21"/>
                                <w:szCs w:val="21"/>
                              </w:rPr>
                            </w:pPr>
                            <w:r>
                              <w:rPr>
                                <w:rFonts w:hint="eastAsia"/>
                                <w:b/>
                                <w:color w:val="FF0000"/>
                                <w:sz w:val="21"/>
                                <w:szCs w:val="21"/>
                              </w:rPr>
                              <w:t>W</w:t>
                            </w:r>
                            <w:r>
                              <w:rPr>
                                <w:b/>
                                <w:color w:val="FF0000"/>
                                <w:sz w:val="21"/>
                                <w:szCs w:val="21"/>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8.1pt;margin-top:110.6pt;height:34pt;width:39.5pt;z-index:252004352;v-text-anchor:middle;mso-width-relative:page;mso-height-relative:page;" filled="f" stroked="f" coordsize="21600,21600" o:gfxdata="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LoWxcvYAAAACwEAAA8AAAAAAAAAAQAgAAAA&#10;IgAAAGRycy9kb3ducmV2LnhtbFBLAQIUABQAAAAIAIdO4kBTp5FeRAIAAGIEAAAOAAAAAAAAAAEA&#10;IAAAACcBAABkcnMvZTJvRG9jLnhtbFBLBQYAAAAABgAGAFkBAADdBQAAAAA=&#10;">
                <v:fill on="f" focussize="0,0"/>
                <v:stroke on="f" weight="1pt" miterlimit="8" joinstyle="miter"/>
                <v:imagedata o:title=""/>
                <o:lock v:ext="edit" aspectratio="f"/>
                <v:textbox>
                  <w:txbxContent>
                    <w:p>
                      <w:pPr>
                        <w:ind w:firstLine="0" w:firstLineChars="0"/>
                        <w:rPr>
                          <w:b/>
                          <w:color w:val="FF0000"/>
                          <w:sz w:val="21"/>
                          <w:szCs w:val="21"/>
                        </w:rPr>
                      </w:pPr>
                      <w:r>
                        <w:rPr>
                          <w:rFonts w:hint="eastAsia"/>
                          <w:b/>
                          <w:color w:val="FF0000"/>
                          <w:sz w:val="21"/>
                          <w:szCs w:val="21"/>
                        </w:rPr>
                        <w:t>W</w:t>
                      </w:r>
                      <w:r>
                        <w:rPr>
                          <w:b/>
                          <w:color w:val="FF0000"/>
                          <w:sz w:val="21"/>
                          <w:szCs w:val="21"/>
                        </w:rPr>
                        <w:t>1</w:t>
                      </w:r>
                    </w:p>
                  </w:txbxContent>
                </v:textbox>
              </v:rect>
            </w:pict>
          </mc:Fallback>
        </mc:AlternateContent>
      </w:r>
      <w:r>
        <mc:AlternateContent>
          <mc:Choice Requires="wps">
            <w:drawing>
              <wp:anchor distT="0" distB="0" distL="114300" distR="114300" simplePos="0" relativeHeight="252003328" behindDoc="0" locked="0" layoutInCell="1" allowOverlap="1">
                <wp:simplePos x="0" y="0"/>
                <wp:positionH relativeFrom="column">
                  <wp:posOffset>4916170</wp:posOffset>
                </wp:positionH>
                <wp:positionV relativeFrom="paragraph">
                  <wp:posOffset>3315970</wp:posOffset>
                </wp:positionV>
                <wp:extent cx="488950" cy="0"/>
                <wp:effectExtent l="38100" t="76200" r="25400" b="95250"/>
                <wp:wrapNone/>
                <wp:docPr id="500" name="直接箭头连接符 500"/>
                <wp:cNvGraphicFramePr/>
                <a:graphic xmlns:a="http://schemas.openxmlformats.org/drawingml/2006/main">
                  <a:graphicData uri="http://schemas.microsoft.com/office/word/2010/wordprocessingShape">
                    <wps:wsp>
                      <wps:cNvCnPr/>
                      <wps:spPr>
                        <a:xfrm>
                          <a:off x="0" y="0"/>
                          <a:ext cx="488950" cy="0"/>
                        </a:xfrm>
                        <a:prstGeom prst="straightConnector1">
                          <a:avLst/>
                        </a:prstGeom>
                        <a:noFill/>
                        <a:ln w="15875" cap="flat" cmpd="sng" algn="ctr">
                          <a:solidFill>
                            <a:srgbClr val="ED7D31"/>
                          </a:solidFill>
                          <a:prstDash val="solid"/>
                          <a:miter lim="800000"/>
                          <a:headEnd type="triangle"/>
                          <a:tailEnd type="triangle"/>
                        </a:ln>
                        <a:effectLst/>
                      </wps:spPr>
                      <wps:bodyPr/>
                    </wps:wsp>
                  </a:graphicData>
                </a:graphic>
              </wp:anchor>
            </w:drawing>
          </mc:Choice>
          <mc:Fallback>
            <w:pict>
              <v:shape id="_x0000_s1026" o:spid="_x0000_s1026" o:spt="32" type="#_x0000_t32" style="position:absolute;left:0pt;margin-left:387.1pt;margin-top:261.1pt;height:0pt;width:38.5pt;z-index:252003328;mso-width-relative:page;mso-height-relative:page;" filled="f" stroked="t" coordsize="21600,21600" o:gfxdata="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NmVQJ1gAAAAsBAAAPAAAAAAAAAAEAIAAAACIAAABkcnMvZG93bnJldi54&#10;bWxQSwECFAAUAAAACACHTuJAX6YwVPwBAADBAwAADgAAAAAAAAABACAAAAAlAQAAZHJzL2Uyb0Rv&#10;Yy54bWxQSwUGAAAAAAYABgBZAQAAkwUAAAAA&#10;">
                <v:fill on="f" focussize="0,0"/>
                <v:stroke weight="1.25pt" color="#ED7D31" miterlimit="8" joinstyle="miter" startarrow="block" endarrow="block"/>
                <v:imagedata o:title=""/>
                <o:lock v:ext="edit" aspectratio="f"/>
              </v:shape>
            </w:pict>
          </mc:Fallback>
        </mc:AlternateContent>
      </w:r>
      <w:r>
        <mc:AlternateContent>
          <mc:Choice Requires="wps">
            <w:drawing>
              <wp:anchor distT="0" distB="0" distL="114300" distR="114300" simplePos="0" relativeHeight="252001280" behindDoc="0" locked="0" layoutInCell="1" allowOverlap="1">
                <wp:simplePos x="0" y="0"/>
                <wp:positionH relativeFrom="column">
                  <wp:posOffset>5405120</wp:posOffset>
                </wp:positionH>
                <wp:positionV relativeFrom="paragraph">
                  <wp:posOffset>1728470</wp:posOffset>
                </wp:positionV>
                <wp:extent cx="488950" cy="0"/>
                <wp:effectExtent l="38100" t="76200" r="25400" b="95250"/>
                <wp:wrapNone/>
                <wp:docPr id="499" name="直接箭头连接符 499"/>
                <wp:cNvGraphicFramePr/>
                <a:graphic xmlns:a="http://schemas.openxmlformats.org/drawingml/2006/main">
                  <a:graphicData uri="http://schemas.microsoft.com/office/word/2010/wordprocessingShape">
                    <wps:wsp>
                      <wps:cNvCnPr/>
                      <wps:spPr>
                        <a:xfrm>
                          <a:off x="0" y="0"/>
                          <a:ext cx="488950" cy="0"/>
                        </a:xfrm>
                        <a:prstGeom prst="straightConnector1">
                          <a:avLst/>
                        </a:prstGeom>
                        <a:ln w="15875">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_x0000_s1026" o:spid="_x0000_s1026" o:spt="32" type="#_x0000_t32" style="position:absolute;left:0pt;margin-left:425.6pt;margin-top:136.1pt;height:0pt;width:38.5pt;z-index:252001280;mso-width-relative:page;mso-height-relative:page;" filled="f" stroked="t" coordsize="21600,21600" o:gfxdata="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x+FMV1wAAAAsBAAAPAAAAAAAAAAEAIAAAACIAAABkcnMvZG93bnJldi54bWxQ&#10;SwECFAAUAAAACACHTuJAiORoC/gBAACzAwAADgAAAAAAAAABACAAAAAmAQAAZHJzL2Uyb0RvYy54&#10;bWxQSwUGAAAAAAYABgBZAQAAkAUAAAAA&#10;">
                <v:fill on="f" focussize="0,0"/>
                <v:stroke weight="1.25pt" color="#ED7D31 [3205]" miterlimit="8" joinstyle="miter" startarrow="block" endarrow="block"/>
                <v:imagedata o:title=""/>
                <o:lock v:ext="edit" aspectratio="f"/>
              </v:shape>
            </w:pict>
          </mc:Fallback>
        </mc:AlternateContent>
      </w:r>
      <w:r>
        <mc:AlternateContent>
          <mc:Choice Requires="wps">
            <w:drawing>
              <wp:anchor distT="0" distB="0" distL="114300" distR="114300" simplePos="0" relativeHeight="252000256" behindDoc="0" locked="0" layoutInCell="1" allowOverlap="1">
                <wp:simplePos x="0" y="0"/>
                <wp:positionH relativeFrom="column">
                  <wp:posOffset>5106670</wp:posOffset>
                </wp:positionH>
                <wp:positionV relativeFrom="paragraph">
                  <wp:posOffset>1074420</wp:posOffset>
                </wp:positionV>
                <wp:extent cx="908050" cy="3282950"/>
                <wp:effectExtent l="19050" t="19050" r="25400" b="12700"/>
                <wp:wrapNone/>
                <wp:docPr id="498" name="任意多边形: 形状 498"/>
                <wp:cNvGraphicFramePr/>
                <a:graphic xmlns:a="http://schemas.openxmlformats.org/drawingml/2006/main">
                  <a:graphicData uri="http://schemas.microsoft.com/office/word/2010/wordprocessingShape">
                    <wps:wsp>
                      <wps:cNvSpPr/>
                      <wps:spPr>
                        <a:xfrm>
                          <a:off x="0" y="0"/>
                          <a:ext cx="908050" cy="3282950"/>
                        </a:xfrm>
                        <a:custGeom>
                          <a:avLst/>
                          <a:gdLst>
                            <a:gd name="connsiteX0" fmla="*/ 768350 w 908050"/>
                            <a:gd name="connsiteY0" fmla="*/ 0 h 3282950"/>
                            <a:gd name="connsiteX1" fmla="*/ 711200 w 908050"/>
                            <a:gd name="connsiteY1" fmla="*/ 6350 h 3282950"/>
                            <a:gd name="connsiteX2" fmla="*/ 673100 w 908050"/>
                            <a:gd name="connsiteY2" fmla="*/ 44450 h 3282950"/>
                            <a:gd name="connsiteX3" fmla="*/ 666750 w 908050"/>
                            <a:gd name="connsiteY3" fmla="*/ 63500 h 3282950"/>
                            <a:gd name="connsiteX4" fmla="*/ 635000 w 908050"/>
                            <a:gd name="connsiteY4" fmla="*/ 101600 h 3282950"/>
                            <a:gd name="connsiteX5" fmla="*/ 628650 w 908050"/>
                            <a:gd name="connsiteY5" fmla="*/ 127000 h 3282950"/>
                            <a:gd name="connsiteX6" fmla="*/ 603250 w 908050"/>
                            <a:gd name="connsiteY6" fmla="*/ 165100 h 3282950"/>
                            <a:gd name="connsiteX7" fmla="*/ 584200 w 908050"/>
                            <a:gd name="connsiteY7" fmla="*/ 203200 h 3282950"/>
                            <a:gd name="connsiteX8" fmla="*/ 539750 w 908050"/>
                            <a:gd name="connsiteY8" fmla="*/ 266700 h 3282950"/>
                            <a:gd name="connsiteX9" fmla="*/ 533400 w 908050"/>
                            <a:gd name="connsiteY9" fmla="*/ 285750 h 3282950"/>
                            <a:gd name="connsiteX10" fmla="*/ 508000 w 908050"/>
                            <a:gd name="connsiteY10" fmla="*/ 323850 h 3282950"/>
                            <a:gd name="connsiteX11" fmla="*/ 488950 w 908050"/>
                            <a:gd name="connsiteY11" fmla="*/ 387350 h 3282950"/>
                            <a:gd name="connsiteX12" fmla="*/ 476250 w 908050"/>
                            <a:gd name="connsiteY12" fmla="*/ 431800 h 3282950"/>
                            <a:gd name="connsiteX13" fmla="*/ 495300 w 908050"/>
                            <a:gd name="connsiteY13" fmla="*/ 590550 h 3282950"/>
                            <a:gd name="connsiteX14" fmla="*/ 501650 w 908050"/>
                            <a:gd name="connsiteY14" fmla="*/ 609600 h 3282950"/>
                            <a:gd name="connsiteX15" fmla="*/ 520700 w 908050"/>
                            <a:gd name="connsiteY15" fmla="*/ 628650 h 3282950"/>
                            <a:gd name="connsiteX16" fmla="*/ 552450 w 908050"/>
                            <a:gd name="connsiteY16" fmla="*/ 660400 h 3282950"/>
                            <a:gd name="connsiteX17" fmla="*/ 584200 w 908050"/>
                            <a:gd name="connsiteY17" fmla="*/ 717550 h 3282950"/>
                            <a:gd name="connsiteX18" fmla="*/ 596900 w 908050"/>
                            <a:gd name="connsiteY18" fmla="*/ 736600 h 3282950"/>
                            <a:gd name="connsiteX19" fmla="*/ 609600 w 908050"/>
                            <a:gd name="connsiteY19" fmla="*/ 774700 h 3282950"/>
                            <a:gd name="connsiteX20" fmla="*/ 635000 w 908050"/>
                            <a:gd name="connsiteY20" fmla="*/ 812800 h 3282950"/>
                            <a:gd name="connsiteX21" fmla="*/ 654050 w 908050"/>
                            <a:gd name="connsiteY21" fmla="*/ 889000 h 3282950"/>
                            <a:gd name="connsiteX22" fmla="*/ 647700 w 908050"/>
                            <a:gd name="connsiteY22" fmla="*/ 1016000 h 3282950"/>
                            <a:gd name="connsiteX23" fmla="*/ 641350 w 908050"/>
                            <a:gd name="connsiteY23" fmla="*/ 1041400 h 3282950"/>
                            <a:gd name="connsiteX24" fmla="*/ 628650 w 908050"/>
                            <a:gd name="connsiteY24" fmla="*/ 1143000 h 3282950"/>
                            <a:gd name="connsiteX25" fmla="*/ 622300 w 908050"/>
                            <a:gd name="connsiteY25" fmla="*/ 1162050 h 3282950"/>
                            <a:gd name="connsiteX26" fmla="*/ 603250 w 908050"/>
                            <a:gd name="connsiteY26" fmla="*/ 1212850 h 3282950"/>
                            <a:gd name="connsiteX27" fmla="*/ 590550 w 908050"/>
                            <a:gd name="connsiteY27" fmla="*/ 1250950 h 3282950"/>
                            <a:gd name="connsiteX28" fmla="*/ 558800 w 908050"/>
                            <a:gd name="connsiteY28" fmla="*/ 1289050 h 3282950"/>
                            <a:gd name="connsiteX29" fmla="*/ 539750 w 908050"/>
                            <a:gd name="connsiteY29" fmla="*/ 1308100 h 3282950"/>
                            <a:gd name="connsiteX30" fmla="*/ 527050 w 908050"/>
                            <a:gd name="connsiteY30" fmla="*/ 1327150 h 3282950"/>
                            <a:gd name="connsiteX31" fmla="*/ 508000 w 908050"/>
                            <a:gd name="connsiteY31" fmla="*/ 1346200 h 3282950"/>
                            <a:gd name="connsiteX32" fmla="*/ 495300 w 908050"/>
                            <a:gd name="connsiteY32" fmla="*/ 1365250 h 3282950"/>
                            <a:gd name="connsiteX33" fmla="*/ 476250 w 908050"/>
                            <a:gd name="connsiteY33" fmla="*/ 1371600 h 3282950"/>
                            <a:gd name="connsiteX34" fmla="*/ 450850 w 908050"/>
                            <a:gd name="connsiteY34" fmla="*/ 1409700 h 3282950"/>
                            <a:gd name="connsiteX35" fmla="*/ 406400 w 908050"/>
                            <a:gd name="connsiteY35" fmla="*/ 1460500 h 3282950"/>
                            <a:gd name="connsiteX36" fmla="*/ 381000 w 908050"/>
                            <a:gd name="connsiteY36" fmla="*/ 1485900 h 3282950"/>
                            <a:gd name="connsiteX37" fmla="*/ 374650 w 908050"/>
                            <a:gd name="connsiteY37" fmla="*/ 1504950 h 3282950"/>
                            <a:gd name="connsiteX38" fmla="*/ 355600 w 908050"/>
                            <a:gd name="connsiteY38" fmla="*/ 1517650 h 3282950"/>
                            <a:gd name="connsiteX39" fmla="*/ 317500 w 908050"/>
                            <a:gd name="connsiteY39" fmla="*/ 1555750 h 3282950"/>
                            <a:gd name="connsiteX40" fmla="*/ 285750 w 908050"/>
                            <a:gd name="connsiteY40" fmla="*/ 1593850 h 3282950"/>
                            <a:gd name="connsiteX41" fmla="*/ 254000 w 908050"/>
                            <a:gd name="connsiteY41" fmla="*/ 1625600 h 3282950"/>
                            <a:gd name="connsiteX42" fmla="*/ 228600 w 908050"/>
                            <a:gd name="connsiteY42" fmla="*/ 1657350 h 3282950"/>
                            <a:gd name="connsiteX43" fmla="*/ 215900 w 908050"/>
                            <a:gd name="connsiteY43" fmla="*/ 1676400 h 3282950"/>
                            <a:gd name="connsiteX44" fmla="*/ 196850 w 908050"/>
                            <a:gd name="connsiteY44" fmla="*/ 1695450 h 3282950"/>
                            <a:gd name="connsiteX45" fmla="*/ 165100 w 908050"/>
                            <a:gd name="connsiteY45" fmla="*/ 1727200 h 3282950"/>
                            <a:gd name="connsiteX46" fmla="*/ 139700 w 908050"/>
                            <a:gd name="connsiteY46" fmla="*/ 1765300 h 3282950"/>
                            <a:gd name="connsiteX47" fmla="*/ 127000 w 908050"/>
                            <a:gd name="connsiteY47" fmla="*/ 1784350 h 3282950"/>
                            <a:gd name="connsiteX48" fmla="*/ 107950 w 908050"/>
                            <a:gd name="connsiteY48" fmla="*/ 1797050 h 3282950"/>
                            <a:gd name="connsiteX49" fmla="*/ 76200 w 908050"/>
                            <a:gd name="connsiteY49" fmla="*/ 1873250 h 3282950"/>
                            <a:gd name="connsiteX50" fmla="*/ 76200 w 908050"/>
                            <a:gd name="connsiteY50" fmla="*/ 1873250 h 3282950"/>
                            <a:gd name="connsiteX51" fmla="*/ 69850 w 908050"/>
                            <a:gd name="connsiteY51" fmla="*/ 1892300 h 3282950"/>
                            <a:gd name="connsiteX52" fmla="*/ 50800 w 908050"/>
                            <a:gd name="connsiteY52" fmla="*/ 1962150 h 3282950"/>
                            <a:gd name="connsiteX53" fmla="*/ 38100 w 908050"/>
                            <a:gd name="connsiteY53" fmla="*/ 1987550 h 3282950"/>
                            <a:gd name="connsiteX54" fmla="*/ 25400 w 908050"/>
                            <a:gd name="connsiteY54" fmla="*/ 2038350 h 3282950"/>
                            <a:gd name="connsiteX55" fmla="*/ 19050 w 908050"/>
                            <a:gd name="connsiteY55" fmla="*/ 2057400 h 3282950"/>
                            <a:gd name="connsiteX56" fmla="*/ 12700 w 908050"/>
                            <a:gd name="connsiteY56" fmla="*/ 2101850 h 3282950"/>
                            <a:gd name="connsiteX57" fmla="*/ 6350 w 908050"/>
                            <a:gd name="connsiteY57" fmla="*/ 2139950 h 3282950"/>
                            <a:gd name="connsiteX58" fmla="*/ 0 w 908050"/>
                            <a:gd name="connsiteY58" fmla="*/ 2228850 h 3282950"/>
                            <a:gd name="connsiteX59" fmla="*/ 6350 w 908050"/>
                            <a:gd name="connsiteY59" fmla="*/ 2495550 h 3282950"/>
                            <a:gd name="connsiteX60" fmla="*/ 19050 w 908050"/>
                            <a:gd name="connsiteY60" fmla="*/ 2533650 h 3282950"/>
                            <a:gd name="connsiteX61" fmla="*/ 57150 w 908050"/>
                            <a:gd name="connsiteY61" fmla="*/ 2571750 h 3282950"/>
                            <a:gd name="connsiteX62" fmla="*/ 95250 w 908050"/>
                            <a:gd name="connsiteY62" fmla="*/ 2590800 h 3282950"/>
                            <a:gd name="connsiteX63" fmla="*/ 133350 w 908050"/>
                            <a:gd name="connsiteY63" fmla="*/ 2616200 h 3282950"/>
                            <a:gd name="connsiteX64" fmla="*/ 171450 w 908050"/>
                            <a:gd name="connsiteY64" fmla="*/ 2641600 h 3282950"/>
                            <a:gd name="connsiteX65" fmla="*/ 190500 w 908050"/>
                            <a:gd name="connsiteY65" fmla="*/ 2654300 h 3282950"/>
                            <a:gd name="connsiteX66" fmla="*/ 222250 w 908050"/>
                            <a:gd name="connsiteY66" fmla="*/ 2692400 h 3282950"/>
                            <a:gd name="connsiteX67" fmla="*/ 266700 w 908050"/>
                            <a:gd name="connsiteY67" fmla="*/ 2743200 h 3282950"/>
                            <a:gd name="connsiteX68" fmla="*/ 279400 w 908050"/>
                            <a:gd name="connsiteY68" fmla="*/ 2781300 h 3282950"/>
                            <a:gd name="connsiteX69" fmla="*/ 292100 w 908050"/>
                            <a:gd name="connsiteY69" fmla="*/ 2800350 h 3282950"/>
                            <a:gd name="connsiteX70" fmla="*/ 298450 w 908050"/>
                            <a:gd name="connsiteY70" fmla="*/ 2819400 h 3282950"/>
                            <a:gd name="connsiteX71" fmla="*/ 311150 w 908050"/>
                            <a:gd name="connsiteY71" fmla="*/ 2838450 h 3282950"/>
                            <a:gd name="connsiteX72" fmla="*/ 317500 w 908050"/>
                            <a:gd name="connsiteY72" fmla="*/ 2857500 h 3282950"/>
                            <a:gd name="connsiteX73" fmla="*/ 336550 w 908050"/>
                            <a:gd name="connsiteY73" fmla="*/ 2876550 h 3282950"/>
                            <a:gd name="connsiteX74" fmla="*/ 355600 w 908050"/>
                            <a:gd name="connsiteY74" fmla="*/ 2914650 h 3282950"/>
                            <a:gd name="connsiteX75" fmla="*/ 374650 w 908050"/>
                            <a:gd name="connsiteY75" fmla="*/ 2933700 h 3282950"/>
                            <a:gd name="connsiteX76" fmla="*/ 381000 w 908050"/>
                            <a:gd name="connsiteY76" fmla="*/ 2952750 h 3282950"/>
                            <a:gd name="connsiteX77" fmla="*/ 419100 w 908050"/>
                            <a:gd name="connsiteY77" fmla="*/ 2978150 h 3282950"/>
                            <a:gd name="connsiteX78" fmla="*/ 425450 w 908050"/>
                            <a:gd name="connsiteY78" fmla="*/ 2997200 h 3282950"/>
                            <a:gd name="connsiteX79" fmla="*/ 463550 w 908050"/>
                            <a:gd name="connsiteY79" fmla="*/ 3022600 h 3282950"/>
                            <a:gd name="connsiteX80" fmla="*/ 514350 w 908050"/>
                            <a:gd name="connsiteY80" fmla="*/ 3067050 h 3282950"/>
                            <a:gd name="connsiteX81" fmla="*/ 533400 w 908050"/>
                            <a:gd name="connsiteY81" fmla="*/ 3079750 h 3282950"/>
                            <a:gd name="connsiteX82" fmla="*/ 552450 w 908050"/>
                            <a:gd name="connsiteY82" fmla="*/ 3086100 h 3282950"/>
                            <a:gd name="connsiteX83" fmla="*/ 571500 w 908050"/>
                            <a:gd name="connsiteY83" fmla="*/ 3098800 h 3282950"/>
                            <a:gd name="connsiteX84" fmla="*/ 590550 w 908050"/>
                            <a:gd name="connsiteY84" fmla="*/ 3105150 h 3282950"/>
                            <a:gd name="connsiteX85" fmla="*/ 647700 w 908050"/>
                            <a:gd name="connsiteY85" fmla="*/ 3136900 h 3282950"/>
                            <a:gd name="connsiteX86" fmla="*/ 685800 w 908050"/>
                            <a:gd name="connsiteY86" fmla="*/ 3162300 h 3282950"/>
                            <a:gd name="connsiteX87" fmla="*/ 723900 w 908050"/>
                            <a:gd name="connsiteY87" fmla="*/ 3187700 h 3282950"/>
                            <a:gd name="connsiteX88" fmla="*/ 742950 w 908050"/>
                            <a:gd name="connsiteY88" fmla="*/ 3194050 h 3282950"/>
                            <a:gd name="connsiteX89" fmla="*/ 762000 w 908050"/>
                            <a:gd name="connsiteY89" fmla="*/ 3206750 h 3282950"/>
                            <a:gd name="connsiteX90" fmla="*/ 781050 w 908050"/>
                            <a:gd name="connsiteY90" fmla="*/ 3213100 h 3282950"/>
                            <a:gd name="connsiteX91" fmla="*/ 800100 w 908050"/>
                            <a:gd name="connsiteY91" fmla="*/ 3225800 h 3282950"/>
                            <a:gd name="connsiteX92" fmla="*/ 819150 w 908050"/>
                            <a:gd name="connsiteY92" fmla="*/ 3232150 h 3282950"/>
                            <a:gd name="connsiteX93" fmla="*/ 857250 w 908050"/>
                            <a:gd name="connsiteY93" fmla="*/ 3257550 h 3282950"/>
                            <a:gd name="connsiteX94" fmla="*/ 876300 w 908050"/>
                            <a:gd name="connsiteY94" fmla="*/ 3263900 h 3282950"/>
                            <a:gd name="connsiteX95" fmla="*/ 895350 w 908050"/>
                            <a:gd name="connsiteY95" fmla="*/ 3276600 h 3282950"/>
                            <a:gd name="connsiteX96" fmla="*/ 908050 w 908050"/>
                            <a:gd name="connsiteY96" fmla="*/ 3282950 h 3282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Lst>
                          <a:rect l="l" t="t" r="r" b="b"/>
                          <a:pathLst>
                            <a:path w="908050" h="3282950">
                              <a:moveTo>
                                <a:pt x="768350" y="0"/>
                              </a:moveTo>
                              <a:cubicBezTo>
                                <a:pt x="749300" y="2117"/>
                                <a:pt x="728569" y="-1756"/>
                                <a:pt x="711200" y="6350"/>
                              </a:cubicBezTo>
                              <a:cubicBezTo>
                                <a:pt x="694924" y="13945"/>
                                <a:pt x="673100" y="44450"/>
                                <a:pt x="673100" y="44450"/>
                              </a:cubicBezTo>
                              <a:cubicBezTo>
                                <a:pt x="670983" y="50800"/>
                                <a:pt x="669743" y="57513"/>
                                <a:pt x="666750" y="63500"/>
                              </a:cubicBezTo>
                              <a:cubicBezTo>
                                <a:pt x="657909" y="81181"/>
                                <a:pt x="649044" y="87556"/>
                                <a:pt x="635000" y="101600"/>
                              </a:cubicBezTo>
                              <a:cubicBezTo>
                                <a:pt x="632883" y="110067"/>
                                <a:pt x="632553" y="119194"/>
                                <a:pt x="628650" y="127000"/>
                              </a:cubicBezTo>
                              <a:cubicBezTo>
                                <a:pt x="621824" y="140652"/>
                                <a:pt x="608077" y="150620"/>
                                <a:pt x="603250" y="165100"/>
                              </a:cubicBezTo>
                              <a:cubicBezTo>
                                <a:pt x="595386" y="188691"/>
                                <a:pt x="599587" y="181658"/>
                                <a:pt x="584200" y="203200"/>
                              </a:cubicBezTo>
                              <a:cubicBezTo>
                                <a:pt x="575144" y="215879"/>
                                <a:pt x="543400" y="255751"/>
                                <a:pt x="539750" y="266700"/>
                              </a:cubicBezTo>
                              <a:cubicBezTo>
                                <a:pt x="537633" y="273050"/>
                                <a:pt x="536651" y="279899"/>
                                <a:pt x="533400" y="285750"/>
                              </a:cubicBezTo>
                              <a:cubicBezTo>
                                <a:pt x="525987" y="299093"/>
                                <a:pt x="512827" y="309370"/>
                                <a:pt x="508000" y="323850"/>
                              </a:cubicBezTo>
                              <a:cubicBezTo>
                                <a:pt x="477819" y="414392"/>
                                <a:pt x="508144" y="320172"/>
                                <a:pt x="488950" y="387350"/>
                              </a:cubicBezTo>
                              <a:cubicBezTo>
                                <a:pt x="470730" y="451119"/>
                                <a:pt x="496101" y="352395"/>
                                <a:pt x="476250" y="431800"/>
                              </a:cubicBezTo>
                              <a:cubicBezTo>
                                <a:pt x="483304" y="565818"/>
                                <a:pt x="469865" y="514244"/>
                                <a:pt x="495300" y="590550"/>
                              </a:cubicBezTo>
                              <a:cubicBezTo>
                                <a:pt x="497417" y="596900"/>
                                <a:pt x="496917" y="604867"/>
                                <a:pt x="501650" y="609600"/>
                              </a:cubicBezTo>
                              <a:cubicBezTo>
                                <a:pt x="508000" y="615950"/>
                                <a:pt x="514951" y="621751"/>
                                <a:pt x="520700" y="628650"/>
                              </a:cubicBezTo>
                              <a:cubicBezTo>
                                <a:pt x="547158" y="660400"/>
                                <a:pt x="517525" y="637117"/>
                                <a:pt x="552450" y="660400"/>
                              </a:cubicBezTo>
                              <a:cubicBezTo>
                                <a:pt x="563627" y="693930"/>
                                <a:pt x="555087" y="673881"/>
                                <a:pt x="584200" y="717550"/>
                              </a:cubicBezTo>
                              <a:cubicBezTo>
                                <a:pt x="588433" y="723900"/>
                                <a:pt x="594487" y="729360"/>
                                <a:pt x="596900" y="736600"/>
                              </a:cubicBezTo>
                              <a:cubicBezTo>
                                <a:pt x="601133" y="749300"/>
                                <a:pt x="602174" y="763561"/>
                                <a:pt x="609600" y="774700"/>
                              </a:cubicBezTo>
                              <a:cubicBezTo>
                                <a:pt x="618067" y="787400"/>
                                <a:pt x="630173" y="798320"/>
                                <a:pt x="635000" y="812800"/>
                              </a:cubicBezTo>
                              <a:cubicBezTo>
                                <a:pt x="651771" y="863114"/>
                                <a:pt x="645499" y="837695"/>
                                <a:pt x="654050" y="889000"/>
                              </a:cubicBezTo>
                              <a:cubicBezTo>
                                <a:pt x="651933" y="931333"/>
                                <a:pt x="651220" y="973760"/>
                                <a:pt x="647700" y="1016000"/>
                              </a:cubicBezTo>
                              <a:cubicBezTo>
                                <a:pt x="646975" y="1024697"/>
                                <a:pt x="642584" y="1032760"/>
                                <a:pt x="641350" y="1041400"/>
                              </a:cubicBezTo>
                              <a:cubicBezTo>
                                <a:pt x="634323" y="1090588"/>
                                <a:pt x="638131" y="1100334"/>
                                <a:pt x="628650" y="1143000"/>
                              </a:cubicBezTo>
                              <a:cubicBezTo>
                                <a:pt x="627198" y="1149534"/>
                                <a:pt x="623923" y="1155556"/>
                                <a:pt x="622300" y="1162050"/>
                              </a:cubicBezTo>
                              <a:cubicBezTo>
                                <a:pt x="598644" y="1256676"/>
                                <a:pt x="633116" y="1145651"/>
                                <a:pt x="603250" y="1212850"/>
                              </a:cubicBezTo>
                              <a:cubicBezTo>
                                <a:pt x="597813" y="1225083"/>
                                <a:pt x="600016" y="1241484"/>
                                <a:pt x="590550" y="1250950"/>
                              </a:cubicBezTo>
                              <a:cubicBezTo>
                                <a:pt x="534895" y="1306605"/>
                                <a:pt x="603003" y="1236006"/>
                                <a:pt x="558800" y="1289050"/>
                              </a:cubicBezTo>
                              <a:cubicBezTo>
                                <a:pt x="553051" y="1295949"/>
                                <a:pt x="545499" y="1301201"/>
                                <a:pt x="539750" y="1308100"/>
                              </a:cubicBezTo>
                              <a:cubicBezTo>
                                <a:pt x="534864" y="1313963"/>
                                <a:pt x="531936" y="1321287"/>
                                <a:pt x="527050" y="1327150"/>
                              </a:cubicBezTo>
                              <a:cubicBezTo>
                                <a:pt x="521301" y="1334049"/>
                                <a:pt x="513749" y="1339301"/>
                                <a:pt x="508000" y="1346200"/>
                              </a:cubicBezTo>
                              <a:cubicBezTo>
                                <a:pt x="503114" y="1352063"/>
                                <a:pt x="501259" y="1360482"/>
                                <a:pt x="495300" y="1365250"/>
                              </a:cubicBezTo>
                              <a:cubicBezTo>
                                <a:pt x="490073" y="1369431"/>
                                <a:pt x="482600" y="1369483"/>
                                <a:pt x="476250" y="1371600"/>
                              </a:cubicBezTo>
                              <a:cubicBezTo>
                                <a:pt x="464106" y="1408033"/>
                                <a:pt x="478597" y="1374025"/>
                                <a:pt x="450850" y="1409700"/>
                              </a:cubicBezTo>
                              <a:cubicBezTo>
                                <a:pt x="410959" y="1460988"/>
                                <a:pt x="443279" y="1435914"/>
                                <a:pt x="406400" y="1460500"/>
                              </a:cubicBezTo>
                              <a:cubicBezTo>
                                <a:pt x="389467" y="1511300"/>
                                <a:pt x="414867" y="1452033"/>
                                <a:pt x="381000" y="1485900"/>
                              </a:cubicBezTo>
                              <a:cubicBezTo>
                                <a:pt x="376267" y="1490633"/>
                                <a:pt x="378831" y="1499723"/>
                                <a:pt x="374650" y="1504950"/>
                              </a:cubicBezTo>
                              <a:cubicBezTo>
                                <a:pt x="369882" y="1510909"/>
                                <a:pt x="361304" y="1512580"/>
                                <a:pt x="355600" y="1517650"/>
                              </a:cubicBezTo>
                              <a:cubicBezTo>
                                <a:pt x="342176" y="1529582"/>
                                <a:pt x="327463" y="1540806"/>
                                <a:pt x="317500" y="1555750"/>
                              </a:cubicBezTo>
                              <a:cubicBezTo>
                                <a:pt x="285968" y="1603048"/>
                                <a:pt x="326494" y="1544957"/>
                                <a:pt x="285750" y="1593850"/>
                              </a:cubicBezTo>
                              <a:cubicBezTo>
                                <a:pt x="259292" y="1625600"/>
                                <a:pt x="288925" y="1602317"/>
                                <a:pt x="254000" y="1625600"/>
                              </a:cubicBezTo>
                              <a:cubicBezTo>
                                <a:pt x="241638" y="1662686"/>
                                <a:pt x="257323" y="1628627"/>
                                <a:pt x="228600" y="1657350"/>
                              </a:cubicBezTo>
                              <a:cubicBezTo>
                                <a:pt x="223204" y="1662746"/>
                                <a:pt x="220786" y="1670537"/>
                                <a:pt x="215900" y="1676400"/>
                              </a:cubicBezTo>
                              <a:cubicBezTo>
                                <a:pt x="210151" y="1683299"/>
                                <a:pt x="202599" y="1688551"/>
                                <a:pt x="196850" y="1695450"/>
                              </a:cubicBezTo>
                              <a:cubicBezTo>
                                <a:pt x="170392" y="1727200"/>
                                <a:pt x="200025" y="1703917"/>
                                <a:pt x="165100" y="1727200"/>
                              </a:cubicBezTo>
                              <a:lnTo>
                                <a:pt x="139700" y="1765300"/>
                              </a:lnTo>
                              <a:cubicBezTo>
                                <a:pt x="135467" y="1771650"/>
                                <a:pt x="133350" y="1780117"/>
                                <a:pt x="127000" y="1784350"/>
                              </a:cubicBezTo>
                              <a:lnTo>
                                <a:pt x="107950" y="1797050"/>
                              </a:lnTo>
                              <a:cubicBezTo>
                                <a:pt x="99091" y="1850206"/>
                                <a:pt x="108742" y="1824437"/>
                                <a:pt x="76200" y="1873250"/>
                              </a:cubicBezTo>
                              <a:lnTo>
                                <a:pt x="76200" y="1873250"/>
                              </a:lnTo>
                              <a:cubicBezTo>
                                <a:pt x="74083" y="1879600"/>
                                <a:pt x="71611" y="1885842"/>
                                <a:pt x="69850" y="1892300"/>
                              </a:cubicBezTo>
                              <a:cubicBezTo>
                                <a:pt x="67422" y="1901203"/>
                                <a:pt x="58108" y="1945098"/>
                                <a:pt x="50800" y="1962150"/>
                              </a:cubicBezTo>
                              <a:cubicBezTo>
                                <a:pt x="47071" y="1970851"/>
                                <a:pt x="41093" y="1978570"/>
                                <a:pt x="38100" y="1987550"/>
                              </a:cubicBezTo>
                              <a:cubicBezTo>
                                <a:pt x="32580" y="2004109"/>
                                <a:pt x="30920" y="2021791"/>
                                <a:pt x="25400" y="2038350"/>
                              </a:cubicBezTo>
                              <a:lnTo>
                                <a:pt x="19050" y="2057400"/>
                              </a:lnTo>
                              <a:cubicBezTo>
                                <a:pt x="16933" y="2072217"/>
                                <a:pt x="14976" y="2087057"/>
                                <a:pt x="12700" y="2101850"/>
                              </a:cubicBezTo>
                              <a:cubicBezTo>
                                <a:pt x="10742" y="2114575"/>
                                <a:pt x="7631" y="2127139"/>
                                <a:pt x="6350" y="2139950"/>
                              </a:cubicBezTo>
                              <a:cubicBezTo>
                                <a:pt x="3394" y="2169511"/>
                                <a:pt x="2117" y="2199217"/>
                                <a:pt x="0" y="2228850"/>
                              </a:cubicBezTo>
                              <a:cubicBezTo>
                                <a:pt x="2117" y="2317750"/>
                                <a:pt x="803" y="2406798"/>
                                <a:pt x="6350" y="2495550"/>
                              </a:cubicBezTo>
                              <a:cubicBezTo>
                                <a:pt x="7185" y="2508911"/>
                                <a:pt x="9584" y="2524184"/>
                                <a:pt x="19050" y="2533650"/>
                              </a:cubicBezTo>
                              <a:cubicBezTo>
                                <a:pt x="31750" y="2546350"/>
                                <a:pt x="42206" y="2561787"/>
                                <a:pt x="57150" y="2571750"/>
                              </a:cubicBezTo>
                              <a:cubicBezTo>
                                <a:pt x="141720" y="2628130"/>
                                <a:pt x="16380" y="2546983"/>
                                <a:pt x="95250" y="2590800"/>
                              </a:cubicBezTo>
                              <a:cubicBezTo>
                                <a:pt x="108593" y="2598213"/>
                                <a:pt x="120650" y="2607733"/>
                                <a:pt x="133350" y="2616200"/>
                              </a:cubicBezTo>
                              <a:lnTo>
                                <a:pt x="171450" y="2641600"/>
                              </a:lnTo>
                              <a:lnTo>
                                <a:pt x="190500" y="2654300"/>
                              </a:lnTo>
                              <a:cubicBezTo>
                                <a:pt x="235882" y="2722373"/>
                                <a:pt x="165208" y="2619061"/>
                                <a:pt x="222250" y="2692400"/>
                              </a:cubicBezTo>
                              <a:cubicBezTo>
                                <a:pt x="262141" y="2743688"/>
                                <a:pt x="229821" y="2718614"/>
                                <a:pt x="266700" y="2743200"/>
                              </a:cubicBezTo>
                              <a:cubicBezTo>
                                <a:pt x="270933" y="2755900"/>
                                <a:pt x="271974" y="2770161"/>
                                <a:pt x="279400" y="2781300"/>
                              </a:cubicBezTo>
                              <a:cubicBezTo>
                                <a:pt x="283633" y="2787650"/>
                                <a:pt x="288687" y="2793524"/>
                                <a:pt x="292100" y="2800350"/>
                              </a:cubicBezTo>
                              <a:cubicBezTo>
                                <a:pt x="295093" y="2806337"/>
                                <a:pt x="295457" y="2813413"/>
                                <a:pt x="298450" y="2819400"/>
                              </a:cubicBezTo>
                              <a:cubicBezTo>
                                <a:pt x="301863" y="2826226"/>
                                <a:pt x="307737" y="2831624"/>
                                <a:pt x="311150" y="2838450"/>
                              </a:cubicBezTo>
                              <a:cubicBezTo>
                                <a:pt x="314143" y="2844437"/>
                                <a:pt x="313787" y="2851931"/>
                                <a:pt x="317500" y="2857500"/>
                              </a:cubicBezTo>
                              <a:cubicBezTo>
                                <a:pt x="322481" y="2864972"/>
                                <a:pt x="330801" y="2869651"/>
                                <a:pt x="336550" y="2876550"/>
                              </a:cubicBezTo>
                              <a:cubicBezTo>
                                <a:pt x="386509" y="2936501"/>
                                <a:pt x="317415" y="2857372"/>
                                <a:pt x="355600" y="2914650"/>
                              </a:cubicBezTo>
                              <a:cubicBezTo>
                                <a:pt x="360581" y="2922122"/>
                                <a:pt x="368300" y="2927350"/>
                                <a:pt x="374650" y="2933700"/>
                              </a:cubicBezTo>
                              <a:cubicBezTo>
                                <a:pt x="376767" y="2940050"/>
                                <a:pt x="376267" y="2948017"/>
                                <a:pt x="381000" y="2952750"/>
                              </a:cubicBezTo>
                              <a:cubicBezTo>
                                <a:pt x="391793" y="2963543"/>
                                <a:pt x="419100" y="2978150"/>
                                <a:pt x="419100" y="2978150"/>
                              </a:cubicBezTo>
                              <a:cubicBezTo>
                                <a:pt x="421217" y="2984500"/>
                                <a:pt x="420717" y="2992467"/>
                                <a:pt x="425450" y="2997200"/>
                              </a:cubicBezTo>
                              <a:cubicBezTo>
                                <a:pt x="436243" y="3007993"/>
                                <a:pt x="463550" y="3022600"/>
                                <a:pt x="463550" y="3022600"/>
                              </a:cubicBezTo>
                              <a:cubicBezTo>
                                <a:pt x="484717" y="3054350"/>
                                <a:pt x="469900" y="3037417"/>
                                <a:pt x="514350" y="3067050"/>
                              </a:cubicBezTo>
                              <a:cubicBezTo>
                                <a:pt x="520700" y="3071283"/>
                                <a:pt x="526160" y="3077337"/>
                                <a:pt x="533400" y="3079750"/>
                              </a:cubicBezTo>
                              <a:cubicBezTo>
                                <a:pt x="539750" y="3081867"/>
                                <a:pt x="546463" y="3083107"/>
                                <a:pt x="552450" y="3086100"/>
                              </a:cubicBezTo>
                              <a:cubicBezTo>
                                <a:pt x="559276" y="3089513"/>
                                <a:pt x="564674" y="3095387"/>
                                <a:pt x="571500" y="3098800"/>
                              </a:cubicBezTo>
                              <a:cubicBezTo>
                                <a:pt x="577487" y="3101793"/>
                                <a:pt x="584699" y="3101899"/>
                                <a:pt x="590550" y="3105150"/>
                              </a:cubicBezTo>
                              <a:cubicBezTo>
                                <a:pt x="656054" y="3141541"/>
                                <a:pt x="604595" y="3122532"/>
                                <a:pt x="647700" y="3136900"/>
                              </a:cubicBezTo>
                              <a:cubicBezTo>
                                <a:pt x="672413" y="3173969"/>
                                <a:pt x="644795" y="3141798"/>
                                <a:pt x="685800" y="3162300"/>
                              </a:cubicBezTo>
                              <a:cubicBezTo>
                                <a:pt x="699452" y="3169126"/>
                                <a:pt x="709420" y="3182873"/>
                                <a:pt x="723900" y="3187700"/>
                              </a:cubicBezTo>
                              <a:cubicBezTo>
                                <a:pt x="730250" y="3189817"/>
                                <a:pt x="736963" y="3191057"/>
                                <a:pt x="742950" y="3194050"/>
                              </a:cubicBezTo>
                              <a:cubicBezTo>
                                <a:pt x="749776" y="3197463"/>
                                <a:pt x="755174" y="3203337"/>
                                <a:pt x="762000" y="3206750"/>
                              </a:cubicBezTo>
                              <a:cubicBezTo>
                                <a:pt x="767987" y="3209743"/>
                                <a:pt x="775063" y="3210107"/>
                                <a:pt x="781050" y="3213100"/>
                              </a:cubicBezTo>
                              <a:cubicBezTo>
                                <a:pt x="787876" y="3216513"/>
                                <a:pt x="793274" y="3222387"/>
                                <a:pt x="800100" y="3225800"/>
                              </a:cubicBezTo>
                              <a:cubicBezTo>
                                <a:pt x="806087" y="3228793"/>
                                <a:pt x="813299" y="3228899"/>
                                <a:pt x="819150" y="3232150"/>
                              </a:cubicBezTo>
                              <a:cubicBezTo>
                                <a:pt x="832493" y="3239563"/>
                                <a:pt x="842770" y="3252723"/>
                                <a:pt x="857250" y="3257550"/>
                              </a:cubicBezTo>
                              <a:cubicBezTo>
                                <a:pt x="863600" y="3259667"/>
                                <a:pt x="870313" y="3260907"/>
                                <a:pt x="876300" y="3263900"/>
                              </a:cubicBezTo>
                              <a:cubicBezTo>
                                <a:pt x="883126" y="3267313"/>
                                <a:pt x="888806" y="3272673"/>
                                <a:pt x="895350" y="3276600"/>
                              </a:cubicBezTo>
                              <a:cubicBezTo>
                                <a:pt x="899409" y="3279035"/>
                                <a:pt x="903817" y="3280833"/>
                                <a:pt x="908050" y="3282950"/>
                              </a:cubicBezTo>
                            </a:path>
                          </a:pathLst>
                        </a:cu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498" o:spid="_x0000_s1026" o:spt="100" style="position:absolute;left:0pt;margin-left:402.1pt;margin-top:84.6pt;height:258.5pt;width:71.5pt;z-index:252000256;v-text-anchor:middle;mso-width-relative:page;mso-height-relative:page;" filled="f" stroked="t" coordsize="908050,3282950" o:gfxdata="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" path="m768350,0c749300,2117,728569,-1756,711200,6350c694924,13945,673100,44450,673100,44450c670983,50800,669743,57513,666750,63500c657909,81181,649044,87556,635000,101600c632883,110067,632553,119194,628650,127000c621824,140652,608077,150620,603250,165100c595386,188691,599587,181658,584200,203200c575144,215879,543400,255751,539750,266700c537633,273050,536651,279899,533400,285750c525987,299093,512827,309370,508000,323850c477819,414392,508144,320172,488950,387350c470730,451119,496101,352395,476250,431800c483304,565818,469865,514244,495300,590550c497417,596900,496917,604867,501650,609600c508000,615950,514951,621751,520700,628650c547158,660400,517525,637117,552450,660400c563627,693930,555087,673881,584200,717550c588433,723900,594487,729360,596900,736600c601133,749300,602174,763561,609600,774700c618067,787400,630173,798320,635000,812800c651771,863114,645499,837695,654050,889000c651933,931333,651220,973760,647700,1016000c646975,1024697,642584,1032760,641350,1041400c634323,1090588,638131,1100334,628650,1143000c627198,1149534,623923,1155556,622300,1162050c598644,1256676,633116,1145651,603250,1212850c597813,1225083,600016,1241484,590550,1250950c534895,1306605,603003,1236006,558800,1289050c553051,1295949,545499,1301201,539750,1308100c534864,1313963,531936,1321287,527050,1327150c521301,1334049,513749,1339301,508000,1346200c503114,1352063,501259,1360482,495300,1365250c490073,1369431,482600,1369483,476250,1371600c464106,1408033,478597,1374025,450850,1409700c410959,1460988,443279,1435914,406400,1460500c389467,1511300,414867,1452033,381000,1485900c376267,1490633,378831,1499723,374650,1504950c369882,1510909,361304,1512580,355600,1517650c342176,1529582,327463,1540806,317500,1555750c285968,1603048,326494,1544957,285750,1593850c259292,1625600,288925,1602317,254000,1625600c241638,1662686,257323,1628627,228600,1657350c223204,1662746,220786,1670537,215900,1676400c210151,1683299,202599,1688551,196850,1695450c170392,1727200,200025,1703917,165100,1727200l139700,1765300c135467,1771650,133350,1780117,127000,1784350l107950,1797050c99091,1850206,108742,1824437,76200,1873250l76200,1873250c74083,1879600,71611,1885842,69850,1892300c67422,1901203,58108,1945098,50800,1962150c47071,1970851,41093,1978570,38100,1987550c32580,2004109,30920,2021791,25400,2038350l19050,2057400c16933,2072217,14976,2087057,12700,2101850c10742,2114575,7631,2127139,6350,2139950c3394,2169511,2117,2199217,0,2228850c2117,2317750,803,2406798,6350,2495550c7185,2508911,9584,2524184,19050,2533650c31750,2546350,42206,2561787,57150,2571750c141720,2628130,16380,2546983,95250,2590800c108593,2598213,120650,2607733,133350,2616200l171450,2641600,190500,2654300c235882,2722373,165208,2619061,222250,2692400c262141,2743688,229821,2718614,266700,2743200c270933,2755900,271974,2770161,279400,2781300c283633,2787650,288687,2793524,292100,2800350c295093,2806337,295457,2813413,298450,2819400c301863,2826226,307737,2831624,311150,2838450c314143,2844437,313787,2851931,317500,2857500c322481,2864972,330801,2869651,336550,2876550c386509,2936501,317415,2857372,355600,2914650c360581,2922122,368300,2927350,374650,2933700c376767,2940050,376267,2948017,381000,2952750c391793,2963543,419100,2978150,419100,2978150c421217,2984500,420717,2992467,425450,2997200c436243,3007993,463550,3022600,463550,3022600c484717,3054350,469900,3037417,514350,3067050c520700,3071283,526160,3077337,533400,3079750c539750,3081867,546463,3083107,552450,3086100c559276,3089513,564674,3095387,571500,3098800c577487,3101793,584699,3101899,590550,3105150c656054,3141541,604595,3122532,647700,3136900c672413,3173969,644795,3141798,685800,3162300c699452,3169126,709420,3182873,723900,3187700c730250,3189817,736963,3191057,742950,3194050c749776,3197463,755174,3203337,762000,3206750c767987,3209743,775063,3210107,781050,3213100c787876,3216513,793274,3222387,800100,3225800c806087,3228793,813299,3228899,819150,3232150c832493,3239563,842770,3252723,857250,3257550c863600,3259667,870313,3260907,876300,3263900c883126,3267313,888806,3272673,895350,3276600c899409,3279035,903817,3280833,908050,3282950e">
                <v:path o:connectlocs="768350,0;711200,6350;673100,44450;666750,63500;635000,101600;628650,127000;603250,165100;584200,203200;539750,266700;533400,285750;508000,323850;488950,387350;476250,431800;495300,590550;501650,609600;520700,628650;552450,660400;584200,717550;596900,736600;609600,774700;635000,812800;654050,889000;647700,1016000;641350,1041400;628650,1143000;622300,1162050;603250,1212850;590550,1250950;558800,1289050;539750,1308100;527050,1327150;508000,1346200;495300,1365250;476250,1371600;450850,1409700;406400,1460500;381000,1485900;374650,1504950;355600,1517650;317500,1555750;285750,1593850;254000,1625600;228600,1657350;215900,1676400;196850,1695450;165100,1727200;139700,1765300;127000,1784350;107950,1797050;76200,1873250;76200,1873250;69850,1892300;50800,1962150;38100,1987550;25400,2038350;19050,2057400;12700,2101850;6350,2139950;0,2228850;6350,2495550;19050,2533650;57150,2571750;95250,2590800;133350,2616200;171450,2641600;190500,2654300;222250,2692400;266700,2743200;279400,2781300;292100,2800350;298450,2819400;311150,2838450;317500,2857500;336550,2876550;355600,2914650;374650,2933700;381000,2952750;419100,2978150;425450,2997200;463550,3022600;514350,3067050;533400,3079750;552450,3086100;571500,3098800;590550,3105150;647700,3136900;685800,3162300;723900,3187700;742950,3194050;762000,3206750;781050,3213100;800100,3225800;819150,3232150;857250,3257550;876300,3263900;895350,3276600;908050,3282950" o:connectangles="0,0,0,0,0,0,0,0,0,0,0,0,0,0,0,0,0,0,0,0,0,0,0,0,0,0,0,0,0,0,0,0,0,0,0,0,0,0,0,0,0,0,0,0,0,0,0,0,0,0,0,0,0,0,0,0,0,0,0,0,0,0,0,0,0,0,0,0,0,0,0,0,0,0,0,0,0,0,0,0,0,0,0,0,0,0,0,0,0,0,0,0,0,0,0,0,0"/>
                <v:fill on="f" focussize="0,0"/>
                <v:stroke weight="2.5pt" color="#00B050 [3204]" miterlimit="8" joinstyle="miter"/>
                <v:imagedata o:title=""/>
                <o:lock v:ext="edit" aspectratio="f"/>
              </v:shape>
            </w:pict>
          </mc:Fallback>
        </mc:AlternateContent>
      </w:r>
      <w:r>
        <mc:AlternateContent>
          <mc:Choice Requires="wps">
            <w:drawing>
              <wp:anchor distT="0" distB="0" distL="114300" distR="114300" simplePos="0" relativeHeight="251999232" behindDoc="0" locked="0" layoutInCell="1" allowOverlap="1">
                <wp:simplePos x="0" y="0"/>
                <wp:positionH relativeFrom="column">
                  <wp:posOffset>2763520</wp:posOffset>
                </wp:positionH>
                <wp:positionV relativeFrom="paragraph">
                  <wp:posOffset>1728470</wp:posOffset>
                </wp:positionV>
                <wp:extent cx="806450" cy="412750"/>
                <wp:effectExtent l="0" t="0" r="12700" b="425450"/>
                <wp:wrapNone/>
                <wp:docPr id="497" name="对话气泡: 矩形 497"/>
                <wp:cNvGraphicFramePr/>
                <a:graphic xmlns:a="http://schemas.openxmlformats.org/drawingml/2006/main">
                  <a:graphicData uri="http://schemas.microsoft.com/office/word/2010/wordprocessingShape">
                    <wps:wsp>
                      <wps:cNvSpPr/>
                      <wps:spPr>
                        <a:xfrm>
                          <a:off x="0" y="0"/>
                          <a:ext cx="806450" cy="412750"/>
                        </a:xfrm>
                        <a:prstGeom prst="wedgeRectCallout">
                          <a:avLst>
                            <a:gd name="adj1" fmla="val 36959"/>
                            <a:gd name="adj2" fmla="val 136346"/>
                          </a:avLst>
                        </a:prstGeom>
                      </wps:spPr>
                      <wps:style>
                        <a:lnRef idx="2">
                          <a:schemeClr val="accent6"/>
                        </a:lnRef>
                        <a:fillRef idx="1">
                          <a:schemeClr val="lt1"/>
                        </a:fillRef>
                        <a:effectRef idx="0">
                          <a:schemeClr val="accent6"/>
                        </a:effectRef>
                        <a:fontRef idx="minor">
                          <a:schemeClr val="dk1"/>
                        </a:fontRef>
                      </wps:style>
                      <wps:txbx>
                        <w:txbxContent>
                          <w:p>
                            <w:pPr>
                              <w:ind w:firstLine="175" w:firstLineChars="83"/>
                              <w:rPr>
                                <w:b/>
                                <w:color w:val="FF0000"/>
                                <w:sz w:val="21"/>
                                <w:szCs w:val="21"/>
                              </w:rPr>
                            </w:pPr>
                            <w:r>
                              <w:rPr>
                                <w:rFonts w:hint="eastAsia"/>
                                <w:b/>
                                <w:color w:val="FF0000"/>
                                <w:sz w:val="21"/>
                                <w:szCs w:val="21"/>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497" o:spid="_x0000_s1026" o:spt="61" type="#_x0000_t61" style="position:absolute;left:0pt;margin-left:217.6pt;margin-top:136.1pt;height:32.5pt;width:63.5pt;z-index:251999232;v-text-anchor:middle;mso-width-relative:page;mso-height-relative:page;" fillcolor="#FFFFFF [3201]" filled="t" stroked="t" coordsize="21600,21600" o:gfxdata="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z+Av/2gAAAAsBAAAPAAAAAAAAAAEAIAAAACIAAABkcnMvZG93bnJldi54&#10;bWxQSwECFAAUAAAACACHTuJAkZcksaMCAAAgBQAADgAAAAAAAAABACAAAAApAQAAZHJzL2Uyb0Rv&#10;Yy54bWxQSwUGAAAAAAYABgBZAQAAPgYAAAAA&#10;" adj="18783,40251">
                <v:fill on="t" focussize="0,0"/>
                <v:stroke weight="1pt" color="#70AD47 [3209]" miterlimit="8" joinstyle="miter"/>
                <v:imagedata o:title=""/>
                <o:lock v:ext="edit" aspectratio="f"/>
                <v:textbox>
                  <w:txbxContent>
                    <w:p>
                      <w:pPr>
                        <w:ind w:firstLine="175" w:firstLineChars="83"/>
                        <w:rPr>
                          <w:b/>
                          <w:color w:val="FF0000"/>
                          <w:sz w:val="21"/>
                          <w:szCs w:val="21"/>
                        </w:rPr>
                      </w:pPr>
                      <w:r>
                        <w:rPr>
                          <w:rFonts w:hint="eastAsia"/>
                          <w:b/>
                          <w:color w:val="FF0000"/>
                          <w:sz w:val="21"/>
                          <w:szCs w:val="21"/>
                        </w:rPr>
                        <w:t>本项目</w:t>
                      </w:r>
                    </w:p>
                  </w:txbxContent>
                </v:textbox>
              </v:shape>
            </w:pict>
          </mc:Fallback>
        </mc:AlternateContent>
      </w:r>
      <w:r>
        <mc:AlternateContent>
          <mc:Choice Requires="wps">
            <w:drawing>
              <wp:anchor distT="0" distB="0" distL="114300" distR="114300" simplePos="0" relativeHeight="251998208" behindDoc="0" locked="0" layoutInCell="1" allowOverlap="1">
                <wp:simplePos x="0" y="0"/>
                <wp:positionH relativeFrom="column">
                  <wp:posOffset>3366770</wp:posOffset>
                </wp:positionH>
                <wp:positionV relativeFrom="paragraph">
                  <wp:posOffset>2477770</wp:posOffset>
                </wp:positionV>
                <wp:extent cx="203200" cy="152400"/>
                <wp:effectExtent l="38100" t="19050" r="44450" b="38100"/>
                <wp:wrapNone/>
                <wp:docPr id="496" name="星形: 五角 496"/>
                <wp:cNvGraphicFramePr/>
                <a:graphic xmlns:a="http://schemas.openxmlformats.org/drawingml/2006/main">
                  <a:graphicData uri="http://schemas.microsoft.com/office/word/2010/wordprocessingShape">
                    <wps:wsp>
                      <wps:cNvSpPr/>
                      <wps:spPr>
                        <a:xfrm>
                          <a:off x="0" y="0"/>
                          <a:ext cx="203200" cy="152400"/>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496" o:spid="_x0000_s1026" style="position:absolute;left:0pt;margin-left:265.1pt;margin-top:195.1pt;height:12pt;width:16pt;z-index:251998208;v-text-anchor:middle;mso-width-relative:page;mso-height-relative:page;" fillcolor="#FF0000" filled="t" stroked="t" coordsize="203200,152400" o:gfxdata="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amqwbZAAAACwEAAA8AAAAAAAAAAQAgAAAAIgAAAGRycy9k&#10;b3ducmV2LnhtbFBLAQIUABQAAAAIAIdO4kBVomWNcwIAANMEAAAOAAAAAAAAAAEAIAAAACgBAABk&#10;cnMvZTJvRG9jLnhtbFBLBQYAAAAABgAGAFkBAAANBgAAAAA=&#10;" path="m0,58211l77615,58211,101600,0,125584,58211,203199,58211,140407,94187,164392,152399,101600,116422,38807,152399,62792,94187xe">
                <v:path o:connectlocs="101600,0;0,58211;38807,152399;164392,152399;203199,58211" o:connectangles="247,164,82,82,0"/>
                <v:fill on="t" focussize="0,0"/>
                <v:stroke weight="1pt" color="#41719C [3204]" miterlimit="8" joinstyle="miter"/>
                <v:imagedata o:title=""/>
                <o:lock v:ext="edit" aspectratio="f"/>
              </v:shape>
            </w:pict>
          </mc:Fallback>
        </mc:AlternateContent>
      </w:r>
      <w:r>
        <w:drawing>
          <wp:inline distT="0" distB="0" distL="0" distR="0">
            <wp:extent cx="8891270" cy="4500880"/>
            <wp:effectExtent l="0" t="0" r="508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pic:cNvPicPr>
                  </pic:nvPicPr>
                  <pic:blipFill>
                    <a:blip r:embed="rId57"/>
                    <a:stretch>
                      <a:fillRect/>
                    </a:stretch>
                  </pic:blipFill>
                  <pic:spPr>
                    <a:xfrm>
                      <a:off x="0" y="0"/>
                      <a:ext cx="8891270" cy="4500880"/>
                    </a:xfrm>
                    <a:prstGeom prst="rect">
                      <a:avLst/>
                    </a:prstGeom>
                  </pic:spPr>
                </pic:pic>
              </a:graphicData>
            </a:graphic>
          </wp:inline>
        </w:drawing>
      </w:r>
    </w:p>
    <w:p>
      <w:pPr>
        <w:pStyle w:val="18"/>
      </w:pPr>
      <w:bookmarkStart w:id="299" w:name="_Ref527453095"/>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bookmarkEnd w:id="299"/>
      <w:r>
        <w:rPr>
          <w:rFonts w:hint="eastAsia"/>
        </w:rPr>
        <w:t>地表水监测布点图</w:t>
      </w:r>
    </w:p>
    <w:p>
      <w:pPr>
        <w:ind w:firstLine="480"/>
        <w:rPr>
          <w:rFonts w:eastAsiaTheme="minorEastAsia"/>
        </w:rPr>
      </w:pPr>
    </w:p>
    <w:p>
      <w:pPr>
        <w:ind w:firstLine="480"/>
        <w:rPr>
          <w:rFonts w:eastAsiaTheme="minorEastAsia"/>
        </w:rPr>
        <w:sectPr>
          <w:pgSz w:w="16838" w:h="11906" w:orient="landscape"/>
          <w:pgMar w:top="1418" w:right="1418" w:bottom="1418" w:left="1418" w:header="851" w:footer="992" w:gutter="0"/>
          <w:cols w:space="720" w:num="1"/>
          <w:docGrid w:type="lines" w:linePitch="326" w:charSpace="0"/>
        </w:sectPr>
      </w:pPr>
    </w:p>
    <w:p>
      <w:pPr>
        <w:pStyle w:val="126"/>
        <w:numPr>
          <w:ilvl w:val="0"/>
          <w:numId w:val="37"/>
        </w:numPr>
        <w:ind w:firstLine="482"/>
        <w:rPr>
          <w:rFonts w:eastAsiaTheme="minorEastAsia"/>
        </w:rPr>
      </w:pPr>
      <w:bookmarkStart w:id="300" w:name="_Toc331536155"/>
      <w:r>
        <w:rPr>
          <w:rFonts w:eastAsiaTheme="minorEastAsia"/>
        </w:rPr>
        <w:t>监测时间</w:t>
      </w:r>
      <w:bookmarkEnd w:id="300"/>
      <w:r>
        <w:rPr>
          <w:rFonts w:hint="eastAsia" w:eastAsiaTheme="minorEastAsia"/>
        </w:rPr>
        <w:t>及频次</w:t>
      </w:r>
    </w:p>
    <w:p>
      <w:pPr>
        <w:ind w:firstLine="480"/>
        <w:rPr>
          <w:rFonts w:eastAsiaTheme="minorEastAsia"/>
        </w:rPr>
      </w:pPr>
      <w:r>
        <w:t>2019</w:t>
      </w:r>
      <w:r>
        <w:rPr>
          <w:rFonts w:hint="eastAsia"/>
        </w:rPr>
        <w:t>年</w:t>
      </w:r>
      <w:r>
        <w:t>4</w:t>
      </w:r>
      <w:r>
        <w:rPr>
          <w:rFonts w:hint="eastAsia"/>
        </w:rPr>
        <w:t>月</w:t>
      </w:r>
      <w:r>
        <w:t>25</w:t>
      </w:r>
      <w:r>
        <w:rPr>
          <w:rFonts w:hint="eastAsia"/>
        </w:rPr>
        <w:t>日</w:t>
      </w:r>
      <w:r>
        <w:t>~4</w:t>
      </w:r>
      <w:r>
        <w:rPr>
          <w:rFonts w:hint="eastAsia"/>
        </w:rPr>
        <w:t>月</w:t>
      </w:r>
      <w:r>
        <w:t>27</w:t>
      </w:r>
      <w:r>
        <w:rPr>
          <w:rFonts w:hint="eastAsia"/>
        </w:rPr>
        <w:t>日</w:t>
      </w:r>
      <w:r>
        <w:rPr>
          <w:rFonts w:hint="eastAsia" w:eastAsiaTheme="minorEastAsia"/>
        </w:rPr>
        <w:t>，</w:t>
      </w:r>
      <w:r>
        <w:rPr>
          <w:rFonts w:eastAsiaTheme="minorEastAsia"/>
        </w:rPr>
        <w:t>一期</w:t>
      </w:r>
      <w:r>
        <w:rPr>
          <w:rFonts w:hint="eastAsia" w:eastAsiaTheme="minorEastAsia"/>
        </w:rPr>
        <w:t>连续</w:t>
      </w:r>
      <w:r>
        <w:rPr>
          <w:rFonts w:eastAsiaTheme="minorEastAsia"/>
        </w:rPr>
        <w:t>监测3天</w:t>
      </w:r>
      <w:r>
        <w:rPr>
          <w:rFonts w:hint="eastAsia" w:eastAsiaTheme="minorEastAsia"/>
        </w:rPr>
        <w:t>，每天采样1次。</w:t>
      </w:r>
    </w:p>
    <w:p>
      <w:pPr>
        <w:pStyle w:val="126"/>
        <w:numPr>
          <w:ilvl w:val="0"/>
          <w:numId w:val="37"/>
        </w:numPr>
        <w:ind w:firstLine="482"/>
        <w:rPr>
          <w:rFonts w:eastAsiaTheme="minorEastAsia"/>
        </w:rPr>
      </w:pPr>
      <w:bookmarkStart w:id="301" w:name="_Toc331536156"/>
      <w:r>
        <w:rPr>
          <w:rFonts w:hint="eastAsia" w:eastAsiaTheme="minorEastAsia"/>
        </w:rPr>
        <w:t>采样及</w:t>
      </w:r>
      <w:r>
        <w:rPr>
          <w:rFonts w:eastAsiaTheme="minorEastAsia"/>
        </w:rPr>
        <w:t>分析方法</w:t>
      </w:r>
      <w:bookmarkEnd w:id="301"/>
    </w:p>
    <w:p>
      <w:pPr>
        <w:ind w:firstLine="480"/>
        <w:rPr>
          <w:rFonts w:eastAsiaTheme="minorEastAsia"/>
        </w:rPr>
      </w:pPr>
      <w:r>
        <w:rPr>
          <w:rFonts w:hint="eastAsia" w:eastAsiaTheme="minorEastAsia"/>
        </w:rPr>
        <w:t>水样的采集与分析按照原国家环保总局发布的《地表水和污水监测技术规范》（</w:t>
      </w:r>
      <w:r>
        <w:rPr>
          <w:rFonts w:eastAsiaTheme="minorEastAsia"/>
        </w:rPr>
        <w:t>HJ/T 91-2002</w:t>
      </w:r>
      <w:r>
        <w:rPr>
          <w:rFonts w:hint="eastAsia" w:eastAsiaTheme="minorEastAsia"/>
        </w:rPr>
        <w:t>）及《水和废水监测分析方法》中规定或推荐的分析方法进行。</w:t>
      </w:r>
    </w:p>
    <w:p>
      <w:pPr>
        <w:ind w:firstLine="480"/>
        <w:rPr>
          <w:rFonts w:eastAsiaTheme="minorEastAsia"/>
        </w:rPr>
      </w:pPr>
      <w:r>
        <w:rPr>
          <w:rFonts w:hint="eastAsia" w:eastAsiaTheme="minorEastAsia"/>
        </w:rPr>
        <w:t>各监测项目的分析方法按照《地表水环境质量标准》（GB</w:t>
      </w:r>
      <w:r>
        <w:rPr>
          <w:rFonts w:eastAsiaTheme="minorEastAsia"/>
        </w:rPr>
        <w:t xml:space="preserve"> </w:t>
      </w:r>
      <w:r>
        <w:rPr>
          <w:rFonts w:hint="eastAsia" w:eastAsiaTheme="minorEastAsia"/>
        </w:rPr>
        <w:t>3838-2002）中规定的方法进行，对部分未做规定的项目，按原国家环境保护局发布的《环境监测技术规范》及《水和废水监测分析方法》中的有关规定进行。各有关分析方法及其最低检出限见</w:t>
      </w:r>
      <w:r>
        <w:rPr>
          <w:rFonts w:eastAsiaTheme="minorEastAsia"/>
        </w:rPr>
        <w:fldChar w:fldCharType="begin"/>
      </w:r>
      <w:r>
        <w:rPr>
          <w:rFonts w:eastAsiaTheme="minorEastAsia"/>
        </w:rPr>
        <w:instrText xml:space="preserve"> </w:instrText>
      </w:r>
      <w:r>
        <w:rPr>
          <w:rFonts w:hint="eastAsia" w:eastAsiaTheme="minorEastAsia"/>
        </w:rPr>
        <w:instrText xml:space="preserve">REF _Ref527449309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3.3</w:t>
      </w:r>
      <w:r>
        <w:rPr>
          <w:rFonts w:eastAsiaTheme="minorEastAsia"/>
        </w:rPr>
        <w:noBreakHyphen/>
      </w:r>
      <w:r>
        <w:rPr>
          <w:rFonts w:eastAsiaTheme="minorEastAsia"/>
        </w:rPr>
        <w:t>2</w:t>
      </w:r>
      <w:r>
        <w:rPr>
          <w:rFonts w:eastAsiaTheme="minorEastAsia"/>
        </w:rPr>
        <w:fldChar w:fldCharType="end"/>
      </w:r>
      <w:r>
        <w:rPr>
          <w:rFonts w:hint="eastAsia" w:eastAsiaTheme="minorEastAsia"/>
        </w:rPr>
        <w:t>。</w:t>
      </w:r>
    </w:p>
    <w:p>
      <w:pPr>
        <w:pStyle w:val="18"/>
      </w:pPr>
      <w:bookmarkStart w:id="302" w:name="_Ref527449309"/>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bookmarkEnd w:id="302"/>
      <w:r>
        <w:rPr>
          <w:rFonts w:hint="eastAsia"/>
        </w:rPr>
        <w:t>地表水水质监测因子分析方法及检出下限</w:t>
      </w:r>
    </w:p>
    <w:tbl>
      <w:tblPr>
        <w:tblStyle w:val="56"/>
        <w:tblW w:w="89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4"/>
        <w:gridCol w:w="2944"/>
        <w:gridCol w:w="2956"/>
        <w:gridCol w:w="1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304" w:type="dxa"/>
            <w:tcBorders>
              <w:bottom w:val="single" w:color="auto" w:sz="4" w:space="0"/>
            </w:tcBorders>
            <w:shd w:val="clear" w:color="auto" w:fill="auto"/>
            <w:vAlign w:val="center"/>
          </w:tcPr>
          <w:p>
            <w:pPr>
              <w:pStyle w:val="107"/>
              <w:rPr>
                <w:b/>
              </w:rPr>
            </w:pPr>
            <w:r>
              <w:rPr>
                <w:b/>
              </w:rPr>
              <w:t>监测项目</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b/>
              </w:rPr>
            </w:pPr>
            <w:r>
              <w:rPr>
                <w:rFonts w:hint="eastAsia"/>
                <w:b/>
              </w:rPr>
              <w:t>方法标准号</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b/>
              </w:rPr>
            </w:pPr>
            <w:r>
              <w:rPr>
                <w:rFonts w:hint="eastAsia"/>
                <w:b/>
              </w:rPr>
              <w:t>分析方法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b/>
              </w:rPr>
            </w:pPr>
            <w:r>
              <w:rPr>
                <w:rFonts w:hint="eastAsia"/>
                <w:b/>
              </w:rPr>
              <w:t>最低检出限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304" w:type="dxa"/>
            <w:shd w:val="clear" w:color="auto" w:fill="auto"/>
            <w:vAlign w:val="center"/>
          </w:tcPr>
          <w:p>
            <w:pPr>
              <w:pStyle w:val="107"/>
            </w:pPr>
            <w:r>
              <w:t>pH值</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pPr>
            <w:r>
              <w:t>GB/T 6920-1986</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玻璃电极法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color w:val="000000"/>
                <w:sz w:val="20"/>
                <w:szCs w:val="20"/>
              </w:rPr>
            </w:pPr>
            <w:r>
              <w:t>0.1</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pPr>
            <w:r>
              <w:t>DO</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pPr>
            <w:r>
              <w:t>HJ 506-2009</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电化学探头法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pPr>
            <w:r>
              <w:t>COD</w:t>
            </w:r>
            <w:r>
              <w:rPr>
                <w:vertAlign w:val="subscript"/>
              </w:rPr>
              <w:t>Cr</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pPr>
            <w:r>
              <w:t>GB/T11901-1989</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重量法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电子天平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pPr>
            <w:r>
              <w:t>BOD</w:t>
            </w:r>
            <w:r>
              <w:rPr>
                <w:vertAlign w:val="subscript"/>
              </w:rPr>
              <w:t>5</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color w:val="000000"/>
                <w:sz w:val="20"/>
                <w:szCs w:val="20"/>
              </w:rPr>
            </w:pPr>
            <w:r>
              <w:rPr>
                <w:rFonts w:hint="eastAsia"/>
              </w:rPr>
              <w:t>《水和废水监测分析方法》第四版增补版（</w:t>
            </w:r>
            <w:r>
              <w:t>3.3.2.3</w:t>
            </w:r>
            <w:r>
              <w:rPr>
                <w:rFonts w:hint="eastAsia"/>
              </w:rPr>
              <w:t>）</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rPr>
                <w:color w:val="auto"/>
              </w:rPr>
            </w:pPr>
            <w:r>
              <w:rPr>
                <w:rFonts w:hint="eastAsia"/>
              </w:rPr>
              <w:t>快速密闭催化消解法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pPr>
            <w:r>
              <w:t>10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pPr>
            <w:r>
              <w:t>氨氮</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pPr>
            <w:r>
              <w:t>HJ535-2009</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纳氏试剂分光光度法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pPr>
            <w:r>
              <w:t>0.025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pPr>
            <w:r>
              <w:t>总磷</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pPr>
            <w:r>
              <w:t>GB/T11893-1989</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钼酸铵分光光度法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pPr>
            <w: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pPr>
            <w:r>
              <w:t>总氮</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pPr>
            <w:r>
              <w:t>HJ 636-2012</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碱性过硫酸钾消解</w:t>
            </w:r>
          </w:p>
          <w:p>
            <w:pPr>
              <w:pStyle w:val="107"/>
              <w:rPr>
                <w:color w:val="000000"/>
                <w:sz w:val="20"/>
                <w:szCs w:val="20"/>
              </w:rPr>
            </w:pPr>
            <w:r>
              <w:rPr>
                <w:rFonts w:hint="eastAsia"/>
              </w:rPr>
              <w:t>紫外分光光度法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rPr>
                <w:color w:val="auto"/>
              </w:rPr>
            </w:pPr>
            <w: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04" w:type="dxa"/>
            <w:vAlign w:val="center"/>
          </w:tcPr>
          <w:p>
            <w:pPr>
              <w:pStyle w:val="107"/>
            </w:pPr>
            <w:r>
              <w:rPr>
                <w:rFonts w:hint="eastAsia"/>
              </w:rPr>
              <w:t>粪大肠菌群</w:t>
            </w:r>
          </w:p>
        </w:tc>
        <w:tc>
          <w:tcPr>
            <w:tcW w:w="2944"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pPr>
            <w:r>
              <w:t>HJ/T 347-2007</w:t>
            </w:r>
          </w:p>
        </w:tc>
        <w:tc>
          <w:tcPr>
            <w:tcW w:w="2956"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多管发酵法</w:t>
            </w:r>
          </w:p>
        </w:tc>
        <w:tc>
          <w:tcPr>
            <w:tcW w:w="1742" w:type="dxa"/>
            <w:tcBorders>
              <w:top w:val="single" w:color="000000" w:sz="4" w:space="0"/>
              <w:left w:val="nil"/>
              <w:bottom w:val="single" w:color="000000" w:sz="4" w:space="0"/>
              <w:right w:val="single" w:color="000000" w:sz="4" w:space="0"/>
            </w:tcBorders>
            <w:shd w:val="clear" w:color="auto" w:fill="auto"/>
            <w:vAlign w:val="center"/>
          </w:tcPr>
          <w:p>
            <w:pPr>
              <w:pStyle w:val="107"/>
            </w:pPr>
            <w:r>
              <w:t>--</w:t>
            </w:r>
          </w:p>
        </w:tc>
      </w:tr>
    </w:tbl>
    <w:p>
      <w:pPr>
        <w:pStyle w:val="6"/>
      </w:pPr>
      <w:bookmarkStart w:id="303" w:name="_Toc331536157"/>
      <w:r>
        <w:rPr>
          <w:rFonts w:hint="eastAsia"/>
        </w:rPr>
        <w:t>地表水环境质量现状评价</w:t>
      </w:r>
    </w:p>
    <w:p>
      <w:pPr>
        <w:pStyle w:val="126"/>
        <w:numPr>
          <w:ilvl w:val="0"/>
          <w:numId w:val="38"/>
        </w:numPr>
        <w:ind w:firstLine="482"/>
        <w:rPr>
          <w:rFonts w:eastAsiaTheme="minorEastAsia"/>
        </w:rPr>
      </w:pPr>
      <w:r>
        <w:rPr>
          <w:rFonts w:eastAsiaTheme="minorEastAsia"/>
        </w:rPr>
        <w:t>评价</w:t>
      </w:r>
      <w:r>
        <w:rPr>
          <w:rFonts w:hint="eastAsia" w:eastAsiaTheme="minorEastAsia"/>
        </w:rPr>
        <w:t>标准</w:t>
      </w:r>
      <w:bookmarkEnd w:id="303"/>
    </w:p>
    <w:p>
      <w:pPr>
        <w:ind w:firstLine="480"/>
      </w:pPr>
      <w:r>
        <w:rPr>
          <w:rFonts w:hint="eastAsia"/>
        </w:rPr>
        <w:t>镇海水采用《地表水环境质量标准》（GB</w:t>
      </w:r>
      <w:r>
        <w:t xml:space="preserve"> </w:t>
      </w:r>
      <w:r>
        <w:rPr>
          <w:rFonts w:hint="eastAsia"/>
        </w:rPr>
        <w:t>3838-2002）中的III类水质标准进行评价,标准限值详</w:t>
      </w:r>
      <w:r>
        <w:rPr>
          <w:rFonts w:hint="eastAsia" w:cs="Times New Roman"/>
        </w:rPr>
        <w:t>见</w:t>
      </w:r>
      <w:r>
        <w:rPr>
          <w:rFonts w:cs="Times New Roman"/>
        </w:rPr>
        <w:fldChar w:fldCharType="begin"/>
      </w:r>
      <w:r>
        <w:rPr>
          <w:rFonts w:cs="Times New Roman"/>
        </w:rPr>
        <w:instrText xml:space="preserve"> </w:instrText>
      </w:r>
      <w:r>
        <w:rPr>
          <w:rFonts w:hint="eastAsia" w:cs="Times New Roman"/>
        </w:rPr>
        <w:instrText xml:space="preserve">REF _Ref522022535 \h</w:instrText>
      </w:r>
      <w:r>
        <w:rPr>
          <w:rFonts w:cs="Times New Roman"/>
        </w:rPr>
        <w:instrText xml:space="preserve">  \* MERGEFORMAT </w:instrText>
      </w:r>
      <w:r>
        <w:rPr>
          <w:rFonts w:cs="Times New Roman"/>
        </w:rPr>
        <w:fldChar w:fldCharType="separate"/>
      </w:r>
      <w:r>
        <w:rPr>
          <w:rFonts w:hint="eastAsia"/>
        </w:rPr>
        <w:t xml:space="preserve">表 </w:t>
      </w:r>
      <w:r>
        <w:t>1.4</w:t>
      </w:r>
      <w:r>
        <w:noBreakHyphen/>
      </w:r>
      <w:r>
        <w:t>1</w:t>
      </w:r>
      <w:r>
        <w:rPr>
          <w:rFonts w:cs="Times New Roman"/>
        </w:rPr>
        <w:fldChar w:fldCharType="end"/>
      </w:r>
      <w:r>
        <w:rPr>
          <w:rFonts w:hint="eastAsia"/>
        </w:rPr>
        <w:t>。</w:t>
      </w:r>
    </w:p>
    <w:p>
      <w:pPr>
        <w:pStyle w:val="126"/>
        <w:numPr>
          <w:ilvl w:val="0"/>
          <w:numId w:val="38"/>
        </w:numPr>
        <w:ind w:firstLine="482"/>
        <w:rPr>
          <w:rFonts w:eastAsiaTheme="minorEastAsia"/>
        </w:rPr>
      </w:pPr>
      <w:r>
        <w:rPr>
          <w:rFonts w:eastAsiaTheme="minorEastAsia"/>
        </w:rPr>
        <w:t>评价方法</w:t>
      </w:r>
    </w:p>
    <w:p>
      <w:pPr>
        <w:ind w:firstLine="480"/>
      </w:pPr>
      <w:r>
        <w:rPr>
          <w:rFonts w:hint="eastAsia"/>
        </w:rPr>
        <w:t>采用</w:t>
      </w:r>
      <w:r>
        <w:t>《环境影响评价技术导则</w:t>
      </w:r>
      <w:r>
        <w:rPr>
          <w:rFonts w:hint="eastAsia"/>
        </w:rPr>
        <w:t xml:space="preserve"> </w:t>
      </w:r>
      <w:r>
        <w:t>地面水环境》（HJ 2.3-2018）</w:t>
      </w:r>
      <w:r>
        <w:rPr>
          <w:rFonts w:hint="eastAsia"/>
        </w:rPr>
        <w:t>推荐的单项水质参数</w:t>
      </w:r>
      <w:r>
        <w:t>评价法</w:t>
      </w:r>
      <w:r>
        <w:rPr>
          <w:rFonts w:hint="eastAsia"/>
        </w:rPr>
        <w:t>——标准指数法</w:t>
      </w:r>
      <w:r>
        <w:t>对水质现状进行评价</w:t>
      </w:r>
      <w:r>
        <w:rPr>
          <w:rFonts w:hint="eastAsia"/>
        </w:rPr>
        <w:t>。在单项水质参数评价中，数值变化不大的情况下，某水质参数的数值可采用多次监测的平均值。</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水质参数的标准指数＞1，表明该水质参数超过了规定的水质标准限值</w:t>
      </w:r>
      <w:r>
        <w:t>，</w:t>
      </w:r>
      <w:r>
        <w:rPr>
          <w:rFonts w:hint="eastAsia"/>
        </w:rPr>
        <w:t>不能满足使用要求，</w:t>
      </w:r>
      <w:r>
        <w:rPr>
          <w:rFonts w:hint="eastAsia"/>
          <w:color w:val="000000" w:themeColor="text1"/>
          <w14:textFill>
            <w14:solidFill>
              <w14:schemeClr w14:val="tx1"/>
            </w14:solidFill>
          </w14:textFill>
        </w:rPr>
        <w:t>水质参数的标准指数</w:t>
      </w:r>
      <w:r>
        <w:rPr>
          <w:rFonts w:hint="eastAsia"/>
        </w:rPr>
        <w:t>越</w:t>
      </w:r>
      <w:r>
        <w:t>大</w:t>
      </w:r>
      <w:r>
        <w:rPr>
          <w:rFonts w:hint="eastAsia"/>
        </w:rPr>
        <w:t>，</w:t>
      </w:r>
      <w:r>
        <w:t>说明</w:t>
      </w:r>
      <w:r>
        <w:rPr>
          <w:rFonts w:hint="eastAsia"/>
        </w:rPr>
        <w:t>该水质参数超标越严重</w:t>
      </w:r>
      <w:r>
        <w:rPr>
          <w:rFonts w:hint="eastAsia"/>
          <w:color w:val="000000" w:themeColor="text1"/>
          <w14:textFill>
            <w14:solidFill>
              <w14:schemeClr w14:val="tx1"/>
            </w14:solidFill>
          </w14:textFill>
        </w:rPr>
        <w:t>。</w:t>
      </w:r>
      <w:r>
        <w:t>对于所有未检出的项目，其含量取最低检出限的一半值进行单因子指数计算。</w:t>
      </w:r>
    </w:p>
    <w:p>
      <w:pPr>
        <w:pStyle w:val="131"/>
        <w:numPr>
          <w:ilvl w:val="0"/>
          <w:numId w:val="39"/>
        </w:numPr>
        <w:ind w:left="0" w:firstLine="480"/>
      </w:pPr>
      <w:r>
        <w:rPr>
          <w:rFonts w:hint="eastAsia"/>
        </w:rPr>
        <w:t>单项水质参数i在第j点的标准指数</w:t>
      </w:r>
    </w:p>
    <w:p>
      <w:pPr>
        <w:adjustRightInd w:val="0"/>
        <w:snapToGrid w:val="0"/>
        <w:ind w:firstLine="480"/>
        <w:rPr>
          <w:rFonts w:eastAsiaTheme="minorEastAsia"/>
        </w:rPr>
      </w:pPr>
      <w:r>
        <w:rPr>
          <w:rFonts w:cs="Times New Roman" w:eastAsiaTheme="minorEastAsia"/>
          <w:kern w:val="2"/>
          <w:szCs w:val="20"/>
        </w:rPr>
        <w:object>
          <v:shape id="_x0000_i1025" o:spt="75" type="#_x0000_t75" style="height:21.5pt;width:72pt;" o:ole="t" filled="f" o:preferrelative="t" stroked="f" coordsize="21600,21600">
            <v:path/>
            <v:fill on="f" focussize="0,0"/>
            <v:stroke on="f" joinstyle="miter"/>
            <v:imagedata r:id="rId59" o:title=""/>
            <o:lock v:ext="edit" aspectratio="t"/>
            <w10:wrap type="none"/>
            <w10:anchorlock/>
          </v:shape>
          <o:OLEObject Type="Embed" ProgID="Equation.3" ShapeID="_x0000_i1025" DrawAspect="Content" ObjectID="_1468075725" r:id="rId58">
            <o:LockedField>false</o:LockedField>
          </o:OLEObject>
        </w:object>
      </w:r>
    </w:p>
    <w:p>
      <w:pPr>
        <w:adjustRightInd w:val="0"/>
        <w:snapToGrid w:val="0"/>
        <w:ind w:firstLine="480"/>
        <w:rPr>
          <w:rFonts w:eastAsiaTheme="minorEastAsia"/>
        </w:rPr>
      </w:pPr>
      <w:r>
        <w:rPr>
          <w:rFonts w:eastAsiaTheme="minorEastAsia"/>
        </w:rPr>
        <w:t>式中：</w:t>
      </w:r>
      <w:r>
        <w:rPr>
          <w:rFonts w:eastAsiaTheme="minorEastAsia"/>
          <w:i/>
          <w:iCs/>
        </w:rPr>
        <w:t>S</w:t>
      </w:r>
      <w:r>
        <w:rPr>
          <w:rFonts w:eastAsiaTheme="minorEastAsia"/>
          <w:i/>
          <w:iCs/>
          <w:vertAlign w:val="subscript"/>
        </w:rPr>
        <w:t>i，j</w:t>
      </w:r>
      <w:r>
        <w:rPr>
          <w:rFonts w:eastAsiaTheme="minorEastAsia"/>
        </w:rPr>
        <w:t>——</w:t>
      </w:r>
      <w:r>
        <w:rPr>
          <w:rFonts w:hint="eastAsia" w:eastAsiaTheme="minorEastAsia"/>
        </w:rPr>
        <w:t>单项水质参数i在第j点的标准指数</w:t>
      </w:r>
      <w:r>
        <w:rPr>
          <w:rFonts w:eastAsiaTheme="minorEastAsia"/>
        </w:rPr>
        <w:t>；</w:t>
      </w:r>
    </w:p>
    <w:p>
      <w:pPr>
        <w:adjustRightInd w:val="0"/>
        <w:snapToGrid w:val="0"/>
        <w:ind w:firstLine="1080" w:firstLineChars="450"/>
        <w:rPr>
          <w:rFonts w:eastAsiaTheme="minorEastAsia"/>
        </w:rPr>
      </w:pPr>
      <w:r>
        <w:rPr>
          <w:rFonts w:eastAsiaTheme="minorEastAsia"/>
          <w:i/>
          <w:iCs/>
        </w:rPr>
        <w:t>C</w:t>
      </w:r>
      <w:r>
        <w:rPr>
          <w:rFonts w:eastAsiaTheme="minorEastAsia"/>
          <w:i/>
          <w:iCs/>
          <w:vertAlign w:val="subscript"/>
        </w:rPr>
        <w:t>i，j</w:t>
      </w:r>
      <w:r>
        <w:rPr>
          <w:rFonts w:eastAsiaTheme="minorEastAsia"/>
        </w:rPr>
        <w:t>——</w:t>
      </w:r>
      <w:r>
        <w:rPr>
          <w:rFonts w:hint="eastAsia" w:eastAsiaTheme="minorEastAsia"/>
        </w:rPr>
        <w:t>水质参数i在第j点的</w:t>
      </w:r>
      <w:r>
        <w:rPr>
          <w:rFonts w:eastAsiaTheme="minorEastAsia"/>
        </w:rPr>
        <w:t>监测浓度值，mg/L；</w:t>
      </w:r>
    </w:p>
    <w:p>
      <w:pPr>
        <w:adjustRightInd w:val="0"/>
        <w:snapToGrid w:val="0"/>
        <w:ind w:firstLine="1080" w:firstLineChars="450"/>
        <w:rPr>
          <w:rFonts w:eastAsiaTheme="minorEastAsia"/>
        </w:rPr>
      </w:pPr>
      <w:r>
        <w:rPr>
          <w:rFonts w:eastAsiaTheme="minorEastAsia"/>
          <w:i/>
        </w:rPr>
        <w:t>C</w:t>
      </w:r>
      <w:r>
        <w:rPr>
          <w:rFonts w:eastAsiaTheme="minorEastAsia"/>
          <w:i/>
          <w:vertAlign w:val="subscript"/>
        </w:rPr>
        <w:t>Si</w:t>
      </w:r>
      <w:r>
        <w:rPr>
          <w:rFonts w:eastAsiaTheme="minorEastAsia"/>
        </w:rPr>
        <w:t>——</w:t>
      </w:r>
      <w:r>
        <w:rPr>
          <w:rFonts w:hint="eastAsia" w:eastAsiaTheme="minorEastAsia"/>
        </w:rPr>
        <w:t>水质参数i的地表水环境质量标准</w:t>
      </w:r>
      <w:r>
        <w:rPr>
          <w:rFonts w:eastAsiaTheme="minorEastAsia"/>
        </w:rPr>
        <w:t>值，mg/L。</w:t>
      </w:r>
    </w:p>
    <w:p>
      <w:pPr>
        <w:pStyle w:val="131"/>
        <w:numPr>
          <w:ilvl w:val="0"/>
          <w:numId w:val="39"/>
        </w:numPr>
        <w:ind w:left="0" w:firstLine="480"/>
      </w:pPr>
      <w:r>
        <w:t>DO的标准指数</w:t>
      </w:r>
    </w:p>
    <w:p>
      <w:pPr>
        <w:adjustRightInd w:val="0"/>
        <w:snapToGrid w:val="0"/>
        <w:ind w:firstLine="480"/>
        <w:rPr>
          <w:rFonts w:cs="Times New Roman" w:eastAsiaTheme="minorEastAsia"/>
          <w:kern w:val="2"/>
          <w:szCs w:val="20"/>
        </w:rPr>
      </w:pPr>
      <w:r>
        <w:rPr>
          <w:rFonts w:cs="Times New Roman" w:eastAsiaTheme="minorEastAsia"/>
          <w:kern w:val="2"/>
          <w:szCs w:val="20"/>
        </w:rPr>
        <w:object>
          <v:shape id="_x0000_i1026" o:spt="75" type="#_x0000_t75" style="height:79.5pt;width:230.5pt;" o:ole="t" filled="f" o:preferrelative="t" stroked="f" coordsize="21600,21600">
            <v:path/>
            <v:fill on="f" focussize="0,0"/>
            <v:stroke on="f" joinstyle="miter"/>
            <v:imagedata r:id="rId61" o:title=""/>
            <o:lock v:ext="edit" aspectratio="t"/>
            <w10:wrap type="none"/>
            <w10:anchorlock/>
          </v:shape>
          <o:OLEObject Type="Embed" ProgID="Equation.3" ShapeID="_x0000_i1026" DrawAspect="Content" ObjectID="_1468075726" r:id="rId60">
            <o:LockedField>false</o:LockedField>
          </o:OLEObject>
        </w:object>
      </w:r>
    </w:p>
    <w:p>
      <w:pPr>
        <w:adjustRightInd w:val="0"/>
        <w:snapToGrid w:val="0"/>
        <w:ind w:firstLine="480"/>
        <w:rPr>
          <w:rFonts w:cs="Times New Roman" w:eastAsiaTheme="minorEastAsia"/>
          <w:kern w:val="2"/>
          <w:szCs w:val="20"/>
        </w:rPr>
      </w:pPr>
      <w:r>
        <w:rPr>
          <w:rFonts w:cs="Times New Roman" w:eastAsiaTheme="minorEastAsia"/>
          <w:kern w:val="2"/>
          <w:szCs w:val="20"/>
        </w:rPr>
        <w:object>
          <v:shape id="_x0000_i1027" o:spt="75" type="#_x0000_t75" style="height:28pt;width:79.5pt;" o:ole="t" filled="f" o:preferrelative="t" stroked="f" coordsize="21600,21600">
            <v:path/>
            <v:fill on="f" focussize="0,0"/>
            <v:stroke on="f" joinstyle="miter"/>
            <v:imagedata r:id="rId63" o:title=""/>
            <o:lock v:ext="edit" aspectratio="t"/>
            <w10:wrap type="none"/>
            <w10:anchorlock/>
          </v:shape>
          <o:OLEObject Type="Embed" ProgID="Equation.3" ShapeID="_x0000_i1027" DrawAspect="Content" ObjectID="_1468075727" r:id="rId62">
            <o:LockedField>false</o:LockedField>
          </o:OLEObject>
        </w:object>
      </w:r>
    </w:p>
    <w:p>
      <w:pPr>
        <w:adjustRightInd w:val="0"/>
        <w:snapToGrid w:val="0"/>
        <w:ind w:firstLine="480"/>
        <w:rPr>
          <w:rFonts w:eastAsiaTheme="minorEastAsia"/>
        </w:rPr>
      </w:pPr>
      <w:r>
        <w:rPr>
          <w:rFonts w:eastAsiaTheme="minorEastAsia"/>
        </w:rPr>
        <w:t>式中：</w:t>
      </w:r>
      <w:r>
        <w:rPr>
          <w:rFonts w:eastAsiaTheme="minorEastAsia"/>
          <w:i/>
        </w:rPr>
        <w:t>S</w:t>
      </w:r>
      <w:r>
        <w:rPr>
          <w:rFonts w:eastAsiaTheme="minorEastAsia"/>
          <w:i/>
          <w:vertAlign w:val="subscript"/>
        </w:rPr>
        <w:t>DOj</w:t>
      </w:r>
      <w:r>
        <w:rPr>
          <w:rFonts w:eastAsiaTheme="minorEastAsia"/>
        </w:rPr>
        <w:t>——</w:t>
      </w:r>
      <w:r>
        <w:rPr>
          <w:rFonts w:hint="eastAsia" w:eastAsiaTheme="minorEastAsia"/>
        </w:rPr>
        <w:t>溶解氧</w:t>
      </w:r>
      <w:r>
        <w:rPr>
          <w:rFonts w:eastAsiaTheme="minorEastAsia"/>
        </w:rPr>
        <w:t>的标准指数；</w:t>
      </w:r>
    </w:p>
    <w:p>
      <w:pPr>
        <w:adjustRightInd w:val="0"/>
        <w:snapToGrid w:val="0"/>
        <w:ind w:left="1200" w:leftChars="500" w:firstLine="0" w:firstLineChars="0"/>
        <w:rPr>
          <w:rFonts w:eastAsiaTheme="minorEastAsia"/>
        </w:rPr>
      </w:pPr>
      <w:r>
        <w:rPr>
          <w:rFonts w:eastAsiaTheme="minorEastAsia"/>
          <w:i/>
        </w:rPr>
        <w:t>DO</w:t>
      </w:r>
      <w:r>
        <w:rPr>
          <w:rFonts w:eastAsiaTheme="minorEastAsia"/>
          <w:i/>
          <w:vertAlign w:val="subscript"/>
        </w:rPr>
        <w:t>f</w:t>
      </w:r>
      <w:r>
        <w:rPr>
          <w:rFonts w:eastAsiaTheme="minorEastAsia"/>
        </w:rPr>
        <w:t>——某水温、气压条件下的饱和溶解氧浓度</w:t>
      </w:r>
      <w:r>
        <w:rPr>
          <w:rFonts w:hint="eastAsia" w:eastAsiaTheme="minorEastAsia"/>
        </w:rPr>
        <w:t>；</w:t>
      </w:r>
    </w:p>
    <w:p>
      <w:pPr>
        <w:adjustRightInd w:val="0"/>
        <w:snapToGrid w:val="0"/>
        <w:ind w:left="1200" w:leftChars="500" w:firstLine="0" w:firstLineChars="0"/>
        <w:rPr>
          <w:rFonts w:eastAsiaTheme="minorEastAsia"/>
        </w:rPr>
      </w:pPr>
      <w:r>
        <w:rPr>
          <w:rFonts w:eastAsiaTheme="minorEastAsia"/>
          <w:i/>
        </w:rPr>
        <w:t>T</w:t>
      </w:r>
      <w:r>
        <w:rPr>
          <w:rFonts w:eastAsiaTheme="minorEastAsia"/>
        </w:rPr>
        <w:t>——水温</w:t>
      </w:r>
      <w:r>
        <w:rPr>
          <w:rFonts w:hint="eastAsia" w:eastAsiaTheme="minorEastAsia"/>
        </w:rPr>
        <w:t>在第j点的监测值</w:t>
      </w:r>
      <w:r>
        <w:rPr>
          <w:rFonts w:eastAsiaTheme="minorEastAsia"/>
        </w:rPr>
        <w:t>，</w:t>
      </w:r>
      <w:r>
        <w:rPr>
          <w:rFonts w:hint="eastAsia" w:cs="微软雅黑" w:eastAsiaTheme="minorEastAsia"/>
        </w:rPr>
        <w:t>℃</w:t>
      </w:r>
      <w:r>
        <w:rPr>
          <w:rFonts w:eastAsiaTheme="minorEastAsia"/>
        </w:rPr>
        <w:t>；</w:t>
      </w:r>
    </w:p>
    <w:p>
      <w:pPr>
        <w:adjustRightInd w:val="0"/>
        <w:snapToGrid w:val="0"/>
        <w:ind w:firstLine="1200" w:firstLineChars="500"/>
        <w:rPr>
          <w:rFonts w:eastAsiaTheme="minorEastAsia"/>
        </w:rPr>
      </w:pPr>
      <w:r>
        <w:rPr>
          <w:rFonts w:eastAsiaTheme="minorEastAsia"/>
          <w:i/>
        </w:rPr>
        <w:t>DO</w:t>
      </w:r>
      <w:r>
        <w:rPr>
          <w:rFonts w:eastAsiaTheme="minorEastAsia"/>
          <w:i/>
          <w:vertAlign w:val="subscript"/>
        </w:rPr>
        <w:t>j</w:t>
      </w:r>
      <w:r>
        <w:rPr>
          <w:rFonts w:eastAsiaTheme="minorEastAsia"/>
        </w:rPr>
        <w:t>——</w:t>
      </w:r>
      <w:r>
        <w:rPr>
          <w:rFonts w:hint="eastAsia" w:eastAsiaTheme="minorEastAsia"/>
        </w:rPr>
        <w:t>溶解氧在第j点的监测值</w:t>
      </w:r>
      <w:r>
        <w:rPr>
          <w:rFonts w:eastAsiaTheme="minorEastAsia"/>
        </w:rPr>
        <w:t>，mg/L；</w:t>
      </w:r>
    </w:p>
    <w:p>
      <w:pPr>
        <w:tabs>
          <w:tab w:val="left" w:pos="7560"/>
        </w:tabs>
        <w:adjustRightInd w:val="0"/>
        <w:snapToGrid w:val="0"/>
        <w:ind w:firstLine="1200" w:firstLineChars="500"/>
        <w:rPr>
          <w:rFonts w:eastAsiaTheme="minorEastAsia"/>
        </w:rPr>
      </w:pPr>
      <w:r>
        <w:rPr>
          <w:rFonts w:eastAsiaTheme="minorEastAsia"/>
          <w:i/>
        </w:rPr>
        <w:t>DO</w:t>
      </w:r>
      <w:r>
        <w:rPr>
          <w:rFonts w:eastAsiaTheme="minorEastAsia"/>
          <w:i/>
          <w:vertAlign w:val="subscript"/>
        </w:rPr>
        <w:t>s</w:t>
      </w:r>
      <w:r>
        <w:rPr>
          <w:rFonts w:eastAsiaTheme="minorEastAsia"/>
        </w:rPr>
        <w:t>——</w:t>
      </w:r>
      <w:r>
        <w:rPr>
          <w:rFonts w:hint="eastAsia" w:eastAsiaTheme="minorEastAsia"/>
        </w:rPr>
        <w:t>溶解氧的地表水环境质量标准</w:t>
      </w:r>
      <w:r>
        <w:rPr>
          <w:rFonts w:eastAsiaTheme="minorEastAsia"/>
        </w:rPr>
        <w:t>值，mg/L。</w:t>
      </w:r>
    </w:p>
    <w:p>
      <w:pPr>
        <w:pStyle w:val="131"/>
        <w:numPr>
          <w:ilvl w:val="0"/>
          <w:numId w:val="39"/>
        </w:numPr>
        <w:ind w:left="0" w:firstLine="480"/>
      </w:pPr>
      <w:r>
        <mc:AlternateContent>
          <mc:Choice Requires="wpg">
            <w:drawing>
              <wp:anchor distT="0" distB="0" distL="114300" distR="114300" simplePos="0" relativeHeight="251502592" behindDoc="0" locked="0" layoutInCell="1" allowOverlap="1">
                <wp:simplePos x="0" y="0"/>
                <wp:positionH relativeFrom="column">
                  <wp:posOffset>536575</wp:posOffset>
                </wp:positionH>
                <wp:positionV relativeFrom="paragraph">
                  <wp:posOffset>204470</wp:posOffset>
                </wp:positionV>
                <wp:extent cx="4468495" cy="693420"/>
                <wp:effectExtent l="1905" t="3175" r="0" b="0"/>
                <wp:wrapNone/>
                <wp:docPr id="16" name="Group 2"/>
                <wp:cNvGraphicFramePr/>
                <a:graphic xmlns:a="http://schemas.openxmlformats.org/drawingml/2006/main">
                  <a:graphicData uri="http://schemas.microsoft.com/office/word/2010/wordprocessingGroup">
                    <wpg:wgp>
                      <wpg:cNvGrpSpPr/>
                      <wpg:grpSpPr>
                        <a:xfrm>
                          <a:off x="0" y="0"/>
                          <a:ext cx="4468495" cy="693420"/>
                          <a:chOff x="0" y="0"/>
                          <a:chExt cx="0" cy="214748"/>
                        </a:xfrm>
                      </wpg:grpSpPr>
                      <wps:wsp>
                        <wps:cNvPr id="36" name="文本框 32"/>
                        <wps:cNvSpPr txBox="1">
                          <a:spLocks noChangeArrowheads="1"/>
                        </wps:cNvSpPr>
                        <wps:spPr bwMode="auto">
                          <a:xfrm>
                            <a:off x="0" y="0"/>
                            <a:ext cx="0" cy="0"/>
                          </a:xfrm>
                          <a:prstGeom prst="rect">
                            <a:avLst/>
                          </a:prstGeom>
                          <a:solidFill>
                            <a:srgbClr val="FFFFFF"/>
                          </a:solidFill>
                          <a:ln>
                            <a:noFill/>
                          </a:ln>
                        </wps:spPr>
                        <wps:txbx>
                          <w:txbxContent>
                            <w:p>
                              <w:pPr>
                                <w:ind w:firstLine="480"/>
                              </w:pPr>
                            </w:p>
                          </w:txbxContent>
                        </wps:txbx>
                        <wps:bodyPr rot="0" vert="horz" wrap="square" lIns="91440" tIns="45720" rIns="91440" bIns="45720" anchor="t" anchorCtr="0" upright="1">
                          <a:noAutofit/>
                        </wps:bodyPr>
                      </wps:wsp>
                      <pic:pic xmlns:pic="http://schemas.openxmlformats.org/drawingml/2006/picture">
                        <pic:nvPicPr>
                          <pic:cNvPr id="133" name="对象 33"/>
                          <pic:cNvPicPr>
                            <a:picLocks noChangeAspect="1" noChangeArrowheads="1"/>
                          </pic:cNvPicPr>
                        </pic:nvPicPr>
                        <pic:blipFill>
                          <a:blip r:embed="rId64"/>
                          <a:srcRect/>
                          <a:stretch>
                            <a:fillRect/>
                          </a:stretch>
                        </pic:blipFill>
                        <pic:spPr>
                          <a:xfrm>
                            <a:off x="0" y="0"/>
                            <a:ext cx="0" cy="0"/>
                          </a:xfrm>
                          <a:prstGeom prst="rect">
                            <a:avLst/>
                          </a:prstGeom>
                          <a:noFill/>
                        </pic:spPr>
                      </pic:pic>
                      <wps:wsp>
                        <wps:cNvPr id="139" name="文本框 34"/>
                        <wps:cNvSpPr txBox="1">
                          <a:spLocks noChangeArrowheads="1"/>
                        </wps:cNvSpPr>
                        <wps:spPr bwMode="auto">
                          <a:xfrm>
                            <a:off x="0" y="0"/>
                            <a:ext cx="0" cy="0"/>
                          </a:xfrm>
                          <a:prstGeom prst="rect">
                            <a:avLst/>
                          </a:prstGeom>
                          <a:solidFill>
                            <a:srgbClr val="FFFFFF"/>
                          </a:solidFill>
                          <a:ln>
                            <a:noFill/>
                          </a:ln>
                        </wps:spPr>
                        <wps:txbx>
                          <w:txbxContent>
                            <w:p>
                              <w:pPr>
                                <w:ind w:firstLine="480"/>
                              </w:pPr>
                            </w:p>
                          </w:txbxContent>
                        </wps:txbx>
                        <wps:bodyPr rot="0" vert="horz" wrap="square" lIns="91440" tIns="45720" rIns="91440" bIns="45720" anchor="t" anchorCtr="0" upright="1">
                          <a:noAutofit/>
                        </wps:bodyPr>
                      </wps:wsp>
                    </wpg:wgp>
                  </a:graphicData>
                </a:graphic>
              </wp:anchor>
            </w:drawing>
          </mc:Choice>
          <mc:Fallback>
            <w:pict>
              <v:group id="Group 2" o:spid="_x0000_s1026" o:spt="203" style="position:absolute;left:0pt;margin-left:42.25pt;margin-top:16.1pt;height:54.6pt;width:351.85pt;z-index:251502592;mso-width-relative:page;mso-height-relative:page;" coordsize="0,214748" o:gfxdata="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">
                <o:lock v:ext="edit" aspectratio="f"/>
                <v:shape id="文本框 32" o:spid="_x0000_s1026" o:spt="202" type="#_x0000_t202" style="position:absolute;left:0;top:0;height:0;width:0;" fillcolor="#FFFFFF" filled="t" stroked="f" coordsize="21600,21600" o:gfxdata="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ULJ/bsAAADb&#10;AAAADwAAAAAAAAABACAAAAAiAAAAZHJzL2Rvd25yZXYueG1sUEsBAhQAFAAAAAgAh07iQDMvBZ47&#10;AAAAOQAAABAAAAAAAAAAAQAgAAAACgEAAGRycy9zaGFwZXhtbC54bWxQSwUGAAAAAAYABgBbAQAA&#10;tAMAAAAA&#10;">
                  <v:fill on="t" focussize="0,0"/>
                  <v:stroke on="f"/>
                  <v:imagedata o:title=""/>
                  <o:lock v:ext="edit" aspectratio="f"/>
                  <v:textbox>
                    <w:txbxContent>
                      <w:p>
                        <w:pPr>
                          <w:ind w:firstLine="480"/>
                        </w:pPr>
                      </w:p>
                    </w:txbxContent>
                  </v:textbox>
                </v:shape>
                <v:shape id="对象 33" o:spid="_x0000_s1026" o:spt="75" type="#_x0000_t75" style="position:absolute;left:0;top:0;height:0;width:0;" filled="f" o:preferrelative="t" stroked="f" coordsize="21600,21600" o:gfxdata="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0hZSq5AAAA3AAA&#10;AA8AAAAAAAAAAQAgAAAAIgAAAGRycy9kb3ducmV2LnhtbFBLAQIUABQAAAAIAIdO4kAzLwWeOwAA&#10;ADkAAAAQAAAAAAAAAAEAIAAAAAgBAABkcnMvc2hhcGV4bWwueG1sUEsFBgAAAAAGAAYAWwEAALID&#10;AAAAAA==&#10;">
                  <v:fill on="f" focussize="0,0"/>
                  <v:stroke on="f"/>
                  <v:imagedata r:id="rId64" o:title=""/>
                  <o:lock v:ext="edit" aspectratio="t"/>
                </v:shape>
                <v:shape id="文本框 34" o:spid="_x0000_s1026" o:spt="202" type="#_x0000_t202" style="position:absolute;left:0;top:0;height:0;width:0;" fillcolor="#FFFFFF" filled="t" stroked="f" coordsize="21600,21600" o:gfxdata="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WlCu8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pPr>
                          <w:ind w:firstLine="480"/>
                        </w:pPr>
                      </w:p>
                    </w:txbxContent>
                  </v:textbox>
                </v:shape>
              </v:group>
            </w:pict>
          </mc:Fallback>
        </mc:AlternateContent>
      </w:r>
      <w:r>
        <w:t>pH的标准指数</w:t>
      </w:r>
    </w:p>
    <w:p>
      <w:pPr>
        <w:ind w:firstLine="480"/>
        <w:rPr>
          <w:rFonts w:eastAsiaTheme="minorEastAsia"/>
        </w:rPr>
      </w:pPr>
      <w:r>
        <w:rPr>
          <w:rFonts w:eastAsiaTheme="minorEastAsia"/>
          <w:position w:val="-30"/>
        </w:rPr>
        <w:object>
          <v:shape id="_x0000_i1028" o:spt="75" type="#_x0000_t75" style="height:36pt;width:216pt;" o:ole="t" filled="f" o:preferrelative="t" stroked="f" coordsize="21600,21600">
            <v:path/>
            <v:fill on="f" focussize="0,0"/>
            <v:stroke on="f" joinstyle="miter"/>
            <v:imagedata r:id="rId66" o:title=""/>
            <o:lock v:ext="edit" aspectratio="t"/>
            <w10:wrap type="none"/>
            <w10:anchorlock/>
          </v:shape>
          <o:OLEObject Type="Embed" ProgID="Equation.3" ShapeID="_x0000_i1028" DrawAspect="Content" ObjectID="_1468075728" r:id="rId65">
            <o:LockedField>false</o:LockedField>
          </o:OLEObject>
        </w:object>
      </w:r>
    </w:p>
    <w:p>
      <w:pPr>
        <w:ind w:firstLine="480"/>
        <w:rPr>
          <w:rFonts w:eastAsiaTheme="minorEastAsia"/>
        </w:rPr>
      </w:pPr>
      <w:r>
        <w:rPr>
          <w:rFonts w:eastAsiaTheme="minorEastAsia"/>
        </w:rPr>
        <w:object>
          <v:shape id="_x0000_i1029" o:spt="75" type="#_x0000_t75" style="height:36pt;width:208.5pt;" o:ole="t" filled="f" o:preferrelative="t" stroked="f" coordsize="21600,21600">
            <v:path/>
            <v:fill on="f" focussize="0,0"/>
            <v:stroke on="f" joinstyle="miter"/>
            <v:imagedata r:id="rId68" o:title=""/>
            <o:lock v:ext="edit" aspectratio="t"/>
            <w10:wrap type="none"/>
            <w10:anchorlock/>
          </v:shape>
          <o:OLEObject Type="Embed" ProgID="Equation.3" ShapeID="_x0000_i1029" DrawAspect="Content" ObjectID="_1468075729" r:id="rId67">
            <o:LockedField>false</o:LockedField>
          </o:OLEObject>
        </w:object>
      </w:r>
    </w:p>
    <w:p>
      <w:pPr>
        <w:adjustRightInd w:val="0"/>
        <w:snapToGrid w:val="0"/>
        <w:ind w:firstLine="480"/>
        <w:rPr>
          <w:rFonts w:eastAsiaTheme="minorEastAsia"/>
        </w:rPr>
      </w:pPr>
      <w:r>
        <w:rPr>
          <w:rFonts w:eastAsiaTheme="minorEastAsia"/>
        </w:rPr>
        <w:t>式中：</w:t>
      </w:r>
      <w:r>
        <w:rPr>
          <w:rFonts w:eastAsiaTheme="minorEastAsia"/>
          <w:bCs/>
          <w:i/>
        </w:rPr>
        <w:t>S</w:t>
      </w:r>
      <w:r>
        <w:rPr>
          <w:rFonts w:eastAsiaTheme="minorEastAsia"/>
          <w:bCs/>
          <w:i/>
          <w:vertAlign w:val="subscript"/>
        </w:rPr>
        <w:t>pH,j</w:t>
      </w:r>
      <w:r>
        <w:rPr>
          <w:rFonts w:eastAsiaTheme="minorEastAsia"/>
        </w:rPr>
        <w:t>——pH的标准指数；</w:t>
      </w:r>
    </w:p>
    <w:p>
      <w:pPr>
        <w:tabs>
          <w:tab w:val="left" w:pos="7560"/>
        </w:tabs>
        <w:adjustRightInd w:val="0"/>
        <w:snapToGrid w:val="0"/>
        <w:ind w:firstLine="1200" w:firstLineChars="500"/>
        <w:rPr>
          <w:rFonts w:eastAsiaTheme="minorEastAsia"/>
        </w:rPr>
      </w:pPr>
      <w:r>
        <w:rPr>
          <w:rFonts w:eastAsiaTheme="minorEastAsia"/>
          <w:i/>
        </w:rPr>
        <w:t>pH</w:t>
      </w:r>
      <w:r>
        <w:rPr>
          <w:rFonts w:eastAsiaTheme="minorEastAsia"/>
          <w:i/>
          <w:vertAlign w:val="subscript"/>
        </w:rPr>
        <w:t>j</w:t>
      </w:r>
      <w:r>
        <w:rPr>
          <w:rFonts w:eastAsiaTheme="minorEastAsia"/>
        </w:rPr>
        <w:t>——pH</w:t>
      </w:r>
      <w:r>
        <w:rPr>
          <w:rFonts w:hint="eastAsia" w:eastAsiaTheme="minorEastAsia"/>
        </w:rPr>
        <w:t>在第j点的监测值</w:t>
      </w:r>
      <w:r>
        <w:rPr>
          <w:rFonts w:eastAsiaTheme="minorEastAsia"/>
        </w:rPr>
        <w:t>；</w:t>
      </w:r>
    </w:p>
    <w:p>
      <w:pPr>
        <w:adjustRightInd w:val="0"/>
        <w:snapToGrid w:val="0"/>
        <w:ind w:firstLine="1200" w:firstLineChars="500"/>
        <w:rPr>
          <w:rFonts w:eastAsiaTheme="minorEastAsia"/>
        </w:rPr>
      </w:pPr>
      <w:r>
        <w:rPr>
          <w:rFonts w:eastAsiaTheme="minorEastAsia"/>
          <w:i/>
        </w:rPr>
        <w:t>pH</w:t>
      </w:r>
      <w:r>
        <w:rPr>
          <w:rFonts w:eastAsiaTheme="minorEastAsia"/>
          <w:i/>
          <w:vertAlign w:val="subscript"/>
        </w:rPr>
        <w:t>sd</w:t>
      </w:r>
      <w:r>
        <w:rPr>
          <w:rFonts w:eastAsiaTheme="minorEastAsia"/>
        </w:rPr>
        <w:t>——评价标准中pH的下限值；</w:t>
      </w:r>
    </w:p>
    <w:p>
      <w:pPr>
        <w:tabs>
          <w:tab w:val="left" w:pos="7668"/>
        </w:tabs>
        <w:adjustRightInd w:val="0"/>
        <w:snapToGrid w:val="0"/>
        <w:ind w:firstLine="1200" w:firstLineChars="500"/>
        <w:rPr>
          <w:rFonts w:eastAsiaTheme="minorEastAsia"/>
        </w:rPr>
      </w:pPr>
      <w:r>
        <w:rPr>
          <w:rFonts w:eastAsiaTheme="minorEastAsia"/>
          <w:i/>
        </w:rPr>
        <w:t>pH</w:t>
      </w:r>
      <w:r>
        <w:rPr>
          <w:rFonts w:eastAsiaTheme="minorEastAsia"/>
          <w:i/>
          <w:vertAlign w:val="subscript"/>
        </w:rPr>
        <w:t>su</w:t>
      </w:r>
      <w:r>
        <w:rPr>
          <w:rFonts w:eastAsiaTheme="minorEastAsia"/>
        </w:rPr>
        <w:t>——评价标准中pH的上限值。</w:t>
      </w:r>
    </w:p>
    <w:p>
      <w:pPr>
        <w:pStyle w:val="131"/>
        <w:numPr>
          <w:ilvl w:val="0"/>
          <w:numId w:val="39"/>
        </w:numPr>
        <w:ind w:left="0" w:firstLine="480"/>
      </w:pPr>
      <w:r>
        <w:t>项目超标倍数</w:t>
      </w:r>
    </w:p>
    <w:p>
      <w:pPr>
        <w:ind w:firstLine="480"/>
      </w:pPr>
      <w:r>
        <w:t>对超标的项目计算超标倍数，计算公式</w:t>
      </w:r>
      <w:r>
        <w:rPr>
          <w:rFonts w:hint="eastAsia"/>
        </w:rPr>
        <w:t>如下：</w:t>
      </w:r>
    </w:p>
    <w:p>
      <w:pPr>
        <w:ind w:firstLine="480"/>
      </w:pPr>
      <w:r>
        <w:t>超标倍数=（污染物平均浓度－水质标准限值）</w:t>
      </w:r>
      <w:r>
        <w:rPr>
          <w:rFonts w:hint="eastAsia"/>
        </w:rPr>
        <w:t>/水</w:t>
      </w:r>
      <w:r>
        <w:t>质标准限值</w:t>
      </w:r>
    </w:p>
    <w:p>
      <w:pPr>
        <w:pStyle w:val="126"/>
        <w:numPr>
          <w:ilvl w:val="0"/>
          <w:numId w:val="38"/>
        </w:numPr>
        <w:ind w:firstLine="482"/>
        <w:rPr>
          <w:rFonts w:eastAsiaTheme="minorEastAsia"/>
        </w:rPr>
      </w:pPr>
      <w:bookmarkStart w:id="304" w:name="_Toc331536158"/>
      <w:bookmarkStart w:id="305" w:name="_Toc159038670"/>
      <w:bookmarkStart w:id="306" w:name="_Toc179530000"/>
      <w:r>
        <w:rPr>
          <w:rFonts w:eastAsiaTheme="minorEastAsia"/>
        </w:rPr>
        <w:t>监测结果</w:t>
      </w:r>
      <w:bookmarkEnd w:id="304"/>
      <w:bookmarkEnd w:id="305"/>
      <w:bookmarkEnd w:id="306"/>
      <w:r>
        <w:rPr>
          <w:rFonts w:hint="eastAsia" w:eastAsiaTheme="minorEastAsia"/>
        </w:rPr>
        <w:t>及标准指数汇总</w:t>
      </w:r>
    </w:p>
    <w:p>
      <w:pPr>
        <w:ind w:firstLine="480"/>
        <w:rPr>
          <w:rFonts w:eastAsiaTheme="minorEastAsia"/>
        </w:rPr>
      </w:pPr>
      <w:r>
        <w:rPr>
          <w:rFonts w:hint="eastAsia" w:eastAsiaTheme="minorEastAsia"/>
        </w:rPr>
        <w:t>各项目</w:t>
      </w:r>
      <w:r>
        <w:rPr>
          <w:rFonts w:eastAsiaTheme="minorEastAsia"/>
        </w:rPr>
        <w:t>监测统计结果</w:t>
      </w:r>
      <w:r>
        <w:rPr>
          <w:rFonts w:hint="eastAsia" w:eastAsiaTheme="minorEastAsia"/>
        </w:rPr>
        <w:t>及标准指数见</w:t>
      </w:r>
      <w:r>
        <w:rPr>
          <w:rFonts w:eastAsiaTheme="minorEastAsia"/>
        </w:rPr>
        <w:fldChar w:fldCharType="begin"/>
      </w:r>
      <w:r>
        <w:rPr>
          <w:rFonts w:eastAsiaTheme="minorEastAsia"/>
        </w:rPr>
        <w:instrText xml:space="preserve"> </w:instrText>
      </w:r>
      <w:r>
        <w:rPr>
          <w:rFonts w:hint="eastAsia" w:eastAsiaTheme="minorEastAsia"/>
        </w:rPr>
        <w:instrText xml:space="preserve">REF _Ref527578837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3.3</w:t>
      </w:r>
      <w:r>
        <w:rPr>
          <w:rFonts w:eastAsiaTheme="minorEastAsia"/>
        </w:rPr>
        <w:noBreakHyphen/>
      </w:r>
      <w:r>
        <w:rPr>
          <w:rFonts w:eastAsiaTheme="minorEastAsia"/>
        </w:rPr>
        <w:t>3</w:t>
      </w:r>
      <w:r>
        <w:rPr>
          <w:rFonts w:eastAsiaTheme="minorEastAsia"/>
        </w:rPr>
        <w:fldChar w:fldCharType="end"/>
      </w:r>
      <w:r>
        <w:rPr>
          <w:rFonts w:hint="eastAsia" w:eastAsiaTheme="minorEastAsia"/>
        </w:rPr>
        <w:t>。</w:t>
      </w:r>
    </w:p>
    <w:p>
      <w:pPr>
        <w:pStyle w:val="126"/>
        <w:numPr>
          <w:ilvl w:val="0"/>
          <w:numId w:val="38"/>
        </w:numPr>
        <w:ind w:firstLine="482"/>
        <w:rPr>
          <w:rFonts w:eastAsiaTheme="minorEastAsia"/>
        </w:rPr>
      </w:pPr>
      <w:bookmarkStart w:id="307" w:name="_Toc331536159"/>
      <w:r>
        <w:rPr>
          <w:rFonts w:eastAsiaTheme="minorEastAsia"/>
        </w:rPr>
        <w:t>监测结果分析与评价</w:t>
      </w:r>
      <w:bookmarkEnd w:id="307"/>
    </w:p>
    <w:p>
      <w:pPr>
        <w:ind w:firstLine="480"/>
        <w:rPr>
          <w:rFonts w:cs="Times New Roman" w:eastAsiaTheme="minorEastAsia"/>
        </w:rPr>
      </w:pPr>
      <w:r>
        <w:rPr>
          <w:rFonts w:cs="Times New Roman" w:eastAsiaTheme="minorEastAsia"/>
        </w:rPr>
        <w:t>监测结果表明</w:t>
      </w:r>
      <w:r>
        <w:rPr>
          <w:rFonts w:hint="eastAsia" w:cs="Times New Roman" w:eastAsiaTheme="minorEastAsia"/>
        </w:rPr>
        <w:t>：</w:t>
      </w:r>
    </w:p>
    <w:p>
      <w:pPr>
        <w:pStyle w:val="131"/>
        <w:numPr>
          <w:ilvl w:val="0"/>
          <w:numId w:val="0"/>
        </w:numPr>
        <w:ind w:firstLine="480" w:firstLineChars="200"/>
        <w:rPr>
          <w:rFonts w:cs="Times New Roman"/>
          <w:color w:val="auto"/>
        </w:rPr>
      </w:pPr>
      <w:r>
        <w:rPr>
          <w:rFonts w:hint="eastAsia" w:cs="Times New Roman"/>
          <w:color w:val="auto"/>
        </w:rPr>
        <w:t>W1</w:t>
      </w:r>
      <w:r>
        <w:rPr>
          <w:rFonts w:cs="Times New Roman"/>
          <w:color w:val="auto"/>
        </w:rPr>
        <w:t>断面</w:t>
      </w:r>
      <w:r>
        <w:rPr>
          <w:rFonts w:hint="eastAsia" w:cs="Times New Roman"/>
          <w:color w:val="auto"/>
        </w:rPr>
        <w:t>总磷、总氮</w:t>
      </w:r>
      <w:r>
        <w:rPr>
          <w:rFonts w:cs="Times New Roman"/>
          <w:color w:val="auto"/>
        </w:rPr>
        <w:t>2</w:t>
      </w:r>
      <w:r>
        <w:rPr>
          <w:rFonts w:hint="eastAsia" w:cs="Times New Roman"/>
          <w:color w:val="auto"/>
        </w:rPr>
        <w:t>个指标及W</w:t>
      </w:r>
      <w:r>
        <w:rPr>
          <w:rFonts w:cs="Times New Roman"/>
          <w:color w:val="auto"/>
        </w:rPr>
        <w:t>2断面</w:t>
      </w:r>
      <w:r>
        <w:rPr>
          <w:rFonts w:hint="eastAsia" w:cs="Times New Roman"/>
          <w:color w:val="auto"/>
        </w:rPr>
        <w:t>总氮均超过</w:t>
      </w:r>
      <w:r>
        <w:rPr>
          <w:rFonts w:cs="Times New Roman"/>
          <w:color w:val="auto"/>
        </w:rPr>
        <w:t>《地表水环境质量标准》（GB 3838-2002）</w:t>
      </w:r>
      <w:r>
        <w:rPr>
          <w:rFonts w:hint="eastAsia" w:cs="Times New Roman"/>
          <w:color w:val="auto"/>
        </w:rPr>
        <w:t>III</w:t>
      </w:r>
      <w:r>
        <w:rPr>
          <w:rFonts w:cs="Times New Roman"/>
          <w:color w:val="auto"/>
        </w:rPr>
        <w:t>类水质标准</w:t>
      </w:r>
      <w:r>
        <w:rPr>
          <w:rFonts w:hint="eastAsia" w:cs="Times New Roman"/>
          <w:color w:val="auto"/>
        </w:rPr>
        <w:t>，其余监测指标都满足</w:t>
      </w:r>
      <w:r>
        <w:rPr>
          <w:rFonts w:cs="Times New Roman"/>
          <w:color w:val="auto"/>
        </w:rPr>
        <w:t>《地表水环境质量标准》（GB 3838-2002）</w:t>
      </w:r>
      <w:r>
        <w:rPr>
          <w:rFonts w:hint="eastAsia" w:cs="Times New Roman"/>
          <w:color w:val="auto"/>
        </w:rPr>
        <w:t>III</w:t>
      </w:r>
      <w:r>
        <w:rPr>
          <w:rFonts w:cs="Times New Roman"/>
          <w:color w:val="auto"/>
        </w:rPr>
        <w:t>类标准</w:t>
      </w:r>
      <w:r>
        <w:rPr>
          <w:rFonts w:hint="eastAsia" w:cs="Times New Roman"/>
          <w:color w:val="auto"/>
        </w:rPr>
        <w:t>的要求</w:t>
      </w:r>
      <w:r>
        <w:rPr>
          <w:rFonts w:cs="Times New Roman"/>
          <w:color w:val="auto"/>
        </w:rPr>
        <w:t>。</w:t>
      </w:r>
    </w:p>
    <w:p>
      <w:pPr>
        <w:ind w:firstLine="480"/>
        <w:rPr>
          <w:rFonts w:cs="Times New Roman" w:eastAsiaTheme="minorEastAsia"/>
        </w:rPr>
      </w:pPr>
      <w:r>
        <w:rPr>
          <w:rFonts w:hint="eastAsia" w:cs="Times New Roman" w:eastAsiaTheme="minorEastAsia"/>
        </w:rPr>
        <w:t>综上所述，评价范围内的水体受到一定的有机物污染。根据调查和分析，项目评价范围内的水体沿岸污染源主要分为工业污染源、生活污染源以及流域内的农田退水。总磷、总氮监测指标超标主要为沿河两岸的生活污水及流域的农田退水排入所致。</w:t>
      </w:r>
    </w:p>
    <w:p>
      <w:pPr>
        <w:ind w:firstLine="480"/>
        <w:rPr>
          <w:rFonts w:cs="Times New Roman" w:eastAsiaTheme="minorEastAsia"/>
        </w:rPr>
      </w:pPr>
      <w:r>
        <w:rPr>
          <w:rFonts w:hint="eastAsia" w:cs="Times New Roman" w:eastAsiaTheme="minorEastAsia"/>
        </w:rPr>
        <w:t>鉴于项目区域水质较差，地方政府一方面应加快城镇生活污水处理厂及其管网的建设，另一方面环保部门需加强工业污染源的监管，确保水质达标：</w:t>
      </w:r>
    </w:p>
    <w:p>
      <w:pPr>
        <w:pStyle w:val="99"/>
        <w:numPr>
          <w:ilvl w:val="0"/>
          <w:numId w:val="40"/>
        </w:numPr>
        <w:ind w:firstLineChars="0"/>
        <w:rPr>
          <w:rFonts w:cs="Times New Roman" w:eastAsiaTheme="minorEastAsia"/>
        </w:rPr>
      </w:pPr>
      <w:r>
        <w:rPr>
          <w:rFonts w:hint="eastAsia" w:cs="Times New Roman" w:eastAsiaTheme="minorEastAsia"/>
        </w:rPr>
        <w:t>加快片区生活污水处理厂建设进度。本项目所在地属于</w:t>
      </w:r>
      <w:r>
        <w:rPr>
          <w:rFonts w:hint="eastAsia" w:eastAsiaTheme="minorEastAsia"/>
        </w:rPr>
        <w:t>苍城污水处理厂</w:t>
      </w:r>
      <w:r>
        <w:rPr>
          <w:rFonts w:hint="eastAsia" w:cs="Times New Roman" w:eastAsiaTheme="minorEastAsia"/>
        </w:rPr>
        <w:t>的纳污范围。片区内部分居民点及企业生活污水直接经化粪池处理后排放，是造成水质污染日益严重的重要原因。</w:t>
      </w:r>
    </w:p>
    <w:p>
      <w:pPr>
        <w:pStyle w:val="99"/>
        <w:numPr>
          <w:ilvl w:val="0"/>
          <w:numId w:val="40"/>
        </w:numPr>
        <w:ind w:firstLineChars="0"/>
        <w:rPr>
          <w:rFonts w:cs="Times New Roman" w:eastAsiaTheme="minorEastAsia"/>
        </w:rPr>
      </w:pPr>
      <w:r>
        <w:rPr>
          <w:rFonts w:hint="eastAsia" w:cs="Times New Roman" w:eastAsiaTheme="minorEastAsia"/>
        </w:rPr>
        <w:t>清理河涌淤泥，并妥善处理处置。</w:t>
      </w:r>
    </w:p>
    <w:p>
      <w:pPr>
        <w:pStyle w:val="99"/>
        <w:numPr>
          <w:ilvl w:val="0"/>
          <w:numId w:val="40"/>
        </w:numPr>
        <w:ind w:firstLineChars="0"/>
        <w:rPr>
          <w:rFonts w:cs="Times New Roman" w:eastAsiaTheme="minorEastAsia"/>
        </w:rPr>
      </w:pPr>
      <w:r>
        <w:rPr>
          <w:rFonts w:hint="eastAsia" w:cs="Times New Roman" w:eastAsiaTheme="minorEastAsia"/>
        </w:rPr>
        <w:t>促进企业实施清洁生产，尽可能将处理后的废水回用于绿化、冲厕等方面，减少废水的产生和排放。</w:t>
      </w:r>
    </w:p>
    <w:p>
      <w:pPr>
        <w:pStyle w:val="99"/>
        <w:numPr>
          <w:ilvl w:val="0"/>
          <w:numId w:val="40"/>
        </w:numPr>
        <w:ind w:firstLineChars="0"/>
        <w:rPr>
          <w:rFonts w:cs="Times New Roman" w:eastAsiaTheme="minorEastAsia"/>
        </w:rPr>
      </w:pPr>
      <w:r>
        <w:rPr>
          <w:rFonts w:hint="eastAsia" w:cs="Times New Roman" w:eastAsiaTheme="minorEastAsia"/>
        </w:rPr>
        <w:t>加强苍城镇工业企业环境管理。苍城镇排污企业偷排、漏排不达标污水以及超水量排放污水也是造成镇海水污染的主要因素之一，因此，环境监察部门应严查严惩苍城镇偷排漏排企业，使企业做到达标且不超水量排放。</w:t>
      </w:r>
    </w:p>
    <w:p>
      <w:pPr>
        <w:pStyle w:val="99"/>
        <w:numPr>
          <w:ilvl w:val="0"/>
          <w:numId w:val="40"/>
        </w:numPr>
        <w:ind w:firstLineChars="0"/>
        <w:rPr>
          <w:rFonts w:cs="Times New Roman" w:eastAsiaTheme="minorEastAsia"/>
        </w:rPr>
      </w:pPr>
      <w:r>
        <w:rPr>
          <w:rFonts w:hint="eastAsia" w:cs="Times New Roman" w:eastAsiaTheme="minorEastAsia"/>
        </w:rPr>
        <w:t>项目产生的污水经自建污水处理设施处理达标后排入苍城污水处理厂统一进行处理，对当地区域污染物排放具有一定的削减作用。</w:t>
      </w:r>
    </w:p>
    <w:p>
      <w:pPr>
        <w:ind w:firstLine="480"/>
        <w:rPr>
          <w:rFonts w:eastAsiaTheme="minorEastAsia"/>
        </w:rPr>
      </w:pPr>
    </w:p>
    <w:p>
      <w:pPr>
        <w:ind w:firstLine="480"/>
        <w:rPr>
          <w:rFonts w:eastAsiaTheme="minorEastAsia"/>
        </w:rPr>
        <w:sectPr>
          <w:pgSz w:w="11906" w:h="16838"/>
          <w:pgMar w:top="1418" w:right="1418" w:bottom="1418" w:left="1418" w:header="851" w:footer="992" w:gutter="0"/>
          <w:cols w:space="720" w:num="1"/>
          <w:docGrid w:type="lines" w:linePitch="312" w:charSpace="0"/>
        </w:sectPr>
      </w:pPr>
    </w:p>
    <w:p>
      <w:pPr>
        <w:pStyle w:val="18"/>
      </w:pPr>
      <w:bookmarkStart w:id="308" w:name="_Ref527578837"/>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bookmarkEnd w:id="308"/>
      <w:r>
        <w:t xml:space="preserve"> </w:t>
      </w:r>
      <w:r>
        <w:rPr>
          <w:rFonts w:hint="eastAsia"/>
        </w:rPr>
        <w:t>地表水各监测断面水质监测结果及标准指数</w:t>
      </w:r>
    </w:p>
    <w:p>
      <w:pPr>
        <w:pStyle w:val="107"/>
        <w:jc w:val="right"/>
        <w:rPr>
          <w:b/>
        </w:rPr>
      </w:pPr>
      <w:r>
        <w:rPr>
          <w:rFonts w:hint="eastAsia"/>
          <w:b/>
        </w:rPr>
        <w:t>单位：mg/L，pH（无量纲）、水温（℃）及粪大肠菌群（个/L）除外</w:t>
      </w:r>
    </w:p>
    <w:tbl>
      <w:tblPr>
        <w:tblStyle w:val="56"/>
        <w:tblW w:w="13325"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4"/>
        <w:gridCol w:w="1163"/>
        <w:gridCol w:w="1417"/>
        <w:gridCol w:w="1559"/>
        <w:gridCol w:w="1560"/>
        <w:gridCol w:w="1134"/>
        <w:gridCol w:w="1134"/>
        <w:gridCol w:w="1275"/>
        <w:gridCol w:w="1276"/>
        <w:gridCol w:w="1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964" w:type="dxa"/>
            <w:shd w:val="clear" w:color="auto" w:fill="D8D8D8" w:themeFill="background1" w:themeFillShade="D9"/>
            <w:vAlign w:val="center"/>
          </w:tcPr>
          <w:p>
            <w:pPr>
              <w:pStyle w:val="107"/>
              <w:rPr>
                <w:b/>
                <w:sz w:val="18"/>
                <w:szCs w:val="18"/>
              </w:rPr>
            </w:pPr>
            <w:r>
              <w:rPr>
                <w:rFonts w:hint="eastAsia"/>
                <w:b/>
                <w:sz w:val="18"/>
                <w:szCs w:val="18"/>
              </w:rPr>
              <w:t>监测断面</w:t>
            </w:r>
          </w:p>
        </w:tc>
        <w:tc>
          <w:tcPr>
            <w:tcW w:w="1163" w:type="dxa"/>
            <w:shd w:val="clear" w:color="auto" w:fill="D8D8D8" w:themeFill="background1" w:themeFillShade="D9"/>
            <w:vAlign w:val="center"/>
          </w:tcPr>
          <w:p>
            <w:pPr>
              <w:pStyle w:val="107"/>
              <w:rPr>
                <w:b/>
                <w:sz w:val="18"/>
                <w:szCs w:val="18"/>
              </w:rPr>
            </w:pPr>
            <w:r>
              <w:rPr>
                <w:rFonts w:hint="eastAsia"/>
                <w:b/>
                <w:sz w:val="18"/>
                <w:szCs w:val="18"/>
              </w:rPr>
              <w:t>采样时间</w:t>
            </w:r>
          </w:p>
        </w:tc>
        <w:tc>
          <w:tcPr>
            <w:tcW w:w="1417" w:type="dxa"/>
            <w:shd w:val="clear" w:color="auto" w:fill="D8D8D8" w:themeFill="background1" w:themeFillShade="D9"/>
            <w:vAlign w:val="center"/>
          </w:tcPr>
          <w:p>
            <w:pPr>
              <w:pStyle w:val="107"/>
              <w:rPr>
                <w:b/>
                <w:sz w:val="18"/>
                <w:szCs w:val="18"/>
              </w:rPr>
            </w:pPr>
            <w:r>
              <w:rPr>
                <w:rFonts w:hint="eastAsia"/>
                <w:b/>
                <w:sz w:val="18"/>
                <w:szCs w:val="18"/>
              </w:rPr>
              <w:t>pH值</w:t>
            </w:r>
          </w:p>
        </w:tc>
        <w:tc>
          <w:tcPr>
            <w:tcW w:w="1559" w:type="dxa"/>
            <w:shd w:val="clear" w:color="auto" w:fill="D8D8D8" w:themeFill="background1" w:themeFillShade="D9"/>
            <w:vAlign w:val="center"/>
          </w:tcPr>
          <w:p>
            <w:pPr>
              <w:pStyle w:val="107"/>
              <w:rPr>
                <w:b/>
                <w:sz w:val="18"/>
                <w:szCs w:val="18"/>
              </w:rPr>
            </w:pPr>
            <w:r>
              <w:rPr>
                <w:rFonts w:hint="eastAsia"/>
                <w:b/>
                <w:sz w:val="18"/>
                <w:szCs w:val="18"/>
              </w:rPr>
              <w:t>DO</w:t>
            </w:r>
          </w:p>
        </w:tc>
        <w:tc>
          <w:tcPr>
            <w:tcW w:w="1560" w:type="dxa"/>
            <w:shd w:val="clear" w:color="auto" w:fill="D8D8D8" w:themeFill="background1" w:themeFillShade="D9"/>
            <w:vAlign w:val="center"/>
          </w:tcPr>
          <w:p>
            <w:pPr>
              <w:pStyle w:val="107"/>
              <w:rPr>
                <w:rFonts w:cs="Arial"/>
                <w:b/>
                <w:sz w:val="18"/>
                <w:szCs w:val="18"/>
              </w:rPr>
            </w:pPr>
            <w:r>
              <w:rPr>
                <w:rFonts w:cs="Arial"/>
                <w:b/>
                <w:sz w:val="18"/>
                <w:szCs w:val="18"/>
              </w:rPr>
              <w:t>COD</w:t>
            </w:r>
            <w:r>
              <w:rPr>
                <w:rFonts w:cs="Arial"/>
                <w:b/>
                <w:sz w:val="18"/>
                <w:szCs w:val="18"/>
                <w:vertAlign w:val="subscript"/>
              </w:rPr>
              <w:t>Cr</w:t>
            </w:r>
          </w:p>
        </w:tc>
        <w:tc>
          <w:tcPr>
            <w:tcW w:w="1134" w:type="dxa"/>
            <w:shd w:val="clear" w:color="auto" w:fill="D8D8D8" w:themeFill="background1" w:themeFillShade="D9"/>
            <w:vAlign w:val="center"/>
          </w:tcPr>
          <w:p>
            <w:pPr>
              <w:pStyle w:val="107"/>
              <w:rPr>
                <w:rFonts w:cs="Arial"/>
                <w:b/>
                <w:sz w:val="18"/>
                <w:szCs w:val="18"/>
              </w:rPr>
            </w:pPr>
            <w:r>
              <w:rPr>
                <w:rFonts w:cs="Arial"/>
                <w:b/>
                <w:sz w:val="18"/>
                <w:szCs w:val="18"/>
              </w:rPr>
              <w:t>BOD</w:t>
            </w:r>
            <w:r>
              <w:rPr>
                <w:rFonts w:cs="Arial"/>
                <w:b/>
                <w:sz w:val="18"/>
                <w:szCs w:val="18"/>
                <w:vertAlign w:val="subscript"/>
              </w:rPr>
              <w:t>5</w:t>
            </w:r>
          </w:p>
        </w:tc>
        <w:tc>
          <w:tcPr>
            <w:tcW w:w="1134" w:type="dxa"/>
            <w:shd w:val="clear" w:color="auto" w:fill="D8D8D8" w:themeFill="background1" w:themeFillShade="D9"/>
            <w:vAlign w:val="center"/>
          </w:tcPr>
          <w:p>
            <w:pPr>
              <w:pStyle w:val="107"/>
              <w:rPr>
                <w:b/>
                <w:sz w:val="18"/>
                <w:szCs w:val="18"/>
              </w:rPr>
            </w:pPr>
            <w:r>
              <w:rPr>
                <w:rFonts w:hint="eastAsia"/>
                <w:b/>
                <w:sz w:val="18"/>
                <w:szCs w:val="18"/>
              </w:rPr>
              <w:t>氨氮</w:t>
            </w:r>
          </w:p>
        </w:tc>
        <w:tc>
          <w:tcPr>
            <w:tcW w:w="1275" w:type="dxa"/>
            <w:shd w:val="clear" w:color="auto" w:fill="D8D8D8" w:themeFill="background1" w:themeFillShade="D9"/>
            <w:vAlign w:val="center"/>
          </w:tcPr>
          <w:p>
            <w:pPr>
              <w:pStyle w:val="107"/>
              <w:rPr>
                <w:b/>
                <w:sz w:val="18"/>
                <w:szCs w:val="18"/>
              </w:rPr>
            </w:pPr>
            <w:r>
              <w:rPr>
                <w:rFonts w:hint="eastAsia"/>
                <w:b/>
                <w:sz w:val="18"/>
                <w:szCs w:val="18"/>
              </w:rPr>
              <w:t>总磷</w:t>
            </w:r>
          </w:p>
        </w:tc>
        <w:tc>
          <w:tcPr>
            <w:tcW w:w="1276" w:type="dxa"/>
            <w:shd w:val="clear" w:color="auto" w:fill="D8D8D8" w:themeFill="background1" w:themeFillShade="D9"/>
            <w:vAlign w:val="center"/>
          </w:tcPr>
          <w:p>
            <w:pPr>
              <w:pStyle w:val="107"/>
              <w:rPr>
                <w:b/>
                <w:sz w:val="18"/>
                <w:szCs w:val="18"/>
              </w:rPr>
            </w:pPr>
            <w:r>
              <w:rPr>
                <w:rFonts w:hint="eastAsia"/>
                <w:b/>
                <w:sz w:val="18"/>
                <w:szCs w:val="18"/>
              </w:rPr>
              <w:t>总氮</w:t>
            </w:r>
          </w:p>
        </w:tc>
        <w:tc>
          <w:tcPr>
            <w:tcW w:w="1843" w:type="dxa"/>
            <w:shd w:val="clear" w:color="auto" w:fill="D8D8D8" w:themeFill="background1" w:themeFillShade="D9"/>
            <w:vAlign w:val="center"/>
          </w:tcPr>
          <w:p>
            <w:pPr>
              <w:pStyle w:val="107"/>
              <w:rPr>
                <w:b/>
                <w:sz w:val="18"/>
                <w:szCs w:val="18"/>
              </w:rPr>
            </w:pPr>
            <w:r>
              <w:rPr>
                <w:rFonts w:hint="eastAsia"/>
                <w:b/>
                <w:sz w:val="18"/>
                <w:szCs w:val="18"/>
              </w:rPr>
              <w:t>粪大肠菌群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trPr>
        <w:tc>
          <w:tcPr>
            <w:tcW w:w="964" w:type="dxa"/>
            <w:vMerge w:val="restart"/>
            <w:shd w:val="clear" w:color="auto" w:fill="D8D8D8" w:themeFill="background1" w:themeFillShade="D9"/>
            <w:vAlign w:val="center"/>
          </w:tcPr>
          <w:p>
            <w:pPr>
              <w:pStyle w:val="107"/>
              <w:rPr>
                <w:b/>
                <w:sz w:val="18"/>
                <w:szCs w:val="18"/>
              </w:rPr>
            </w:pPr>
            <w:r>
              <w:rPr>
                <w:rFonts w:hint="eastAsia"/>
                <w:b/>
                <w:sz w:val="18"/>
                <w:szCs w:val="18"/>
              </w:rPr>
              <w:t>W1</w:t>
            </w:r>
          </w:p>
        </w:tc>
        <w:tc>
          <w:tcPr>
            <w:tcW w:w="1163" w:type="dxa"/>
            <w:shd w:val="clear" w:color="auto" w:fill="D8D8D8" w:themeFill="background1" w:themeFillShade="D9"/>
            <w:vAlign w:val="center"/>
          </w:tcPr>
          <w:p>
            <w:pPr>
              <w:pStyle w:val="107"/>
              <w:rPr>
                <w:b/>
                <w:sz w:val="18"/>
                <w:szCs w:val="18"/>
              </w:rPr>
            </w:pPr>
            <w:r>
              <w:rPr>
                <w:rFonts w:hint="eastAsia"/>
                <w:b/>
                <w:sz w:val="18"/>
                <w:szCs w:val="18"/>
              </w:rPr>
              <w:t>201</w:t>
            </w:r>
            <w:r>
              <w:rPr>
                <w:b/>
                <w:sz w:val="18"/>
                <w:szCs w:val="18"/>
              </w:rPr>
              <w:t>9</w:t>
            </w:r>
            <w:r>
              <w:rPr>
                <w:rFonts w:hint="eastAsia"/>
                <w:b/>
                <w:sz w:val="18"/>
                <w:szCs w:val="18"/>
              </w:rPr>
              <w:t>/</w:t>
            </w:r>
            <w:r>
              <w:rPr>
                <w:b/>
                <w:sz w:val="18"/>
                <w:szCs w:val="18"/>
              </w:rPr>
              <w:t>4</w:t>
            </w:r>
            <w:r>
              <w:rPr>
                <w:rFonts w:hint="eastAsia"/>
                <w:b/>
                <w:sz w:val="18"/>
                <w:szCs w:val="18"/>
              </w:rPr>
              <w:t>/</w:t>
            </w:r>
            <w:r>
              <w:rPr>
                <w:b/>
                <w:sz w:val="18"/>
                <w:szCs w:val="18"/>
              </w:rPr>
              <w:t>25</w:t>
            </w:r>
          </w:p>
        </w:tc>
        <w:tc>
          <w:tcPr>
            <w:tcW w:w="1417" w:type="dxa"/>
            <w:shd w:val="clear" w:color="auto" w:fill="auto"/>
            <w:vAlign w:val="center"/>
          </w:tcPr>
          <w:p>
            <w:pPr>
              <w:pStyle w:val="107"/>
              <w:rPr>
                <w:sz w:val="18"/>
                <w:szCs w:val="18"/>
              </w:rPr>
            </w:pPr>
            <w:r>
              <w:rPr>
                <w:sz w:val="18"/>
                <w:szCs w:val="18"/>
              </w:rPr>
              <w:t>7.21</w:t>
            </w:r>
          </w:p>
        </w:tc>
        <w:tc>
          <w:tcPr>
            <w:tcW w:w="1559" w:type="dxa"/>
            <w:shd w:val="clear" w:color="auto" w:fill="auto"/>
            <w:vAlign w:val="center"/>
          </w:tcPr>
          <w:p>
            <w:pPr>
              <w:pStyle w:val="107"/>
              <w:rPr>
                <w:sz w:val="18"/>
                <w:szCs w:val="18"/>
              </w:rPr>
            </w:pPr>
            <w:r>
              <w:rPr>
                <w:rFonts w:hint="eastAsia"/>
                <w:sz w:val="18"/>
                <w:szCs w:val="18"/>
              </w:rPr>
              <w:t>5.</w:t>
            </w:r>
            <w:r>
              <w:rPr>
                <w:sz w:val="18"/>
                <w:szCs w:val="18"/>
              </w:rPr>
              <w:t>8</w:t>
            </w:r>
          </w:p>
        </w:tc>
        <w:tc>
          <w:tcPr>
            <w:tcW w:w="1560" w:type="dxa"/>
            <w:shd w:val="clear" w:color="auto" w:fill="auto"/>
            <w:vAlign w:val="center"/>
          </w:tcPr>
          <w:p>
            <w:pPr>
              <w:pStyle w:val="107"/>
              <w:rPr>
                <w:sz w:val="18"/>
                <w:szCs w:val="18"/>
              </w:rPr>
            </w:pPr>
            <w:r>
              <w:rPr>
                <w:sz w:val="18"/>
                <w:szCs w:val="18"/>
              </w:rPr>
              <w:t>9</w:t>
            </w:r>
          </w:p>
        </w:tc>
        <w:tc>
          <w:tcPr>
            <w:tcW w:w="1134" w:type="dxa"/>
            <w:shd w:val="clear" w:color="auto" w:fill="auto"/>
            <w:vAlign w:val="center"/>
          </w:tcPr>
          <w:p>
            <w:pPr>
              <w:pStyle w:val="107"/>
              <w:rPr>
                <w:sz w:val="18"/>
                <w:szCs w:val="18"/>
              </w:rPr>
            </w:pPr>
            <w:r>
              <w:rPr>
                <w:sz w:val="18"/>
                <w:szCs w:val="18"/>
              </w:rPr>
              <w:t>1.1</w:t>
            </w:r>
          </w:p>
        </w:tc>
        <w:tc>
          <w:tcPr>
            <w:tcW w:w="1134" w:type="dxa"/>
            <w:shd w:val="clear" w:color="auto" w:fill="auto"/>
            <w:vAlign w:val="center"/>
          </w:tcPr>
          <w:p>
            <w:pPr>
              <w:pStyle w:val="107"/>
              <w:rPr>
                <w:sz w:val="18"/>
                <w:szCs w:val="18"/>
              </w:rPr>
            </w:pPr>
            <w:r>
              <w:rPr>
                <w:sz w:val="18"/>
                <w:szCs w:val="18"/>
              </w:rPr>
              <w:t>0.327</w:t>
            </w:r>
          </w:p>
        </w:tc>
        <w:tc>
          <w:tcPr>
            <w:tcW w:w="1275" w:type="dxa"/>
            <w:shd w:val="clear" w:color="auto" w:fill="auto"/>
            <w:vAlign w:val="center"/>
          </w:tcPr>
          <w:p>
            <w:pPr>
              <w:pStyle w:val="107"/>
              <w:rPr>
                <w:sz w:val="18"/>
                <w:szCs w:val="18"/>
              </w:rPr>
            </w:pPr>
            <w:r>
              <w:rPr>
                <w:rFonts w:hint="eastAsia"/>
                <w:sz w:val="18"/>
                <w:szCs w:val="18"/>
              </w:rPr>
              <w:t>0.</w:t>
            </w:r>
            <w:r>
              <w:rPr>
                <w:sz w:val="18"/>
                <w:szCs w:val="18"/>
              </w:rPr>
              <w:t>21</w:t>
            </w:r>
          </w:p>
        </w:tc>
        <w:tc>
          <w:tcPr>
            <w:tcW w:w="1276" w:type="dxa"/>
            <w:shd w:val="clear" w:color="auto" w:fill="auto"/>
            <w:vAlign w:val="center"/>
          </w:tcPr>
          <w:p>
            <w:pPr>
              <w:pStyle w:val="107"/>
              <w:rPr>
                <w:sz w:val="18"/>
                <w:szCs w:val="18"/>
              </w:rPr>
            </w:pPr>
            <w:r>
              <w:rPr>
                <w:sz w:val="18"/>
                <w:szCs w:val="18"/>
              </w:rPr>
              <w:t>1.13</w:t>
            </w:r>
          </w:p>
        </w:tc>
        <w:tc>
          <w:tcPr>
            <w:tcW w:w="1843" w:type="dxa"/>
            <w:vAlign w:val="center"/>
          </w:tcPr>
          <w:p>
            <w:pPr>
              <w:pStyle w:val="107"/>
              <w:rPr>
                <w:sz w:val="18"/>
                <w:szCs w:val="18"/>
              </w:rPr>
            </w:pPr>
            <w:r>
              <w:rPr>
                <w:rFonts w:hint="eastAsia"/>
                <w:sz w:val="18"/>
                <w:szCs w:val="18"/>
              </w:rPr>
              <w:t>3</w:t>
            </w:r>
            <w:r>
              <w:rPr>
                <w:sz w:val="18"/>
                <w:szCs w:val="18"/>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964" w:type="dxa"/>
            <w:vMerge w:val="continue"/>
            <w:shd w:val="clear" w:color="auto" w:fill="D8D8D8" w:themeFill="background1" w:themeFillShade="D9"/>
            <w:vAlign w:val="center"/>
          </w:tcPr>
          <w:p>
            <w:pPr>
              <w:pStyle w:val="107"/>
              <w:rPr>
                <w:b/>
                <w:sz w:val="18"/>
                <w:szCs w:val="18"/>
              </w:rPr>
            </w:pPr>
          </w:p>
        </w:tc>
        <w:tc>
          <w:tcPr>
            <w:tcW w:w="1163" w:type="dxa"/>
            <w:shd w:val="clear" w:color="auto" w:fill="D8D8D8" w:themeFill="background1" w:themeFillShade="D9"/>
            <w:vAlign w:val="center"/>
          </w:tcPr>
          <w:p>
            <w:pPr>
              <w:pStyle w:val="107"/>
              <w:rPr>
                <w:b/>
                <w:sz w:val="18"/>
                <w:szCs w:val="18"/>
              </w:rPr>
            </w:pPr>
            <w:r>
              <w:rPr>
                <w:rFonts w:hint="eastAsia"/>
                <w:b/>
                <w:sz w:val="18"/>
                <w:szCs w:val="18"/>
              </w:rPr>
              <w:t>201</w:t>
            </w:r>
            <w:r>
              <w:rPr>
                <w:b/>
                <w:sz w:val="18"/>
                <w:szCs w:val="18"/>
              </w:rPr>
              <w:t>9</w:t>
            </w:r>
            <w:r>
              <w:rPr>
                <w:rFonts w:hint="eastAsia"/>
                <w:b/>
                <w:sz w:val="18"/>
                <w:szCs w:val="18"/>
              </w:rPr>
              <w:t>/</w:t>
            </w:r>
            <w:r>
              <w:rPr>
                <w:b/>
                <w:sz w:val="18"/>
                <w:szCs w:val="18"/>
              </w:rPr>
              <w:t>4</w:t>
            </w:r>
            <w:r>
              <w:rPr>
                <w:rFonts w:hint="eastAsia"/>
                <w:b/>
                <w:sz w:val="18"/>
                <w:szCs w:val="18"/>
              </w:rPr>
              <w:t>/2</w:t>
            </w:r>
            <w:r>
              <w:rPr>
                <w:b/>
                <w:sz w:val="18"/>
                <w:szCs w:val="18"/>
              </w:rPr>
              <w:t>6</w:t>
            </w:r>
          </w:p>
        </w:tc>
        <w:tc>
          <w:tcPr>
            <w:tcW w:w="1417" w:type="dxa"/>
            <w:shd w:val="clear" w:color="auto" w:fill="auto"/>
            <w:vAlign w:val="center"/>
          </w:tcPr>
          <w:p>
            <w:pPr>
              <w:pStyle w:val="107"/>
              <w:rPr>
                <w:sz w:val="18"/>
                <w:szCs w:val="18"/>
              </w:rPr>
            </w:pPr>
            <w:r>
              <w:rPr>
                <w:sz w:val="18"/>
                <w:szCs w:val="18"/>
              </w:rPr>
              <w:t>7.05</w:t>
            </w:r>
          </w:p>
        </w:tc>
        <w:tc>
          <w:tcPr>
            <w:tcW w:w="1559" w:type="dxa"/>
            <w:shd w:val="clear" w:color="auto" w:fill="auto"/>
            <w:vAlign w:val="center"/>
          </w:tcPr>
          <w:p>
            <w:pPr>
              <w:pStyle w:val="107"/>
              <w:rPr>
                <w:sz w:val="18"/>
                <w:szCs w:val="18"/>
              </w:rPr>
            </w:pPr>
            <w:r>
              <w:rPr>
                <w:sz w:val="18"/>
                <w:szCs w:val="18"/>
              </w:rPr>
              <w:t>6.5</w:t>
            </w:r>
          </w:p>
        </w:tc>
        <w:tc>
          <w:tcPr>
            <w:tcW w:w="1560" w:type="dxa"/>
            <w:shd w:val="clear" w:color="auto" w:fill="auto"/>
            <w:vAlign w:val="center"/>
          </w:tcPr>
          <w:p>
            <w:pPr>
              <w:pStyle w:val="107"/>
              <w:rPr>
                <w:sz w:val="18"/>
                <w:szCs w:val="18"/>
              </w:rPr>
            </w:pPr>
            <w:r>
              <w:rPr>
                <w:sz w:val="18"/>
                <w:szCs w:val="18"/>
              </w:rPr>
              <w:t>10</w:t>
            </w:r>
          </w:p>
        </w:tc>
        <w:tc>
          <w:tcPr>
            <w:tcW w:w="1134" w:type="dxa"/>
            <w:shd w:val="clear" w:color="auto" w:fill="auto"/>
            <w:vAlign w:val="center"/>
          </w:tcPr>
          <w:p>
            <w:pPr>
              <w:pStyle w:val="107"/>
              <w:rPr>
                <w:sz w:val="18"/>
                <w:szCs w:val="18"/>
              </w:rPr>
            </w:pPr>
            <w:r>
              <w:rPr>
                <w:sz w:val="18"/>
                <w:szCs w:val="18"/>
              </w:rPr>
              <w:t>1.2</w:t>
            </w:r>
          </w:p>
        </w:tc>
        <w:tc>
          <w:tcPr>
            <w:tcW w:w="1134" w:type="dxa"/>
            <w:shd w:val="clear" w:color="auto" w:fill="auto"/>
            <w:vAlign w:val="center"/>
          </w:tcPr>
          <w:p>
            <w:pPr>
              <w:pStyle w:val="107"/>
              <w:rPr>
                <w:sz w:val="18"/>
                <w:szCs w:val="18"/>
              </w:rPr>
            </w:pPr>
            <w:r>
              <w:rPr>
                <w:sz w:val="18"/>
                <w:szCs w:val="18"/>
              </w:rPr>
              <w:t>0.366</w:t>
            </w:r>
          </w:p>
        </w:tc>
        <w:tc>
          <w:tcPr>
            <w:tcW w:w="1275" w:type="dxa"/>
            <w:shd w:val="clear" w:color="auto" w:fill="auto"/>
            <w:vAlign w:val="center"/>
          </w:tcPr>
          <w:p>
            <w:pPr>
              <w:pStyle w:val="107"/>
              <w:rPr>
                <w:sz w:val="18"/>
                <w:szCs w:val="18"/>
              </w:rPr>
            </w:pPr>
            <w:r>
              <w:rPr>
                <w:rFonts w:hint="eastAsia"/>
                <w:sz w:val="18"/>
                <w:szCs w:val="18"/>
              </w:rPr>
              <w:t>0.</w:t>
            </w:r>
            <w:r>
              <w:rPr>
                <w:sz w:val="18"/>
                <w:szCs w:val="18"/>
              </w:rPr>
              <w:t>24</w:t>
            </w:r>
          </w:p>
        </w:tc>
        <w:tc>
          <w:tcPr>
            <w:tcW w:w="1276" w:type="dxa"/>
            <w:shd w:val="clear" w:color="auto" w:fill="auto"/>
            <w:vAlign w:val="center"/>
          </w:tcPr>
          <w:p>
            <w:pPr>
              <w:pStyle w:val="107"/>
              <w:rPr>
                <w:sz w:val="18"/>
                <w:szCs w:val="18"/>
              </w:rPr>
            </w:pPr>
            <w:r>
              <w:rPr>
                <w:sz w:val="18"/>
                <w:szCs w:val="18"/>
              </w:rPr>
              <w:t>1.27</w:t>
            </w:r>
          </w:p>
        </w:tc>
        <w:tc>
          <w:tcPr>
            <w:tcW w:w="1843" w:type="dxa"/>
            <w:vAlign w:val="center"/>
          </w:tcPr>
          <w:p>
            <w:pPr>
              <w:pStyle w:val="107"/>
              <w:rPr>
                <w:sz w:val="18"/>
                <w:szCs w:val="18"/>
              </w:rPr>
            </w:pPr>
            <w:r>
              <w:rPr>
                <w:rFonts w:hint="eastAsia"/>
                <w:sz w:val="18"/>
                <w:szCs w:val="18"/>
              </w:rPr>
              <w:t>3</w:t>
            </w:r>
            <w:r>
              <w:rPr>
                <w:sz w:val="18"/>
                <w:szCs w:val="18"/>
              </w:rPr>
              <w:t>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964" w:type="dxa"/>
            <w:vMerge w:val="continue"/>
            <w:shd w:val="clear" w:color="auto" w:fill="D8D8D8" w:themeFill="background1" w:themeFillShade="D9"/>
            <w:vAlign w:val="center"/>
          </w:tcPr>
          <w:p>
            <w:pPr>
              <w:pStyle w:val="107"/>
              <w:rPr>
                <w:b/>
                <w:sz w:val="18"/>
                <w:szCs w:val="18"/>
              </w:rPr>
            </w:pPr>
          </w:p>
        </w:tc>
        <w:tc>
          <w:tcPr>
            <w:tcW w:w="1163" w:type="dxa"/>
            <w:shd w:val="clear" w:color="auto" w:fill="D8D8D8" w:themeFill="background1" w:themeFillShade="D9"/>
            <w:vAlign w:val="center"/>
          </w:tcPr>
          <w:p>
            <w:pPr>
              <w:pStyle w:val="107"/>
              <w:rPr>
                <w:b/>
                <w:sz w:val="18"/>
                <w:szCs w:val="18"/>
              </w:rPr>
            </w:pPr>
            <w:r>
              <w:rPr>
                <w:rFonts w:hint="eastAsia"/>
                <w:b/>
                <w:sz w:val="18"/>
                <w:szCs w:val="18"/>
              </w:rPr>
              <w:t>201</w:t>
            </w:r>
            <w:r>
              <w:rPr>
                <w:b/>
                <w:sz w:val="18"/>
                <w:szCs w:val="18"/>
              </w:rPr>
              <w:t>9</w:t>
            </w:r>
            <w:r>
              <w:rPr>
                <w:rFonts w:hint="eastAsia"/>
                <w:b/>
                <w:sz w:val="18"/>
                <w:szCs w:val="18"/>
              </w:rPr>
              <w:t>/</w:t>
            </w:r>
            <w:r>
              <w:rPr>
                <w:b/>
                <w:sz w:val="18"/>
                <w:szCs w:val="18"/>
              </w:rPr>
              <w:t>4</w:t>
            </w:r>
            <w:r>
              <w:rPr>
                <w:rFonts w:hint="eastAsia"/>
                <w:b/>
                <w:sz w:val="18"/>
                <w:szCs w:val="18"/>
              </w:rPr>
              <w:t>/</w:t>
            </w:r>
            <w:r>
              <w:rPr>
                <w:b/>
                <w:sz w:val="18"/>
                <w:szCs w:val="18"/>
              </w:rPr>
              <w:t>27</w:t>
            </w:r>
          </w:p>
        </w:tc>
        <w:tc>
          <w:tcPr>
            <w:tcW w:w="1417" w:type="dxa"/>
            <w:shd w:val="clear" w:color="auto" w:fill="auto"/>
            <w:vAlign w:val="center"/>
          </w:tcPr>
          <w:p>
            <w:pPr>
              <w:pStyle w:val="107"/>
              <w:rPr>
                <w:sz w:val="18"/>
                <w:szCs w:val="18"/>
              </w:rPr>
            </w:pPr>
            <w:r>
              <w:rPr>
                <w:rFonts w:hint="eastAsia"/>
                <w:sz w:val="18"/>
                <w:szCs w:val="18"/>
              </w:rPr>
              <w:t>7.</w:t>
            </w:r>
            <w:r>
              <w:rPr>
                <w:sz w:val="18"/>
                <w:szCs w:val="18"/>
              </w:rPr>
              <w:t>13</w:t>
            </w:r>
          </w:p>
        </w:tc>
        <w:tc>
          <w:tcPr>
            <w:tcW w:w="1559" w:type="dxa"/>
            <w:shd w:val="clear" w:color="auto" w:fill="auto"/>
            <w:vAlign w:val="center"/>
          </w:tcPr>
          <w:p>
            <w:pPr>
              <w:pStyle w:val="107"/>
              <w:rPr>
                <w:sz w:val="18"/>
                <w:szCs w:val="18"/>
              </w:rPr>
            </w:pPr>
            <w:r>
              <w:rPr>
                <w:sz w:val="18"/>
                <w:szCs w:val="18"/>
              </w:rPr>
              <w:t>6.1</w:t>
            </w:r>
          </w:p>
        </w:tc>
        <w:tc>
          <w:tcPr>
            <w:tcW w:w="1560" w:type="dxa"/>
            <w:shd w:val="clear" w:color="auto" w:fill="auto"/>
            <w:vAlign w:val="center"/>
          </w:tcPr>
          <w:p>
            <w:pPr>
              <w:pStyle w:val="107"/>
              <w:rPr>
                <w:sz w:val="18"/>
                <w:szCs w:val="18"/>
              </w:rPr>
            </w:pPr>
            <w:r>
              <w:rPr>
                <w:rFonts w:hint="eastAsia"/>
                <w:sz w:val="18"/>
                <w:szCs w:val="18"/>
              </w:rPr>
              <w:t>1</w:t>
            </w:r>
            <w:r>
              <w:rPr>
                <w:sz w:val="18"/>
                <w:szCs w:val="18"/>
              </w:rPr>
              <w:t>3</w:t>
            </w:r>
          </w:p>
        </w:tc>
        <w:tc>
          <w:tcPr>
            <w:tcW w:w="1134" w:type="dxa"/>
            <w:shd w:val="clear" w:color="auto" w:fill="auto"/>
            <w:vAlign w:val="center"/>
          </w:tcPr>
          <w:p>
            <w:pPr>
              <w:pStyle w:val="107"/>
              <w:rPr>
                <w:sz w:val="18"/>
                <w:szCs w:val="18"/>
              </w:rPr>
            </w:pPr>
            <w:r>
              <w:rPr>
                <w:sz w:val="18"/>
                <w:szCs w:val="18"/>
              </w:rPr>
              <w:t>1.6</w:t>
            </w:r>
          </w:p>
        </w:tc>
        <w:tc>
          <w:tcPr>
            <w:tcW w:w="1134" w:type="dxa"/>
            <w:shd w:val="clear" w:color="auto" w:fill="auto"/>
            <w:vAlign w:val="center"/>
          </w:tcPr>
          <w:p>
            <w:pPr>
              <w:pStyle w:val="107"/>
              <w:rPr>
                <w:sz w:val="18"/>
                <w:szCs w:val="18"/>
              </w:rPr>
            </w:pPr>
            <w:r>
              <w:rPr>
                <w:sz w:val="18"/>
                <w:szCs w:val="18"/>
              </w:rPr>
              <w:t>0.467</w:t>
            </w:r>
          </w:p>
        </w:tc>
        <w:tc>
          <w:tcPr>
            <w:tcW w:w="1275" w:type="dxa"/>
            <w:shd w:val="clear" w:color="auto" w:fill="auto"/>
            <w:vAlign w:val="center"/>
          </w:tcPr>
          <w:p>
            <w:pPr>
              <w:pStyle w:val="107"/>
              <w:rPr>
                <w:sz w:val="18"/>
                <w:szCs w:val="18"/>
              </w:rPr>
            </w:pPr>
            <w:r>
              <w:rPr>
                <w:rFonts w:hint="eastAsia"/>
                <w:sz w:val="18"/>
                <w:szCs w:val="18"/>
              </w:rPr>
              <w:t>0.</w:t>
            </w:r>
            <w:r>
              <w:rPr>
                <w:sz w:val="18"/>
                <w:szCs w:val="18"/>
              </w:rPr>
              <w:t>3</w:t>
            </w:r>
          </w:p>
        </w:tc>
        <w:tc>
          <w:tcPr>
            <w:tcW w:w="1276" w:type="dxa"/>
            <w:shd w:val="clear" w:color="auto" w:fill="auto"/>
            <w:vAlign w:val="center"/>
          </w:tcPr>
          <w:p>
            <w:pPr>
              <w:pStyle w:val="107"/>
              <w:rPr>
                <w:sz w:val="18"/>
                <w:szCs w:val="18"/>
              </w:rPr>
            </w:pPr>
            <w:r>
              <w:rPr>
                <w:sz w:val="18"/>
                <w:szCs w:val="18"/>
              </w:rPr>
              <w:t>1.61</w:t>
            </w:r>
          </w:p>
        </w:tc>
        <w:tc>
          <w:tcPr>
            <w:tcW w:w="1843" w:type="dxa"/>
            <w:vAlign w:val="center"/>
          </w:tcPr>
          <w:p>
            <w:pPr>
              <w:pStyle w:val="107"/>
              <w:rPr>
                <w:sz w:val="18"/>
                <w:szCs w:val="18"/>
              </w:rPr>
            </w:pPr>
            <w:r>
              <w:rPr>
                <w:rFonts w:hint="eastAsia"/>
                <w:sz w:val="18"/>
                <w:szCs w:val="18"/>
              </w:rPr>
              <w:t>5</w:t>
            </w:r>
            <w:r>
              <w:rPr>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964" w:type="dxa"/>
            <w:vMerge w:val="continue"/>
            <w:shd w:val="clear" w:color="auto" w:fill="D8D8D8" w:themeFill="background1" w:themeFillShade="D9"/>
            <w:vAlign w:val="center"/>
          </w:tcPr>
          <w:p>
            <w:pPr>
              <w:pStyle w:val="107"/>
              <w:rPr>
                <w:b/>
                <w:sz w:val="18"/>
                <w:szCs w:val="18"/>
              </w:rPr>
            </w:pPr>
          </w:p>
        </w:tc>
        <w:tc>
          <w:tcPr>
            <w:tcW w:w="1163" w:type="dxa"/>
            <w:shd w:val="clear" w:color="auto" w:fill="D8D8D8" w:themeFill="background1" w:themeFillShade="D9"/>
            <w:vAlign w:val="center"/>
          </w:tcPr>
          <w:p>
            <w:pPr>
              <w:pStyle w:val="107"/>
              <w:rPr>
                <w:b/>
                <w:sz w:val="18"/>
                <w:szCs w:val="18"/>
              </w:rPr>
            </w:pPr>
            <w:r>
              <w:rPr>
                <w:rFonts w:hint="eastAsia"/>
                <w:b/>
                <w:sz w:val="18"/>
                <w:szCs w:val="18"/>
              </w:rPr>
              <w:t>最大值</w:t>
            </w:r>
          </w:p>
        </w:tc>
        <w:tc>
          <w:tcPr>
            <w:tcW w:w="1417" w:type="dxa"/>
            <w:shd w:val="clear" w:color="auto" w:fill="auto"/>
            <w:vAlign w:val="center"/>
          </w:tcPr>
          <w:p>
            <w:pPr>
              <w:pStyle w:val="107"/>
              <w:rPr>
                <w:rFonts w:cs="Arial"/>
                <w:sz w:val="18"/>
                <w:szCs w:val="18"/>
              </w:rPr>
            </w:pPr>
            <w:r>
              <w:rPr>
                <w:rFonts w:cs="Arial"/>
                <w:sz w:val="18"/>
                <w:szCs w:val="18"/>
              </w:rPr>
              <w:t>7.13</w:t>
            </w:r>
          </w:p>
        </w:tc>
        <w:tc>
          <w:tcPr>
            <w:tcW w:w="1559" w:type="dxa"/>
            <w:shd w:val="clear" w:color="auto" w:fill="auto"/>
            <w:vAlign w:val="center"/>
          </w:tcPr>
          <w:p>
            <w:pPr>
              <w:pStyle w:val="107"/>
              <w:rPr>
                <w:rFonts w:cs="Arial"/>
                <w:sz w:val="18"/>
                <w:szCs w:val="18"/>
              </w:rPr>
            </w:pPr>
            <w:r>
              <w:rPr>
                <w:rFonts w:cs="Arial"/>
                <w:sz w:val="18"/>
                <w:szCs w:val="18"/>
              </w:rPr>
              <w:t>6.5</w:t>
            </w:r>
          </w:p>
        </w:tc>
        <w:tc>
          <w:tcPr>
            <w:tcW w:w="1560" w:type="dxa"/>
            <w:shd w:val="clear" w:color="auto" w:fill="auto"/>
            <w:vAlign w:val="center"/>
          </w:tcPr>
          <w:p>
            <w:pPr>
              <w:pStyle w:val="107"/>
              <w:rPr>
                <w:rFonts w:cs="Arial"/>
                <w:sz w:val="18"/>
                <w:szCs w:val="18"/>
              </w:rPr>
            </w:pPr>
            <w:r>
              <w:rPr>
                <w:rFonts w:cs="Arial"/>
                <w:sz w:val="18"/>
                <w:szCs w:val="18"/>
              </w:rPr>
              <w:t>13</w:t>
            </w:r>
          </w:p>
        </w:tc>
        <w:tc>
          <w:tcPr>
            <w:tcW w:w="1134" w:type="dxa"/>
            <w:shd w:val="clear" w:color="auto" w:fill="auto"/>
            <w:vAlign w:val="center"/>
          </w:tcPr>
          <w:p>
            <w:pPr>
              <w:pStyle w:val="107"/>
              <w:rPr>
                <w:rFonts w:cs="Arial"/>
                <w:sz w:val="18"/>
                <w:szCs w:val="18"/>
              </w:rPr>
            </w:pPr>
            <w:r>
              <w:rPr>
                <w:rFonts w:cs="Arial"/>
                <w:sz w:val="18"/>
                <w:szCs w:val="18"/>
              </w:rPr>
              <w:t>1.6</w:t>
            </w:r>
          </w:p>
        </w:tc>
        <w:tc>
          <w:tcPr>
            <w:tcW w:w="1134" w:type="dxa"/>
            <w:shd w:val="clear" w:color="auto" w:fill="auto"/>
            <w:vAlign w:val="center"/>
          </w:tcPr>
          <w:p>
            <w:pPr>
              <w:pStyle w:val="107"/>
              <w:rPr>
                <w:rFonts w:cs="Arial"/>
                <w:sz w:val="18"/>
                <w:szCs w:val="18"/>
              </w:rPr>
            </w:pPr>
            <w:r>
              <w:rPr>
                <w:sz w:val="18"/>
                <w:szCs w:val="18"/>
              </w:rPr>
              <w:t>0.467</w:t>
            </w:r>
          </w:p>
        </w:tc>
        <w:tc>
          <w:tcPr>
            <w:tcW w:w="1275" w:type="dxa"/>
            <w:shd w:val="clear" w:color="auto" w:fill="auto"/>
            <w:vAlign w:val="center"/>
          </w:tcPr>
          <w:p>
            <w:pPr>
              <w:pStyle w:val="107"/>
              <w:rPr>
                <w:rFonts w:cs="Arial"/>
                <w:sz w:val="18"/>
                <w:szCs w:val="18"/>
              </w:rPr>
            </w:pPr>
            <w:r>
              <w:rPr>
                <w:rFonts w:cs="Arial"/>
                <w:sz w:val="18"/>
                <w:szCs w:val="18"/>
              </w:rPr>
              <w:t>0.3</w:t>
            </w:r>
          </w:p>
        </w:tc>
        <w:tc>
          <w:tcPr>
            <w:tcW w:w="1276" w:type="dxa"/>
            <w:shd w:val="clear" w:color="auto" w:fill="auto"/>
            <w:vAlign w:val="center"/>
          </w:tcPr>
          <w:p>
            <w:pPr>
              <w:pStyle w:val="107"/>
              <w:rPr>
                <w:rFonts w:cs="Arial"/>
                <w:sz w:val="18"/>
                <w:szCs w:val="18"/>
              </w:rPr>
            </w:pPr>
            <w:r>
              <w:rPr>
                <w:rFonts w:cs="Arial"/>
                <w:sz w:val="18"/>
                <w:szCs w:val="18"/>
              </w:rPr>
              <w:t>1.61</w:t>
            </w:r>
          </w:p>
        </w:tc>
        <w:tc>
          <w:tcPr>
            <w:tcW w:w="1843" w:type="dxa"/>
            <w:vAlign w:val="center"/>
          </w:tcPr>
          <w:p>
            <w:pPr>
              <w:pStyle w:val="107"/>
              <w:rPr>
                <w:sz w:val="18"/>
                <w:szCs w:val="18"/>
              </w:rPr>
            </w:pPr>
            <w:r>
              <w:rPr>
                <w:rFonts w:hint="eastAsia"/>
                <w:sz w:val="18"/>
                <w:szCs w:val="18"/>
              </w:rPr>
              <w:t>5</w:t>
            </w:r>
            <w:r>
              <w:rPr>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964" w:type="dxa"/>
            <w:vMerge w:val="continue"/>
            <w:shd w:val="clear" w:color="auto" w:fill="D8D8D8" w:themeFill="background1" w:themeFillShade="D9"/>
            <w:vAlign w:val="center"/>
          </w:tcPr>
          <w:p>
            <w:pPr>
              <w:pStyle w:val="107"/>
              <w:rPr>
                <w:b/>
                <w:sz w:val="18"/>
                <w:szCs w:val="18"/>
              </w:rPr>
            </w:pPr>
          </w:p>
        </w:tc>
        <w:tc>
          <w:tcPr>
            <w:tcW w:w="1163" w:type="dxa"/>
            <w:shd w:val="clear" w:color="auto" w:fill="D8D8D8" w:themeFill="background1" w:themeFillShade="D9"/>
            <w:vAlign w:val="center"/>
          </w:tcPr>
          <w:p>
            <w:pPr>
              <w:pStyle w:val="107"/>
              <w:rPr>
                <w:b/>
                <w:sz w:val="18"/>
                <w:szCs w:val="18"/>
              </w:rPr>
            </w:pPr>
            <w:r>
              <w:rPr>
                <w:rFonts w:hint="eastAsia"/>
                <w:b/>
                <w:sz w:val="18"/>
                <w:szCs w:val="18"/>
              </w:rPr>
              <w:t>标准指数</w:t>
            </w:r>
          </w:p>
        </w:tc>
        <w:tc>
          <w:tcPr>
            <w:tcW w:w="1417" w:type="dxa"/>
            <w:shd w:val="clear" w:color="auto" w:fill="auto"/>
            <w:vAlign w:val="center"/>
          </w:tcPr>
          <w:p>
            <w:pPr>
              <w:pStyle w:val="107"/>
              <w:rPr>
                <w:sz w:val="18"/>
                <w:szCs w:val="18"/>
              </w:rPr>
            </w:pPr>
            <w:r>
              <w:rPr>
                <w:sz w:val="18"/>
                <w:szCs w:val="18"/>
              </w:rPr>
              <w:t>0.065</w:t>
            </w:r>
          </w:p>
        </w:tc>
        <w:tc>
          <w:tcPr>
            <w:tcW w:w="1559" w:type="dxa"/>
            <w:shd w:val="clear" w:color="auto" w:fill="auto"/>
            <w:vAlign w:val="center"/>
          </w:tcPr>
          <w:p>
            <w:pPr>
              <w:pStyle w:val="107"/>
              <w:rPr>
                <w:sz w:val="18"/>
                <w:szCs w:val="18"/>
              </w:rPr>
            </w:pPr>
            <w:r>
              <w:rPr>
                <w:rFonts w:hint="eastAsia"/>
                <w:sz w:val="18"/>
                <w:szCs w:val="18"/>
              </w:rPr>
              <w:t>0.</w:t>
            </w:r>
            <w:r>
              <w:rPr>
                <w:sz w:val="18"/>
                <w:szCs w:val="18"/>
              </w:rPr>
              <w:t>69</w:t>
            </w:r>
          </w:p>
        </w:tc>
        <w:tc>
          <w:tcPr>
            <w:tcW w:w="1560" w:type="dxa"/>
            <w:shd w:val="clear" w:color="auto" w:fill="auto"/>
            <w:vAlign w:val="center"/>
          </w:tcPr>
          <w:p>
            <w:pPr>
              <w:pStyle w:val="107"/>
              <w:rPr>
                <w:sz w:val="18"/>
                <w:szCs w:val="18"/>
              </w:rPr>
            </w:pPr>
            <w:r>
              <w:rPr>
                <w:rFonts w:hint="eastAsia"/>
                <w:sz w:val="18"/>
                <w:szCs w:val="18"/>
              </w:rPr>
              <w:t>0.65</w:t>
            </w:r>
          </w:p>
        </w:tc>
        <w:tc>
          <w:tcPr>
            <w:tcW w:w="1134" w:type="dxa"/>
            <w:shd w:val="clear" w:color="auto" w:fill="auto"/>
            <w:vAlign w:val="center"/>
          </w:tcPr>
          <w:p>
            <w:pPr>
              <w:pStyle w:val="107"/>
              <w:rPr>
                <w:sz w:val="18"/>
                <w:szCs w:val="18"/>
              </w:rPr>
            </w:pPr>
            <w:r>
              <w:rPr>
                <w:rFonts w:hint="eastAsia"/>
                <w:sz w:val="18"/>
                <w:szCs w:val="18"/>
              </w:rPr>
              <w:t>0.</w:t>
            </w:r>
            <w:r>
              <w:rPr>
                <w:sz w:val="18"/>
                <w:szCs w:val="18"/>
              </w:rPr>
              <w:t>65</w:t>
            </w:r>
          </w:p>
        </w:tc>
        <w:tc>
          <w:tcPr>
            <w:tcW w:w="1134" w:type="dxa"/>
            <w:shd w:val="clear" w:color="auto" w:fill="FFFFFF" w:themeFill="background1"/>
            <w:vAlign w:val="center"/>
          </w:tcPr>
          <w:p>
            <w:pPr>
              <w:pStyle w:val="107"/>
              <w:rPr>
                <w:rFonts w:cs="Arial"/>
                <w:sz w:val="18"/>
                <w:szCs w:val="18"/>
              </w:rPr>
            </w:pPr>
            <w:r>
              <w:rPr>
                <w:rFonts w:cs="Arial"/>
                <w:sz w:val="18"/>
                <w:szCs w:val="18"/>
              </w:rPr>
              <w:t>0.467</w:t>
            </w:r>
          </w:p>
        </w:tc>
        <w:tc>
          <w:tcPr>
            <w:tcW w:w="1275" w:type="dxa"/>
            <w:shd w:val="clear" w:color="auto" w:fill="FFFFFF" w:themeFill="background1"/>
            <w:vAlign w:val="center"/>
          </w:tcPr>
          <w:p>
            <w:pPr>
              <w:pStyle w:val="107"/>
              <w:rPr>
                <w:rFonts w:cs="Arial"/>
                <w:sz w:val="18"/>
                <w:szCs w:val="18"/>
                <w:highlight w:val="lightGray"/>
              </w:rPr>
            </w:pPr>
            <w:r>
              <w:rPr>
                <w:rFonts w:cs="Arial"/>
                <w:sz w:val="18"/>
                <w:szCs w:val="18"/>
                <w:highlight w:val="lightGray"/>
              </w:rPr>
              <w:t>1.5</w:t>
            </w:r>
          </w:p>
        </w:tc>
        <w:tc>
          <w:tcPr>
            <w:tcW w:w="1276" w:type="dxa"/>
            <w:shd w:val="clear" w:color="auto" w:fill="FFFFFF" w:themeFill="background1"/>
            <w:vAlign w:val="center"/>
          </w:tcPr>
          <w:p>
            <w:pPr>
              <w:pStyle w:val="107"/>
              <w:rPr>
                <w:rFonts w:cs="Arial"/>
                <w:sz w:val="18"/>
                <w:szCs w:val="18"/>
                <w:highlight w:val="lightGray"/>
              </w:rPr>
            </w:pPr>
            <w:r>
              <w:rPr>
                <w:rFonts w:cs="Arial"/>
                <w:sz w:val="18"/>
                <w:szCs w:val="18"/>
                <w:highlight w:val="lightGray"/>
              </w:rPr>
              <w:t>1.61</w:t>
            </w:r>
          </w:p>
        </w:tc>
        <w:tc>
          <w:tcPr>
            <w:tcW w:w="1843" w:type="dxa"/>
            <w:vAlign w:val="center"/>
          </w:tcPr>
          <w:p>
            <w:pPr>
              <w:pStyle w:val="107"/>
              <w:rPr>
                <w:color w:val="9C0006"/>
                <w:sz w:val="18"/>
                <w:szCs w:val="18"/>
              </w:rPr>
            </w:pPr>
            <w:r>
              <w:rPr>
                <w:rFonts w:hint="eastAsia"/>
                <w:color w:val="auto"/>
                <w:sz w:val="18"/>
                <w:szCs w:val="18"/>
              </w:rPr>
              <w:t>0</w:t>
            </w:r>
            <w:r>
              <w:rPr>
                <w:color w:val="auto"/>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964" w:type="dxa"/>
            <w:vMerge w:val="restart"/>
            <w:shd w:val="clear" w:color="auto" w:fill="D8D8D8" w:themeFill="background1" w:themeFillShade="D9"/>
            <w:vAlign w:val="center"/>
          </w:tcPr>
          <w:p>
            <w:pPr>
              <w:pStyle w:val="107"/>
              <w:rPr>
                <w:b/>
                <w:sz w:val="18"/>
                <w:szCs w:val="18"/>
              </w:rPr>
            </w:pPr>
            <w:r>
              <w:rPr>
                <w:rFonts w:hint="eastAsia"/>
                <w:b/>
                <w:sz w:val="18"/>
                <w:szCs w:val="18"/>
              </w:rPr>
              <w:t>W2</w:t>
            </w:r>
          </w:p>
        </w:tc>
        <w:tc>
          <w:tcPr>
            <w:tcW w:w="1163" w:type="dxa"/>
            <w:shd w:val="clear" w:color="auto" w:fill="D8D8D8" w:themeFill="background1" w:themeFillShade="D9"/>
            <w:vAlign w:val="center"/>
          </w:tcPr>
          <w:p>
            <w:pPr>
              <w:pStyle w:val="107"/>
              <w:rPr>
                <w:b/>
                <w:sz w:val="18"/>
                <w:szCs w:val="18"/>
              </w:rPr>
            </w:pPr>
            <w:r>
              <w:rPr>
                <w:rFonts w:hint="eastAsia"/>
                <w:b/>
                <w:sz w:val="18"/>
                <w:szCs w:val="18"/>
              </w:rPr>
              <w:t>201</w:t>
            </w:r>
            <w:r>
              <w:rPr>
                <w:b/>
                <w:sz w:val="18"/>
                <w:szCs w:val="18"/>
              </w:rPr>
              <w:t>9</w:t>
            </w:r>
            <w:r>
              <w:rPr>
                <w:rFonts w:hint="eastAsia"/>
                <w:b/>
                <w:sz w:val="18"/>
                <w:szCs w:val="18"/>
              </w:rPr>
              <w:t>/</w:t>
            </w:r>
            <w:r>
              <w:rPr>
                <w:b/>
                <w:sz w:val="18"/>
                <w:szCs w:val="18"/>
              </w:rPr>
              <w:t>4</w:t>
            </w:r>
            <w:r>
              <w:rPr>
                <w:rFonts w:hint="eastAsia"/>
                <w:b/>
                <w:sz w:val="18"/>
                <w:szCs w:val="18"/>
              </w:rPr>
              <w:t>/</w:t>
            </w:r>
            <w:r>
              <w:rPr>
                <w:b/>
                <w:sz w:val="18"/>
                <w:szCs w:val="18"/>
              </w:rPr>
              <w:t>25</w:t>
            </w:r>
          </w:p>
        </w:tc>
        <w:tc>
          <w:tcPr>
            <w:tcW w:w="1417" w:type="dxa"/>
            <w:shd w:val="clear" w:color="auto" w:fill="auto"/>
            <w:vAlign w:val="center"/>
          </w:tcPr>
          <w:p>
            <w:pPr>
              <w:pStyle w:val="107"/>
              <w:rPr>
                <w:sz w:val="18"/>
                <w:szCs w:val="18"/>
              </w:rPr>
            </w:pPr>
            <w:r>
              <w:rPr>
                <w:rFonts w:hint="eastAsia"/>
                <w:sz w:val="18"/>
                <w:szCs w:val="18"/>
              </w:rPr>
              <w:t>7.1</w:t>
            </w:r>
            <w:r>
              <w:rPr>
                <w:sz w:val="18"/>
                <w:szCs w:val="18"/>
              </w:rPr>
              <w:t>7</w:t>
            </w:r>
          </w:p>
        </w:tc>
        <w:tc>
          <w:tcPr>
            <w:tcW w:w="1559" w:type="dxa"/>
            <w:shd w:val="clear" w:color="auto" w:fill="auto"/>
            <w:vAlign w:val="center"/>
          </w:tcPr>
          <w:p>
            <w:pPr>
              <w:pStyle w:val="107"/>
              <w:rPr>
                <w:sz w:val="18"/>
                <w:szCs w:val="18"/>
              </w:rPr>
            </w:pPr>
            <w:r>
              <w:rPr>
                <w:sz w:val="18"/>
                <w:szCs w:val="18"/>
              </w:rPr>
              <w:t>6.6</w:t>
            </w:r>
          </w:p>
        </w:tc>
        <w:tc>
          <w:tcPr>
            <w:tcW w:w="1560" w:type="dxa"/>
            <w:shd w:val="clear" w:color="auto" w:fill="auto"/>
            <w:vAlign w:val="center"/>
          </w:tcPr>
          <w:p>
            <w:pPr>
              <w:pStyle w:val="107"/>
              <w:rPr>
                <w:sz w:val="18"/>
                <w:szCs w:val="18"/>
              </w:rPr>
            </w:pPr>
            <w:r>
              <w:rPr>
                <w:sz w:val="18"/>
                <w:szCs w:val="18"/>
              </w:rPr>
              <w:t>5</w:t>
            </w:r>
          </w:p>
        </w:tc>
        <w:tc>
          <w:tcPr>
            <w:tcW w:w="1134" w:type="dxa"/>
            <w:shd w:val="clear" w:color="auto" w:fill="auto"/>
            <w:vAlign w:val="center"/>
          </w:tcPr>
          <w:p>
            <w:pPr>
              <w:pStyle w:val="107"/>
              <w:rPr>
                <w:sz w:val="18"/>
                <w:szCs w:val="18"/>
              </w:rPr>
            </w:pPr>
            <w:r>
              <w:rPr>
                <w:sz w:val="18"/>
                <w:szCs w:val="18"/>
              </w:rPr>
              <w:t>0.6</w:t>
            </w:r>
          </w:p>
        </w:tc>
        <w:tc>
          <w:tcPr>
            <w:tcW w:w="1134" w:type="dxa"/>
            <w:shd w:val="clear" w:color="auto" w:fill="auto"/>
            <w:vAlign w:val="center"/>
          </w:tcPr>
          <w:p>
            <w:pPr>
              <w:pStyle w:val="107"/>
              <w:rPr>
                <w:rFonts w:cs="Arial"/>
                <w:sz w:val="18"/>
                <w:szCs w:val="18"/>
              </w:rPr>
            </w:pPr>
            <w:r>
              <w:rPr>
                <w:rFonts w:cs="Arial"/>
                <w:sz w:val="18"/>
                <w:szCs w:val="18"/>
              </w:rPr>
              <w:t>0.288</w:t>
            </w:r>
          </w:p>
        </w:tc>
        <w:tc>
          <w:tcPr>
            <w:tcW w:w="1275" w:type="dxa"/>
            <w:shd w:val="clear" w:color="auto" w:fill="auto"/>
            <w:vAlign w:val="center"/>
          </w:tcPr>
          <w:p>
            <w:pPr>
              <w:pStyle w:val="107"/>
              <w:rPr>
                <w:rFonts w:cs="Arial"/>
                <w:sz w:val="18"/>
                <w:szCs w:val="18"/>
              </w:rPr>
            </w:pPr>
            <w:r>
              <w:rPr>
                <w:rFonts w:hint="eastAsia" w:cs="Arial"/>
                <w:sz w:val="18"/>
                <w:szCs w:val="18"/>
              </w:rPr>
              <w:t>0.</w:t>
            </w:r>
            <w:r>
              <w:rPr>
                <w:rFonts w:cs="Arial"/>
                <w:sz w:val="18"/>
                <w:szCs w:val="18"/>
              </w:rPr>
              <w:t>11</w:t>
            </w:r>
          </w:p>
        </w:tc>
        <w:tc>
          <w:tcPr>
            <w:tcW w:w="1276" w:type="dxa"/>
            <w:shd w:val="clear" w:color="auto" w:fill="auto"/>
            <w:vAlign w:val="center"/>
          </w:tcPr>
          <w:p>
            <w:pPr>
              <w:pStyle w:val="107"/>
              <w:rPr>
                <w:rFonts w:cs="Arial"/>
                <w:sz w:val="18"/>
                <w:szCs w:val="18"/>
              </w:rPr>
            </w:pPr>
            <w:r>
              <w:rPr>
                <w:rFonts w:cs="Arial"/>
                <w:sz w:val="18"/>
                <w:szCs w:val="18"/>
              </w:rPr>
              <w:t>1.08</w:t>
            </w:r>
          </w:p>
        </w:tc>
        <w:tc>
          <w:tcPr>
            <w:tcW w:w="1843" w:type="dxa"/>
            <w:vAlign w:val="center"/>
          </w:tcPr>
          <w:p>
            <w:pPr>
              <w:pStyle w:val="107"/>
              <w:rPr>
                <w:sz w:val="18"/>
                <w:szCs w:val="18"/>
              </w:rPr>
            </w:pPr>
            <w:r>
              <w:rPr>
                <w:sz w:val="18"/>
                <w:szCs w:val="18"/>
              </w:rPr>
              <w:t>2300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964" w:type="dxa"/>
            <w:vMerge w:val="continue"/>
            <w:shd w:val="clear" w:color="auto" w:fill="D8D8D8" w:themeFill="background1" w:themeFillShade="D9"/>
            <w:vAlign w:val="center"/>
          </w:tcPr>
          <w:p>
            <w:pPr>
              <w:pStyle w:val="107"/>
              <w:rPr>
                <w:b/>
                <w:sz w:val="18"/>
                <w:szCs w:val="18"/>
              </w:rPr>
            </w:pPr>
          </w:p>
        </w:tc>
        <w:tc>
          <w:tcPr>
            <w:tcW w:w="1163" w:type="dxa"/>
            <w:shd w:val="clear" w:color="auto" w:fill="D8D8D8" w:themeFill="background1" w:themeFillShade="D9"/>
            <w:vAlign w:val="center"/>
          </w:tcPr>
          <w:p>
            <w:pPr>
              <w:pStyle w:val="107"/>
              <w:rPr>
                <w:b/>
                <w:sz w:val="18"/>
                <w:szCs w:val="18"/>
              </w:rPr>
            </w:pPr>
            <w:r>
              <w:rPr>
                <w:rFonts w:hint="eastAsia"/>
                <w:b/>
                <w:sz w:val="18"/>
                <w:szCs w:val="18"/>
              </w:rPr>
              <w:t>201</w:t>
            </w:r>
            <w:r>
              <w:rPr>
                <w:b/>
                <w:sz w:val="18"/>
                <w:szCs w:val="18"/>
              </w:rPr>
              <w:t>9</w:t>
            </w:r>
            <w:r>
              <w:rPr>
                <w:rFonts w:hint="eastAsia"/>
                <w:b/>
                <w:sz w:val="18"/>
                <w:szCs w:val="18"/>
              </w:rPr>
              <w:t>/</w:t>
            </w:r>
            <w:r>
              <w:rPr>
                <w:b/>
                <w:sz w:val="18"/>
                <w:szCs w:val="18"/>
              </w:rPr>
              <w:t>4</w:t>
            </w:r>
            <w:r>
              <w:rPr>
                <w:rFonts w:hint="eastAsia"/>
                <w:b/>
                <w:sz w:val="18"/>
                <w:szCs w:val="18"/>
              </w:rPr>
              <w:t>/2</w:t>
            </w:r>
            <w:r>
              <w:rPr>
                <w:b/>
                <w:sz w:val="18"/>
                <w:szCs w:val="18"/>
              </w:rPr>
              <w:t>6</w:t>
            </w:r>
          </w:p>
        </w:tc>
        <w:tc>
          <w:tcPr>
            <w:tcW w:w="1417" w:type="dxa"/>
            <w:shd w:val="clear" w:color="auto" w:fill="auto"/>
            <w:vAlign w:val="center"/>
          </w:tcPr>
          <w:p>
            <w:pPr>
              <w:pStyle w:val="107"/>
              <w:rPr>
                <w:sz w:val="18"/>
                <w:szCs w:val="18"/>
              </w:rPr>
            </w:pPr>
            <w:r>
              <w:rPr>
                <w:rFonts w:hint="eastAsia"/>
                <w:sz w:val="18"/>
                <w:szCs w:val="18"/>
              </w:rPr>
              <w:t>7.</w:t>
            </w:r>
            <w:r>
              <w:rPr>
                <w:sz w:val="18"/>
                <w:szCs w:val="18"/>
              </w:rPr>
              <w:t>11</w:t>
            </w:r>
          </w:p>
        </w:tc>
        <w:tc>
          <w:tcPr>
            <w:tcW w:w="1559" w:type="dxa"/>
            <w:shd w:val="clear" w:color="auto" w:fill="auto"/>
            <w:vAlign w:val="center"/>
          </w:tcPr>
          <w:p>
            <w:pPr>
              <w:pStyle w:val="107"/>
              <w:rPr>
                <w:sz w:val="18"/>
                <w:szCs w:val="18"/>
              </w:rPr>
            </w:pPr>
            <w:r>
              <w:rPr>
                <w:sz w:val="18"/>
                <w:szCs w:val="18"/>
              </w:rPr>
              <w:t>7.4</w:t>
            </w:r>
          </w:p>
        </w:tc>
        <w:tc>
          <w:tcPr>
            <w:tcW w:w="1560" w:type="dxa"/>
            <w:shd w:val="clear" w:color="auto" w:fill="auto"/>
            <w:vAlign w:val="center"/>
          </w:tcPr>
          <w:p>
            <w:pPr>
              <w:pStyle w:val="107"/>
              <w:rPr>
                <w:sz w:val="18"/>
                <w:szCs w:val="18"/>
              </w:rPr>
            </w:pPr>
            <w:r>
              <w:rPr>
                <w:sz w:val="18"/>
                <w:szCs w:val="18"/>
              </w:rPr>
              <w:t>6</w:t>
            </w:r>
          </w:p>
        </w:tc>
        <w:tc>
          <w:tcPr>
            <w:tcW w:w="1134" w:type="dxa"/>
            <w:shd w:val="clear" w:color="auto" w:fill="auto"/>
            <w:vAlign w:val="center"/>
          </w:tcPr>
          <w:p>
            <w:pPr>
              <w:pStyle w:val="107"/>
              <w:rPr>
                <w:sz w:val="18"/>
                <w:szCs w:val="18"/>
              </w:rPr>
            </w:pPr>
            <w:r>
              <w:rPr>
                <w:sz w:val="18"/>
                <w:szCs w:val="18"/>
              </w:rPr>
              <w:t>0.7</w:t>
            </w:r>
          </w:p>
        </w:tc>
        <w:tc>
          <w:tcPr>
            <w:tcW w:w="1134" w:type="dxa"/>
            <w:shd w:val="clear" w:color="auto" w:fill="auto"/>
            <w:vAlign w:val="center"/>
          </w:tcPr>
          <w:p>
            <w:pPr>
              <w:pStyle w:val="107"/>
              <w:rPr>
                <w:rFonts w:cs="Arial"/>
                <w:sz w:val="18"/>
                <w:szCs w:val="18"/>
              </w:rPr>
            </w:pPr>
            <w:r>
              <w:rPr>
                <w:rFonts w:cs="Arial"/>
                <w:sz w:val="18"/>
                <w:szCs w:val="18"/>
              </w:rPr>
              <w:t>0.323</w:t>
            </w:r>
          </w:p>
        </w:tc>
        <w:tc>
          <w:tcPr>
            <w:tcW w:w="1275" w:type="dxa"/>
            <w:shd w:val="clear" w:color="auto" w:fill="auto"/>
            <w:vAlign w:val="center"/>
          </w:tcPr>
          <w:p>
            <w:pPr>
              <w:pStyle w:val="107"/>
              <w:rPr>
                <w:rFonts w:cs="Arial"/>
                <w:sz w:val="18"/>
                <w:szCs w:val="18"/>
              </w:rPr>
            </w:pPr>
            <w:r>
              <w:rPr>
                <w:rFonts w:hint="eastAsia" w:cs="Arial"/>
                <w:sz w:val="18"/>
                <w:szCs w:val="18"/>
              </w:rPr>
              <w:t>0.</w:t>
            </w:r>
            <w:r>
              <w:rPr>
                <w:rFonts w:cs="Arial"/>
                <w:sz w:val="18"/>
                <w:szCs w:val="18"/>
              </w:rPr>
              <w:t>12</w:t>
            </w:r>
          </w:p>
        </w:tc>
        <w:tc>
          <w:tcPr>
            <w:tcW w:w="1276" w:type="dxa"/>
            <w:shd w:val="clear" w:color="auto" w:fill="auto"/>
            <w:vAlign w:val="center"/>
          </w:tcPr>
          <w:p>
            <w:pPr>
              <w:pStyle w:val="107"/>
              <w:rPr>
                <w:rFonts w:cs="Arial"/>
                <w:sz w:val="18"/>
                <w:szCs w:val="18"/>
              </w:rPr>
            </w:pPr>
            <w:r>
              <w:rPr>
                <w:rFonts w:cs="Arial"/>
                <w:sz w:val="18"/>
                <w:szCs w:val="18"/>
              </w:rPr>
              <w:t>1.21</w:t>
            </w:r>
          </w:p>
        </w:tc>
        <w:tc>
          <w:tcPr>
            <w:tcW w:w="1843" w:type="dxa"/>
            <w:vAlign w:val="center"/>
          </w:tcPr>
          <w:p>
            <w:pPr>
              <w:pStyle w:val="107"/>
              <w:rPr>
                <w:sz w:val="18"/>
                <w:szCs w:val="18"/>
              </w:rPr>
            </w:pPr>
            <w:r>
              <w:rPr>
                <w:sz w:val="18"/>
                <w:szCs w:val="18"/>
              </w:rPr>
              <w:t>2576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964" w:type="dxa"/>
            <w:vMerge w:val="continue"/>
            <w:shd w:val="clear" w:color="auto" w:fill="D8D8D8" w:themeFill="background1" w:themeFillShade="D9"/>
            <w:vAlign w:val="center"/>
          </w:tcPr>
          <w:p>
            <w:pPr>
              <w:pStyle w:val="107"/>
              <w:rPr>
                <w:b/>
                <w:sz w:val="18"/>
                <w:szCs w:val="18"/>
              </w:rPr>
            </w:pPr>
          </w:p>
        </w:tc>
        <w:tc>
          <w:tcPr>
            <w:tcW w:w="1163" w:type="dxa"/>
            <w:shd w:val="clear" w:color="auto" w:fill="D8D8D8" w:themeFill="background1" w:themeFillShade="D9"/>
            <w:vAlign w:val="center"/>
          </w:tcPr>
          <w:p>
            <w:pPr>
              <w:pStyle w:val="107"/>
              <w:rPr>
                <w:b/>
                <w:sz w:val="18"/>
                <w:szCs w:val="18"/>
              </w:rPr>
            </w:pPr>
            <w:r>
              <w:rPr>
                <w:rFonts w:hint="eastAsia"/>
                <w:b/>
                <w:sz w:val="18"/>
                <w:szCs w:val="18"/>
              </w:rPr>
              <w:t>201</w:t>
            </w:r>
            <w:r>
              <w:rPr>
                <w:b/>
                <w:sz w:val="18"/>
                <w:szCs w:val="18"/>
              </w:rPr>
              <w:t>9</w:t>
            </w:r>
            <w:r>
              <w:rPr>
                <w:rFonts w:hint="eastAsia"/>
                <w:b/>
                <w:sz w:val="18"/>
                <w:szCs w:val="18"/>
              </w:rPr>
              <w:t>/</w:t>
            </w:r>
            <w:r>
              <w:rPr>
                <w:b/>
                <w:sz w:val="18"/>
                <w:szCs w:val="18"/>
              </w:rPr>
              <w:t>4</w:t>
            </w:r>
            <w:r>
              <w:rPr>
                <w:rFonts w:hint="eastAsia"/>
                <w:b/>
                <w:sz w:val="18"/>
                <w:szCs w:val="18"/>
              </w:rPr>
              <w:t>/</w:t>
            </w:r>
            <w:r>
              <w:rPr>
                <w:b/>
                <w:sz w:val="18"/>
                <w:szCs w:val="18"/>
              </w:rPr>
              <w:t>27</w:t>
            </w:r>
          </w:p>
        </w:tc>
        <w:tc>
          <w:tcPr>
            <w:tcW w:w="1417" w:type="dxa"/>
            <w:shd w:val="clear" w:color="auto" w:fill="auto"/>
            <w:vAlign w:val="center"/>
          </w:tcPr>
          <w:p>
            <w:pPr>
              <w:pStyle w:val="107"/>
              <w:rPr>
                <w:sz w:val="18"/>
                <w:szCs w:val="18"/>
              </w:rPr>
            </w:pPr>
            <w:r>
              <w:rPr>
                <w:rFonts w:hint="eastAsia"/>
                <w:sz w:val="18"/>
                <w:szCs w:val="18"/>
              </w:rPr>
              <w:t>7.</w:t>
            </w:r>
            <w:r>
              <w:rPr>
                <w:sz w:val="18"/>
                <w:szCs w:val="18"/>
              </w:rPr>
              <w:t>15</w:t>
            </w:r>
          </w:p>
        </w:tc>
        <w:tc>
          <w:tcPr>
            <w:tcW w:w="1559" w:type="dxa"/>
            <w:shd w:val="clear" w:color="auto" w:fill="auto"/>
            <w:vAlign w:val="center"/>
          </w:tcPr>
          <w:p>
            <w:pPr>
              <w:pStyle w:val="107"/>
              <w:rPr>
                <w:sz w:val="18"/>
                <w:szCs w:val="18"/>
              </w:rPr>
            </w:pPr>
            <w:r>
              <w:rPr>
                <w:sz w:val="18"/>
                <w:szCs w:val="18"/>
              </w:rPr>
              <w:t>6.9</w:t>
            </w:r>
          </w:p>
        </w:tc>
        <w:tc>
          <w:tcPr>
            <w:tcW w:w="1560" w:type="dxa"/>
            <w:shd w:val="clear" w:color="auto" w:fill="auto"/>
            <w:vAlign w:val="center"/>
          </w:tcPr>
          <w:p>
            <w:pPr>
              <w:pStyle w:val="107"/>
              <w:rPr>
                <w:sz w:val="18"/>
                <w:szCs w:val="18"/>
              </w:rPr>
            </w:pPr>
            <w:r>
              <w:rPr>
                <w:sz w:val="18"/>
                <w:szCs w:val="18"/>
              </w:rPr>
              <w:t>7</w:t>
            </w:r>
          </w:p>
        </w:tc>
        <w:tc>
          <w:tcPr>
            <w:tcW w:w="1134" w:type="dxa"/>
            <w:shd w:val="clear" w:color="auto" w:fill="auto"/>
            <w:vAlign w:val="center"/>
          </w:tcPr>
          <w:p>
            <w:pPr>
              <w:pStyle w:val="107"/>
              <w:rPr>
                <w:sz w:val="18"/>
                <w:szCs w:val="18"/>
              </w:rPr>
            </w:pPr>
            <w:r>
              <w:rPr>
                <w:sz w:val="18"/>
                <w:szCs w:val="18"/>
              </w:rPr>
              <w:t>0.9</w:t>
            </w:r>
          </w:p>
        </w:tc>
        <w:tc>
          <w:tcPr>
            <w:tcW w:w="1134" w:type="dxa"/>
            <w:shd w:val="clear" w:color="auto" w:fill="auto"/>
            <w:vAlign w:val="center"/>
          </w:tcPr>
          <w:p>
            <w:pPr>
              <w:pStyle w:val="107"/>
              <w:rPr>
                <w:rFonts w:cs="Arial"/>
                <w:sz w:val="18"/>
                <w:szCs w:val="18"/>
              </w:rPr>
            </w:pPr>
            <w:r>
              <w:rPr>
                <w:rFonts w:cs="Arial"/>
                <w:sz w:val="18"/>
                <w:szCs w:val="18"/>
              </w:rPr>
              <w:t>0.411</w:t>
            </w:r>
          </w:p>
        </w:tc>
        <w:tc>
          <w:tcPr>
            <w:tcW w:w="1275" w:type="dxa"/>
            <w:shd w:val="clear" w:color="auto" w:fill="auto"/>
            <w:vAlign w:val="center"/>
          </w:tcPr>
          <w:p>
            <w:pPr>
              <w:pStyle w:val="107"/>
              <w:rPr>
                <w:rFonts w:cs="Arial"/>
                <w:sz w:val="18"/>
                <w:szCs w:val="18"/>
              </w:rPr>
            </w:pPr>
            <w:r>
              <w:rPr>
                <w:rFonts w:hint="eastAsia" w:cs="Arial"/>
                <w:sz w:val="18"/>
                <w:szCs w:val="18"/>
              </w:rPr>
              <w:t>0.</w:t>
            </w:r>
            <w:r>
              <w:rPr>
                <w:rFonts w:cs="Arial"/>
                <w:sz w:val="18"/>
                <w:szCs w:val="18"/>
              </w:rPr>
              <w:t>16</w:t>
            </w:r>
          </w:p>
        </w:tc>
        <w:tc>
          <w:tcPr>
            <w:tcW w:w="1276" w:type="dxa"/>
            <w:shd w:val="clear" w:color="auto" w:fill="auto"/>
            <w:vAlign w:val="center"/>
          </w:tcPr>
          <w:p>
            <w:pPr>
              <w:pStyle w:val="107"/>
              <w:rPr>
                <w:rFonts w:cs="Arial"/>
                <w:sz w:val="18"/>
                <w:szCs w:val="18"/>
              </w:rPr>
            </w:pPr>
            <w:r>
              <w:rPr>
                <w:rFonts w:cs="Arial"/>
                <w:sz w:val="18"/>
                <w:szCs w:val="18"/>
              </w:rPr>
              <w:t>1.54</w:t>
            </w:r>
          </w:p>
        </w:tc>
        <w:tc>
          <w:tcPr>
            <w:tcW w:w="1843" w:type="dxa"/>
            <w:vAlign w:val="center"/>
          </w:tcPr>
          <w:p>
            <w:pPr>
              <w:pStyle w:val="107"/>
              <w:rPr>
                <w:sz w:val="18"/>
                <w:szCs w:val="18"/>
              </w:rPr>
            </w:pPr>
            <w:r>
              <w:rPr>
                <w:rFonts w:hint="eastAsia"/>
                <w:sz w:val="18"/>
                <w:szCs w:val="18"/>
              </w:rPr>
              <w:t>3</w:t>
            </w:r>
            <w:r>
              <w:rPr>
                <w:sz w:val="18"/>
                <w:szCs w:val="18"/>
              </w:rPr>
              <w:t>286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964" w:type="dxa"/>
            <w:vMerge w:val="continue"/>
            <w:shd w:val="clear" w:color="auto" w:fill="D8D8D8" w:themeFill="background1" w:themeFillShade="D9"/>
            <w:vAlign w:val="center"/>
          </w:tcPr>
          <w:p>
            <w:pPr>
              <w:pStyle w:val="107"/>
              <w:rPr>
                <w:b/>
                <w:sz w:val="18"/>
                <w:szCs w:val="18"/>
              </w:rPr>
            </w:pPr>
          </w:p>
        </w:tc>
        <w:tc>
          <w:tcPr>
            <w:tcW w:w="1163" w:type="dxa"/>
            <w:shd w:val="clear" w:color="auto" w:fill="D8D8D8" w:themeFill="background1" w:themeFillShade="D9"/>
            <w:vAlign w:val="center"/>
          </w:tcPr>
          <w:p>
            <w:pPr>
              <w:pStyle w:val="107"/>
              <w:rPr>
                <w:b/>
                <w:sz w:val="18"/>
                <w:szCs w:val="18"/>
              </w:rPr>
            </w:pPr>
            <w:r>
              <w:rPr>
                <w:rFonts w:hint="eastAsia"/>
                <w:b/>
                <w:sz w:val="18"/>
                <w:szCs w:val="18"/>
              </w:rPr>
              <w:t>平均值</w:t>
            </w:r>
          </w:p>
        </w:tc>
        <w:tc>
          <w:tcPr>
            <w:tcW w:w="1417" w:type="dxa"/>
            <w:shd w:val="clear" w:color="auto" w:fill="auto"/>
            <w:vAlign w:val="center"/>
          </w:tcPr>
          <w:p>
            <w:pPr>
              <w:pStyle w:val="107"/>
              <w:rPr>
                <w:rFonts w:cs="Arial"/>
                <w:sz w:val="18"/>
                <w:szCs w:val="18"/>
              </w:rPr>
            </w:pPr>
            <w:r>
              <w:rPr>
                <w:rFonts w:cs="Arial"/>
                <w:sz w:val="18"/>
                <w:szCs w:val="18"/>
              </w:rPr>
              <w:t>7.17</w:t>
            </w:r>
          </w:p>
        </w:tc>
        <w:tc>
          <w:tcPr>
            <w:tcW w:w="1559" w:type="dxa"/>
            <w:shd w:val="clear" w:color="auto" w:fill="auto"/>
            <w:vAlign w:val="center"/>
          </w:tcPr>
          <w:p>
            <w:pPr>
              <w:pStyle w:val="107"/>
              <w:rPr>
                <w:rFonts w:cs="Arial"/>
                <w:sz w:val="18"/>
                <w:szCs w:val="18"/>
              </w:rPr>
            </w:pPr>
            <w:r>
              <w:rPr>
                <w:rFonts w:cs="Arial"/>
                <w:sz w:val="18"/>
                <w:szCs w:val="18"/>
              </w:rPr>
              <w:t>7.4</w:t>
            </w:r>
          </w:p>
        </w:tc>
        <w:tc>
          <w:tcPr>
            <w:tcW w:w="1560" w:type="dxa"/>
            <w:shd w:val="clear" w:color="auto" w:fill="auto"/>
            <w:vAlign w:val="center"/>
          </w:tcPr>
          <w:p>
            <w:pPr>
              <w:pStyle w:val="107"/>
              <w:rPr>
                <w:rFonts w:cs="Arial"/>
                <w:sz w:val="18"/>
                <w:szCs w:val="18"/>
              </w:rPr>
            </w:pPr>
            <w:r>
              <w:rPr>
                <w:rFonts w:cs="Arial"/>
                <w:sz w:val="18"/>
                <w:szCs w:val="18"/>
              </w:rPr>
              <w:t>7</w:t>
            </w:r>
          </w:p>
        </w:tc>
        <w:tc>
          <w:tcPr>
            <w:tcW w:w="1134" w:type="dxa"/>
            <w:shd w:val="clear" w:color="auto" w:fill="auto"/>
            <w:vAlign w:val="center"/>
          </w:tcPr>
          <w:p>
            <w:pPr>
              <w:pStyle w:val="107"/>
              <w:rPr>
                <w:rFonts w:cs="Arial"/>
                <w:sz w:val="18"/>
                <w:szCs w:val="18"/>
              </w:rPr>
            </w:pPr>
            <w:r>
              <w:rPr>
                <w:rFonts w:cs="Arial"/>
                <w:sz w:val="18"/>
                <w:szCs w:val="18"/>
              </w:rPr>
              <w:t>0.9</w:t>
            </w:r>
          </w:p>
        </w:tc>
        <w:tc>
          <w:tcPr>
            <w:tcW w:w="1134" w:type="dxa"/>
            <w:shd w:val="clear" w:color="auto" w:fill="auto"/>
            <w:vAlign w:val="center"/>
          </w:tcPr>
          <w:p>
            <w:pPr>
              <w:pStyle w:val="107"/>
              <w:rPr>
                <w:rFonts w:cs="Arial"/>
                <w:sz w:val="18"/>
                <w:szCs w:val="18"/>
              </w:rPr>
            </w:pPr>
            <w:r>
              <w:rPr>
                <w:rFonts w:cs="Arial"/>
                <w:sz w:val="18"/>
                <w:szCs w:val="18"/>
              </w:rPr>
              <w:t>0.411</w:t>
            </w:r>
          </w:p>
        </w:tc>
        <w:tc>
          <w:tcPr>
            <w:tcW w:w="1275" w:type="dxa"/>
            <w:shd w:val="clear" w:color="auto" w:fill="auto"/>
            <w:vAlign w:val="center"/>
          </w:tcPr>
          <w:p>
            <w:pPr>
              <w:pStyle w:val="107"/>
              <w:rPr>
                <w:rFonts w:cs="Arial"/>
                <w:sz w:val="18"/>
                <w:szCs w:val="18"/>
              </w:rPr>
            </w:pPr>
            <w:r>
              <w:rPr>
                <w:rFonts w:cs="Arial"/>
                <w:sz w:val="18"/>
                <w:szCs w:val="18"/>
              </w:rPr>
              <w:t>0.16</w:t>
            </w:r>
          </w:p>
        </w:tc>
        <w:tc>
          <w:tcPr>
            <w:tcW w:w="1276" w:type="dxa"/>
            <w:shd w:val="clear" w:color="auto" w:fill="auto"/>
            <w:vAlign w:val="center"/>
          </w:tcPr>
          <w:p>
            <w:pPr>
              <w:pStyle w:val="107"/>
              <w:rPr>
                <w:rFonts w:cs="Arial"/>
                <w:sz w:val="18"/>
                <w:szCs w:val="18"/>
              </w:rPr>
            </w:pPr>
            <w:r>
              <w:rPr>
                <w:rFonts w:cs="Arial"/>
                <w:sz w:val="18"/>
                <w:szCs w:val="18"/>
              </w:rPr>
              <w:t>1.54</w:t>
            </w:r>
          </w:p>
        </w:tc>
        <w:tc>
          <w:tcPr>
            <w:tcW w:w="1843" w:type="dxa"/>
            <w:vAlign w:val="center"/>
          </w:tcPr>
          <w:p>
            <w:pPr>
              <w:pStyle w:val="107"/>
              <w:rPr>
                <w:sz w:val="18"/>
                <w:szCs w:val="18"/>
              </w:rPr>
            </w:pPr>
            <w:r>
              <w:rPr>
                <w:rFonts w:hint="eastAsia"/>
                <w:sz w:val="18"/>
                <w:szCs w:val="18"/>
              </w:rPr>
              <w:t>3</w:t>
            </w:r>
            <w:r>
              <w:rPr>
                <w:sz w:val="18"/>
                <w:szCs w:val="18"/>
              </w:rPr>
              <w:t>286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964" w:type="dxa"/>
            <w:vMerge w:val="continue"/>
            <w:shd w:val="clear" w:color="auto" w:fill="D8D8D8" w:themeFill="background1" w:themeFillShade="D9"/>
            <w:vAlign w:val="center"/>
          </w:tcPr>
          <w:p>
            <w:pPr>
              <w:pStyle w:val="107"/>
              <w:rPr>
                <w:b/>
                <w:sz w:val="18"/>
                <w:szCs w:val="18"/>
              </w:rPr>
            </w:pPr>
          </w:p>
        </w:tc>
        <w:tc>
          <w:tcPr>
            <w:tcW w:w="1163" w:type="dxa"/>
            <w:shd w:val="clear" w:color="auto" w:fill="D8D8D8" w:themeFill="background1" w:themeFillShade="D9"/>
            <w:vAlign w:val="center"/>
          </w:tcPr>
          <w:p>
            <w:pPr>
              <w:pStyle w:val="107"/>
              <w:rPr>
                <w:b/>
                <w:sz w:val="18"/>
                <w:szCs w:val="18"/>
              </w:rPr>
            </w:pPr>
            <w:r>
              <w:rPr>
                <w:rFonts w:hint="eastAsia"/>
                <w:b/>
                <w:sz w:val="18"/>
                <w:szCs w:val="18"/>
              </w:rPr>
              <w:t>标准指数</w:t>
            </w:r>
          </w:p>
        </w:tc>
        <w:tc>
          <w:tcPr>
            <w:tcW w:w="1417" w:type="dxa"/>
            <w:shd w:val="clear" w:color="auto" w:fill="auto"/>
            <w:vAlign w:val="center"/>
          </w:tcPr>
          <w:p>
            <w:pPr>
              <w:pStyle w:val="107"/>
              <w:rPr>
                <w:sz w:val="18"/>
                <w:szCs w:val="18"/>
              </w:rPr>
            </w:pPr>
            <w:r>
              <w:rPr>
                <w:sz w:val="18"/>
                <w:szCs w:val="18"/>
              </w:rPr>
              <w:t>0.085</w:t>
            </w:r>
          </w:p>
        </w:tc>
        <w:tc>
          <w:tcPr>
            <w:tcW w:w="1559" w:type="dxa"/>
            <w:shd w:val="clear" w:color="auto" w:fill="auto"/>
            <w:vAlign w:val="center"/>
          </w:tcPr>
          <w:p>
            <w:pPr>
              <w:pStyle w:val="107"/>
              <w:rPr>
                <w:sz w:val="18"/>
                <w:szCs w:val="18"/>
              </w:rPr>
            </w:pPr>
            <w:r>
              <w:rPr>
                <w:sz w:val="18"/>
                <w:szCs w:val="18"/>
              </w:rPr>
              <w:t>0.5</w:t>
            </w:r>
          </w:p>
        </w:tc>
        <w:tc>
          <w:tcPr>
            <w:tcW w:w="1560" w:type="dxa"/>
            <w:shd w:val="clear" w:color="auto" w:fill="auto"/>
            <w:vAlign w:val="center"/>
          </w:tcPr>
          <w:p>
            <w:pPr>
              <w:pStyle w:val="107"/>
              <w:rPr>
                <w:sz w:val="18"/>
                <w:szCs w:val="18"/>
              </w:rPr>
            </w:pPr>
            <w:r>
              <w:rPr>
                <w:rFonts w:hint="eastAsia"/>
                <w:sz w:val="18"/>
                <w:szCs w:val="18"/>
              </w:rPr>
              <w:t>0.</w:t>
            </w:r>
            <w:r>
              <w:rPr>
                <w:sz w:val="18"/>
                <w:szCs w:val="18"/>
              </w:rPr>
              <w:t>3</w:t>
            </w:r>
            <w:r>
              <w:rPr>
                <w:rFonts w:hint="eastAsia"/>
                <w:sz w:val="18"/>
                <w:szCs w:val="18"/>
              </w:rPr>
              <w:t>5</w:t>
            </w:r>
          </w:p>
        </w:tc>
        <w:tc>
          <w:tcPr>
            <w:tcW w:w="1134" w:type="dxa"/>
            <w:shd w:val="clear" w:color="auto" w:fill="auto"/>
            <w:vAlign w:val="center"/>
          </w:tcPr>
          <w:p>
            <w:pPr>
              <w:pStyle w:val="107"/>
              <w:rPr>
                <w:sz w:val="18"/>
                <w:szCs w:val="18"/>
              </w:rPr>
            </w:pPr>
            <w:r>
              <w:rPr>
                <w:rFonts w:hint="eastAsia"/>
                <w:sz w:val="18"/>
                <w:szCs w:val="18"/>
              </w:rPr>
              <w:t>0.</w:t>
            </w:r>
            <w:r>
              <w:rPr>
                <w:sz w:val="18"/>
                <w:szCs w:val="18"/>
              </w:rPr>
              <w:t>225</w:t>
            </w:r>
          </w:p>
        </w:tc>
        <w:tc>
          <w:tcPr>
            <w:tcW w:w="1134" w:type="dxa"/>
            <w:shd w:val="clear" w:color="auto" w:fill="FFFFFF" w:themeFill="background1"/>
            <w:vAlign w:val="center"/>
          </w:tcPr>
          <w:p>
            <w:pPr>
              <w:pStyle w:val="107"/>
              <w:rPr>
                <w:rFonts w:cs="Arial"/>
                <w:sz w:val="18"/>
                <w:szCs w:val="18"/>
              </w:rPr>
            </w:pPr>
            <w:r>
              <w:rPr>
                <w:rFonts w:cs="Arial"/>
                <w:sz w:val="18"/>
                <w:szCs w:val="18"/>
              </w:rPr>
              <w:t>0.411</w:t>
            </w:r>
          </w:p>
        </w:tc>
        <w:tc>
          <w:tcPr>
            <w:tcW w:w="1275" w:type="dxa"/>
            <w:shd w:val="clear" w:color="auto" w:fill="FFFFFF" w:themeFill="background1"/>
            <w:vAlign w:val="center"/>
          </w:tcPr>
          <w:p>
            <w:pPr>
              <w:pStyle w:val="107"/>
              <w:rPr>
                <w:rFonts w:cs="Arial"/>
                <w:sz w:val="18"/>
                <w:szCs w:val="18"/>
              </w:rPr>
            </w:pPr>
            <w:r>
              <w:rPr>
                <w:rFonts w:cs="Arial"/>
                <w:sz w:val="18"/>
                <w:szCs w:val="18"/>
              </w:rPr>
              <w:t>0.8</w:t>
            </w:r>
          </w:p>
        </w:tc>
        <w:tc>
          <w:tcPr>
            <w:tcW w:w="1276" w:type="dxa"/>
            <w:shd w:val="clear" w:color="auto" w:fill="FFFFFF" w:themeFill="background1"/>
            <w:vAlign w:val="center"/>
          </w:tcPr>
          <w:p>
            <w:pPr>
              <w:pStyle w:val="107"/>
              <w:rPr>
                <w:rFonts w:cs="Arial"/>
                <w:sz w:val="18"/>
                <w:szCs w:val="18"/>
              </w:rPr>
            </w:pPr>
            <w:r>
              <w:rPr>
                <w:rFonts w:cs="Arial"/>
                <w:sz w:val="18"/>
                <w:szCs w:val="18"/>
                <w:highlight w:val="lightGray"/>
              </w:rPr>
              <w:t>1.54</w:t>
            </w:r>
          </w:p>
        </w:tc>
        <w:tc>
          <w:tcPr>
            <w:tcW w:w="1843" w:type="dxa"/>
            <w:vAlign w:val="center"/>
          </w:tcPr>
          <w:p>
            <w:pPr>
              <w:pStyle w:val="107"/>
              <w:rPr>
                <w:sz w:val="18"/>
                <w:szCs w:val="18"/>
              </w:rPr>
            </w:pPr>
            <w:r>
              <w:rPr>
                <w:sz w:val="18"/>
                <w:szCs w:val="18"/>
              </w:rPr>
              <w:t>0.3286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0" w:hRule="atLeast"/>
        </w:trPr>
        <w:tc>
          <w:tcPr>
            <w:tcW w:w="2127" w:type="dxa"/>
            <w:gridSpan w:val="2"/>
            <w:shd w:val="clear" w:color="auto" w:fill="D8D8D8" w:themeFill="background1" w:themeFillShade="D9"/>
            <w:vAlign w:val="center"/>
          </w:tcPr>
          <w:p>
            <w:pPr>
              <w:pStyle w:val="107"/>
              <w:rPr>
                <w:b/>
                <w:sz w:val="18"/>
                <w:szCs w:val="18"/>
              </w:rPr>
            </w:pPr>
            <w:r>
              <w:rPr>
                <w:rFonts w:hint="eastAsia"/>
                <w:b/>
                <w:sz w:val="18"/>
                <w:szCs w:val="18"/>
              </w:rPr>
              <w:t>《地表水环境质量标准》（GB 3838-2002）III类标准</w:t>
            </w: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eastAsiaTheme="minorEastAsia"/>
                <w:color w:val="000000" w:themeColor="text1"/>
                <w:sz w:val="18"/>
                <w:szCs w:val="18"/>
                <w14:textFill>
                  <w14:solidFill>
                    <w14:schemeClr w14:val="tx1"/>
                  </w14:solidFill>
                </w14:textFill>
              </w:rPr>
            </w:pPr>
            <w:r>
              <w:rPr>
                <w:rFonts w:hint="eastAsia" w:eastAsiaTheme="minorEastAsia"/>
                <w:color w:val="000000" w:themeColor="text1"/>
                <w:sz w:val="18"/>
                <w:szCs w:val="18"/>
                <w14:textFill>
                  <w14:solidFill>
                    <w14:schemeClr w14:val="tx1"/>
                  </w14:solidFill>
                </w14:textFill>
              </w:rPr>
              <w:t>6~9</w:t>
            </w:r>
          </w:p>
        </w:tc>
        <w:tc>
          <w:tcPr>
            <w:tcW w:w="1559" w:type="dxa"/>
            <w:shd w:val="clear" w:color="auto" w:fill="auto"/>
            <w:vAlign w:val="center"/>
          </w:tcPr>
          <w:p>
            <w:pPr>
              <w:pStyle w:val="107"/>
              <w:rPr>
                <w:sz w:val="18"/>
                <w:szCs w:val="18"/>
              </w:rPr>
            </w:pPr>
            <w:r>
              <w:rPr>
                <w:rFonts w:hint="eastAsia"/>
                <w:sz w:val="18"/>
                <w:szCs w:val="18"/>
              </w:rPr>
              <w:t>≥5</w:t>
            </w:r>
          </w:p>
        </w:tc>
        <w:tc>
          <w:tcPr>
            <w:tcW w:w="1560" w:type="dxa"/>
            <w:shd w:val="clear" w:color="auto" w:fill="auto"/>
            <w:vAlign w:val="center"/>
          </w:tcPr>
          <w:p>
            <w:pPr>
              <w:pStyle w:val="107"/>
              <w:rPr>
                <w:sz w:val="18"/>
                <w:szCs w:val="18"/>
              </w:rPr>
            </w:pPr>
            <w:r>
              <w:rPr>
                <w:rFonts w:hint="eastAsia"/>
                <w:sz w:val="18"/>
                <w:szCs w:val="18"/>
              </w:rPr>
              <w:t>≤20</w:t>
            </w:r>
          </w:p>
        </w:tc>
        <w:tc>
          <w:tcPr>
            <w:tcW w:w="1134" w:type="dxa"/>
            <w:shd w:val="clear" w:color="auto" w:fill="auto"/>
            <w:vAlign w:val="center"/>
          </w:tcPr>
          <w:p>
            <w:pPr>
              <w:pStyle w:val="107"/>
              <w:rPr>
                <w:sz w:val="18"/>
                <w:szCs w:val="18"/>
              </w:rPr>
            </w:pPr>
            <w:r>
              <w:rPr>
                <w:rFonts w:hint="eastAsia"/>
                <w:sz w:val="18"/>
                <w:szCs w:val="18"/>
              </w:rPr>
              <w:t>≤4</w:t>
            </w:r>
          </w:p>
        </w:tc>
        <w:tc>
          <w:tcPr>
            <w:tcW w:w="1134" w:type="dxa"/>
            <w:shd w:val="clear" w:color="auto" w:fill="auto"/>
            <w:vAlign w:val="center"/>
          </w:tcPr>
          <w:p>
            <w:pPr>
              <w:pStyle w:val="107"/>
              <w:rPr>
                <w:sz w:val="18"/>
                <w:szCs w:val="18"/>
              </w:rPr>
            </w:pPr>
            <w:r>
              <w:rPr>
                <w:rFonts w:hint="eastAsia"/>
                <w:sz w:val="18"/>
                <w:szCs w:val="18"/>
              </w:rPr>
              <w:t>≤1</w:t>
            </w:r>
          </w:p>
        </w:tc>
        <w:tc>
          <w:tcPr>
            <w:tcW w:w="1275" w:type="dxa"/>
            <w:shd w:val="clear" w:color="auto" w:fill="auto"/>
            <w:vAlign w:val="center"/>
          </w:tcPr>
          <w:p>
            <w:pPr>
              <w:pStyle w:val="107"/>
              <w:rPr>
                <w:sz w:val="18"/>
                <w:szCs w:val="18"/>
              </w:rPr>
            </w:pPr>
            <w:r>
              <w:rPr>
                <w:rFonts w:hint="eastAsia"/>
                <w:sz w:val="18"/>
                <w:szCs w:val="18"/>
              </w:rPr>
              <w:t>≤0.2</w:t>
            </w:r>
          </w:p>
        </w:tc>
        <w:tc>
          <w:tcPr>
            <w:tcW w:w="1276" w:type="dxa"/>
            <w:shd w:val="clear" w:color="auto" w:fill="auto"/>
            <w:vAlign w:val="center"/>
          </w:tcPr>
          <w:p>
            <w:pPr>
              <w:pStyle w:val="107"/>
              <w:rPr>
                <w:sz w:val="18"/>
                <w:szCs w:val="18"/>
              </w:rPr>
            </w:pPr>
            <w:r>
              <w:rPr>
                <w:rFonts w:hint="eastAsia"/>
                <w:sz w:val="18"/>
                <w:szCs w:val="18"/>
              </w:rPr>
              <w:t>≤1</w:t>
            </w:r>
          </w:p>
        </w:tc>
        <w:tc>
          <w:tcPr>
            <w:tcW w:w="1843" w:type="dxa"/>
            <w:tcBorders>
              <w:top w:val="single" w:color="auto" w:sz="4" w:space="0"/>
              <w:bottom w:val="single" w:color="auto" w:sz="4" w:space="0"/>
            </w:tcBorders>
            <w:shd w:val="clear" w:color="auto" w:fill="auto"/>
            <w:vAlign w:val="center"/>
          </w:tcPr>
          <w:p>
            <w:pPr>
              <w:pStyle w:val="107"/>
              <w:rPr>
                <w:sz w:val="18"/>
                <w:szCs w:val="18"/>
              </w:rPr>
            </w:pPr>
            <w:r>
              <w:rPr>
                <w:rFonts w:hint="eastAsia"/>
                <w:sz w:val="18"/>
                <w:szCs w:val="18"/>
              </w:rPr>
              <w:t>≤10000</w:t>
            </w:r>
          </w:p>
        </w:tc>
      </w:tr>
    </w:tbl>
    <w:p>
      <w:pPr>
        <w:pStyle w:val="107"/>
        <w:jc w:val="left"/>
        <w:rPr>
          <w:rFonts w:cs="Times New Roman"/>
          <w:b/>
        </w:rPr>
      </w:pPr>
      <w:r>
        <w:rPr>
          <w:rFonts w:hint="eastAsia" w:cs="Times New Roman"/>
          <w:b/>
        </w:rPr>
        <w:t>注：当测定结果低于方法检出限时，检测结果出示所使用方法的检出限值，并加标志 L，按照检测限的一半值计算标准指数。</w:t>
      </w:r>
    </w:p>
    <w:p>
      <w:pPr>
        <w:adjustRightInd w:val="0"/>
        <w:snapToGrid w:val="0"/>
        <w:ind w:firstLine="480"/>
        <w:rPr>
          <w:rFonts w:eastAsiaTheme="minorEastAsia"/>
        </w:rPr>
        <w:sectPr>
          <w:pgSz w:w="16838" w:h="11906" w:orient="landscape"/>
          <w:pgMar w:top="1418" w:right="1418" w:bottom="1418" w:left="1418" w:header="851" w:footer="992" w:gutter="0"/>
          <w:cols w:space="720" w:num="1"/>
          <w:docGrid w:linePitch="326" w:charSpace="0"/>
        </w:sectPr>
      </w:pPr>
    </w:p>
    <w:p>
      <w:pPr>
        <w:pStyle w:val="5"/>
      </w:pPr>
      <w:bookmarkStart w:id="309" w:name="_Toc11545"/>
      <w:bookmarkStart w:id="310" w:name="_Toc31019"/>
      <w:bookmarkStart w:id="311" w:name="_Toc329784207"/>
      <w:bookmarkStart w:id="312" w:name="_Toc331536160"/>
      <w:bookmarkStart w:id="313" w:name="_Toc307847890"/>
      <w:r>
        <w:t>地下水环境</w:t>
      </w:r>
      <w:r>
        <w:rPr>
          <w:rFonts w:hint="eastAsia"/>
        </w:rPr>
        <w:t>质量</w:t>
      </w:r>
      <w:r>
        <w:t>现状调查与评价</w:t>
      </w:r>
      <w:bookmarkEnd w:id="309"/>
      <w:bookmarkEnd w:id="310"/>
      <w:bookmarkEnd w:id="311"/>
      <w:bookmarkEnd w:id="312"/>
      <w:bookmarkEnd w:id="313"/>
    </w:p>
    <w:p>
      <w:pPr>
        <w:pStyle w:val="6"/>
      </w:pPr>
      <w:r>
        <w:rPr>
          <w:rFonts w:hint="eastAsia"/>
        </w:rPr>
        <w:t>地下水环境质量现状监测</w:t>
      </w:r>
    </w:p>
    <w:p>
      <w:pPr>
        <w:pStyle w:val="126"/>
        <w:numPr>
          <w:ilvl w:val="0"/>
          <w:numId w:val="41"/>
        </w:numPr>
        <w:ind w:firstLine="482"/>
        <w:rPr>
          <w:rFonts w:eastAsiaTheme="minorEastAsia"/>
        </w:rPr>
      </w:pPr>
      <w:bookmarkStart w:id="314" w:name="_Toc331536161"/>
      <w:r>
        <w:rPr>
          <w:rFonts w:eastAsiaTheme="minorEastAsia"/>
        </w:rPr>
        <w:t>监测布点</w:t>
      </w:r>
      <w:bookmarkEnd w:id="314"/>
      <w:r>
        <w:rPr>
          <w:rFonts w:hint="eastAsia" w:eastAsiaTheme="minorEastAsia"/>
        </w:rPr>
        <w:t>、监测项目及监测时间</w:t>
      </w:r>
    </w:p>
    <w:p>
      <w:pPr>
        <w:ind w:firstLine="480"/>
        <w:rPr>
          <w:rFonts w:eastAsiaTheme="minorEastAsia"/>
          <w:color w:val="FF0000"/>
        </w:rPr>
      </w:pPr>
      <w:r>
        <w:rPr>
          <w:rFonts w:hint="eastAsia" w:eastAsiaTheme="minorEastAsia"/>
        </w:rPr>
        <w:t>根据《环境影响评价技术导则 地下水环境》（HJ 610-2016），项目属于三级评价，根据项目所在地地下水水文特征及流向，</w:t>
      </w:r>
      <w:r>
        <w:rPr>
          <w:rFonts w:eastAsiaTheme="minorEastAsia"/>
        </w:rPr>
        <w:t>本次评价共设2</w:t>
      </w:r>
      <w:r>
        <w:rPr>
          <w:rFonts w:hint="eastAsia" w:eastAsiaTheme="minorEastAsia"/>
        </w:rPr>
        <w:t>个地下水监测点位</w:t>
      </w:r>
      <w:r>
        <w:rPr>
          <w:rFonts w:eastAsiaTheme="minorEastAsia"/>
        </w:rPr>
        <w:t>，</w:t>
      </w:r>
      <w:r>
        <w:rPr>
          <w:rFonts w:hint="eastAsia" w:eastAsiaTheme="minorEastAsia"/>
        </w:rPr>
        <w:t>均利用现有水井进行监测，采样点布设</w:t>
      </w:r>
      <w:r>
        <w:rPr>
          <w:rFonts w:eastAsiaTheme="minorEastAsia"/>
        </w:rPr>
        <w:t>详</w:t>
      </w:r>
      <w:r>
        <w:rPr>
          <w:rFonts w:hint="eastAsia" w:eastAsiaTheme="minorEastAsia"/>
        </w:rPr>
        <w:t>情</w:t>
      </w:r>
      <w:r>
        <w:rPr>
          <w:rFonts w:eastAsiaTheme="minorEastAsia"/>
        </w:rPr>
        <w:t>见</w:t>
      </w:r>
      <w:r>
        <w:rPr>
          <w:rFonts w:eastAsiaTheme="minorEastAsia"/>
        </w:rPr>
        <w:fldChar w:fldCharType="begin"/>
      </w:r>
      <w:r>
        <w:rPr>
          <w:rFonts w:eastAsiaTheme="minorEastAsia"/>
        </w:rPr>
        <w:instrText xml:space="preserve"> REF _Ref527725803 \h  \* MERGEFORMAT </w:instrText>
      </w:r>
      <w:r>
        <w:rPr>
          <w:rFonts w:eastAsiaTheme="minorEastAsia"/>
        </w:rPr>
        <w:fldChar w:fldCharType="separate"/>
      </w:r>
      <w:r>
        <w:rPr>
          <w:rFonts w:hint="eastAsia" w:eastAsiaTheme="minorEastAsia"/>
        </w:rPr>
        <w:t xml:space="preserve">表 </w:t>
      </w:r>
      <w:r>
        <w:rPr>
          <w:rFonts w:eastAsiaTheme="minorEastAsia"/>
        </w:rPr>
        <w:t>3.3</w:t>
      </w:r>
      <w:r>
        <w:rPr>
          <w:rFonts w:eastAsiaTheme="minorEastAsia"/>
        </w:rPr>
        <w:noBreakHyphen/>
      </w:r>
      <w:r>
        <w:rPr>
          <w:rFonts w:eastAsiaTheme="minorEastAsia"/>
        </w:rPr>
        <w:t>4</w:t>
      </w:r>
      <w:r>
        <w:rPr>
          <w:rFonts w:eastAsiaTheme="minorEastAsia"/>
        </w:rPr>
        <w:fldChar w:fldCharType="end"/>
      </w:r>
      <w:r>
        <w:rPr>
          <w:rFonts w:hint="eastAsia" w:eastAsiaTheme="minorEastAsia"/>
        </w:rPr>
        <w:t>及</w:t>
      </w:r>
      <w:r>
        <w:rPr>
          <w:rFonts w:eastAsiaTheme="minorEastAsia"/>
        </w:rPr>
        <w:fldChar w:fldCharType="begin"/>
      </w:r>
      <w:r>
        <w:rPr>
          <w:rFonts w:eastAsiaTheme="minorEastAsia"/>
        </w:rPr>
        <w:instrText xml:space="preserve"> </w:instrText>
      </w:r>
      <w:r>
        <w:rPr>
          <w:rFonts w:hint="eastAsia" w:eastAsiaTheme="minorEastAsia"/>
        </w:rPr>
        <w:instrText xml:space="preserve">REF _Ref527453095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3.3</w:t>
      </w:r>
      <w:r>
        <w:rPr>
          <w:rFonts w:eastAsiaTheme="minorEastAsia"/>
        </w:rPr>
        <w:noBreakHyphen/>
      </w:r>
      <w:r>
        <w:rPr>
          <w:rFonts w:eastAsiaTheme="minorEastAsia"/>
        </w:rPr>
        <w:t>1</w:t>
      </w:r>
      <w:r>
        <w:rPr>
          <w:rFonts w:eastAsiaTheme="minorEastAsia"/>
        </w:rPr>
        <w:fldChar w:fldCharType="end"/>
      </w:r>
      <w:r>
        <w:rPr>
          <w:rFonts w:hint="eastAsia" w:eastAsiaTheme="minorEastAsia"/>
        </w:rPr>
        <w:t>。</w:t>
      </w:r>
    </w:p>
    <w:p>
      <w:pPr>
        <w:pStyle w:val="18"/>
      </w:pPr>
      <w:bookmarkStart w:id="315" w:name="_Ref527725803"/>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4</w:t>
      </w:r>
      <w:r>
        <w:fldChar w:fldCharType="end"/>
      </w:r>
      <w:bookmarkEnd w:id="315"/>
      <w:r>
        <w:rPr>
          <w:rFonts w:hint="eastAsia"/>
        </w:rPr>
        <w:t>地下水监测点位、监测项目及监测时间和频次</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9"/>
        <w:gridCol w:w="1513"/>
        <w:gridCol w:w="776"/>
        <w:gridCol w:w="4124"/>
        <w:gridCol w:w="17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trPr>
        <w:tc>
          <w:tcPr>
            <w:tcW w:w="889" w:type="dxa"/>
            <w:vMerge w:val="restart"/>
            <w:shd w:val="clear" w:color="auto" w:fill="auto"/>
            <w:vAlign w:val="center"/>
          </w:tcPr>
          <w:p>
            <w:pPr>
              <w:pStyle w:val="107"/>
              <w:rPr>
                <w:b/>
              </w:rPr>
            </w:pPr>
            <w:r>
              <w:rPr>
                <w:rFonts w:hint="eastAsia"/>
                <w:b/>
              </w:rPr>
              <w:t>监测点位布设</w:t>
            </w:r>
          </w:p>
        </w:tc>
        <w:tc>
          <w:tcPr>
            <w:tcW w:w="1513" w:type="dxa"/>
            <w:vMerge w:val="restart"/>
            <w:shd w:val="clear" w:color="auto" w:fill="auto"/>
            <w:vAlign w:val="center"/>
          </w:tcPr>
          <w:p>
            <w:pPr>
              <w:pStyle w:val="107"/>
              <w:rPr>
                <w:b/>
              </w:rPr>
            </w:pPr>
            <w:r>
              <w:rPr>
                <w:rFonts w:hint="eastAsia"/>
                <w:b/>
              </w:rPr>
              <w:t>监测点位</w:t>
            </w:r>
          </w:p>
        </w:tc>
        <w:tc>
          <w:tcPr>
            <w:tcW w:w="776" w:type="dxa"/>
            <w:shd w:val="clear" w:color="auto" w:fill="auto"/>
            <w:vAlign w:val="center"/>
          </w:tcPr>
          <w:p>
            <w:pPr>
              <w:pStyle w:val="107"/>
              <w:rPr>
                <w:b/>
              </w:rPr>
            </w:pPr>
            <w:r>
              <w:rPr>
                <w:rFonts w:hint="eastAsia"/>
                <w:b/>
              </w:rPr>
              <w:t>编号</w:t>
            </w:r>
          </w:p>
        </w:tc>
        <w:tc>
          <w:tcPr>
            <w:tcW w:w="4124" w:type="dxa"/>
            <w:shd w:val="clear" w:color="auto" w:fill="auto"/>
            <w:vAlign w:val="center"/>
          </w:tcPr>
          <w:p>
            <w:pPr>
              <w:pStyle w:val="107"/>
              <w:rPr>
                <w:b/>
              </w:rPr>
            </w:pPr>
            <w:r>
              <w:rPr>
                <w:rFonts w:hint="eastAsia"/>
                <w:b/>
              </w:rPr>
              <w:t>监测点位置</w:t>
            </w:r>
          </w:p>
        </w:tc>
        <w:tc>
          <w:tcPr>
            <w:tcW w:w="1758" w:type="dxa"/>
            <w:shd w:val="clear" w:color="auto" w:fill="auto"/>
            <w:vAlign w:val="center"/>
          </w:tcPr>
          <w:p>
            <w:pPr>
              <w:pStyle w:val="107"/>
              <w:rPr>
                <w:b/>
              </w:rPr>
            </w:pPr>
            <w:r>
              <w:rPr>
                <w:rFonts w:hint="eastAsia"/>
                <w:b/>
              </w:rPr>
              <w:t>监测类别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trPr>
        <w:tc>
          <w:tcPr>
            <w:tcW w:w="889" w:type="dxa"/>
            <w:vMerge w:val="continue"/>
            <w:vAlign w:val="center"/>
          </w:tcPr>
          <w:p>
            <w:pPr>
              <w:pStyle w:val="107"/>
              <w:rPr>
                <w:b/>
              </w:rPr>
            </w:pPr>
          </w:p>
        </w:tc>
        <w:tc>
          <w:tcPr>
            <w:tcW w:w="1513" w:type="dxa"/>
            <w:vMerge w:val="continue"/>
            <w:vAlign w:val="center"/>
          </w:tcPr>
          <w:p>
            <w:pPr>
              <w:pStyle w:val="107"/>
              <w:rPr>
                <w:b/>
              </w:rPr>
            </w:pPr>
          </w:p>
        </w:tc>
        <w:tc>
          <w:tcPr>
            <w:tcW w:w="776" w:type="dxa"/>
            <w:shd w:val="clear" w:color="auto" w:fill="auto"/>
            <w:vAlign w:val="center"/>
          </w:tcPr>
          <w:p>
            <w:pPr>
              <w:pStyle w:val="107"/>
            </w:pPr>
            <w:r>
              <w:t>D1</w:t>
            </w:r>
          </w:p>
        </w:tc>
        <w:tc>
          <w:tcPr>
            <w:tcW w:w="4124" w:type="dxa"/>
            <w:shd w:val="clear" w:color="auto" w:fill="auto"/>
            <w:vAlign w:val="center"/>
          </w:tcPr>
          <w:p>
            <w:pPr>
              <w:pStyle w:val="107"/>
              <w:rPr>
                <w:color w:val="000000"/>
                <w:sz w:val="20"/>
                <w:szCs w:val="20"/>
              </w:rPr>
            </w:pPr>
            <w:r>
              <w:rPr>
                <w:rFonts w:hint="eastAsia"/>
              </w:rPr>
              <w:t>项目上游居民取水井</w:t>
            </w:r>
          </w:p>
        </w:tc>
        <w:tc>
          <w:tcPr>
            <w:tcW w:w="1758" w:type="dxa"/>
            <w:shd w:val="clear" w:color="auto" w:fill="auto"/>
            <w:vAlign w:val="center"/>
          </w:tcPr>
          <w:p>
            <w:pPr>
              <w:pStyle w:val="107"/>
            </w:pPr>
            <w:r>
              <w:rPr>
                <w:rFonts w:hint="eastAsia"/>
              </w:rPr>
              <w:t>水质、水位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trPr>
        <w:tc>
          <w:tcPr>
            <w:tcW w:w="889" w:type="dxa"/>
            <w:vMerge w:val="continue"/>
            <w:vAlign w:val="center"/>
          </w:tcPr>
          <w:p>
            <w:pPr>
              <w:pStyle w:val="107"/>
              <w:rPr>
                <w:b/>
              </w:rPr>
            </w:pPr>
          </w:p>
        </w:tc>
        <w:tc>
          <w:tcPr>
            <w:tcW w:w="1513" w:type="dxa"/>
            <w:vMerge w:val="continue"/>
            <w:vAlign w:val="center"/>
          </w:tcPr>
          <w:p>
            <w:pPr>
              <w:pStyle w:val="107"/>
              <w:rPr>
                <w:b/>
              </w:rPr>
            </w:pPr>
          </w:p>
        </w:tc>
        <w:tc>
          <w:tcPr>
            <w:tcW w:w="776" w:type="dxa"/>
            <w:shd w:val="clear" w:color="auto" w:fill="auto"/>
            <w:vAlign w:val="center"/>
          </w:tcPr>
          <w:p>
            <w:pPr>
              <w:pStyle w:val="107"/>
            </w:pPr>
            <w:r>
              <w:t>D2</w:t>
            </w:r>
          </w:p>
        </w:tc>
        <w:tc>
          <w:tcPr>
            <w:tcW w:w="4124" w:type="dxa"/>
            <w:shd w:val="clear" w:color="auto" w:fill="auto"/>
            <w:vAlign w:val="center"/>
          </w:tcPr>
          <w:p>
            <w:pPr>
              <w:pStyle w:val="107"/>
              <w:rPr>
                <w:color w:val="000000"/>
                <w:sz w:val="20"/>
                <w:szCs w:val="20"/>
              </w:rPr>
            </w:pPr>
            <w:r>
              <w:rPr>
                <w:rFonts w:hint="eastAsia"/>
              </w:rPr>
              <w:t>项目下游居民取水井</w:t>
            </w:r>
          </w:p>
        </w:tc>
        <w:tc>
          <w:tcPr>
            <w:tcW w:w="1758" w:type="dxa"/>
            <w:shd w:val="clear" w:color="auto" w:fill="auto"/>
            <w:vAlign w:val="center"/>
          </w:tcPr>
          <w:p>
            <w:pPr>
              <w:pStyle w:val="107"/>
            </w:pPr>
            <w:r>
              <w:rPr>
                <w:rFonts w:hint="eastAsia"/>
              </w:rPr>
              <w:t>水质、水位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trPr>
        <w:tc>
          <w:tcPr>
            <w:tcW w:w="889" w:type="dxa"/>
            <w:vMerge w:val="continue"/>
            <w:vAlign w:val="center"/>
          </w:tcPr>
          <w:p>
            <w:pPr>
              <w:pStyle w:val="107"/>
              <w:rPr>
                <w:b/>
              </w:rPr>
            </w:pPr>
          </w:p>
        </w:tc>
        <w:tc>
          <w:tcPr>
            <w:tcW w:w="1513" w:type="dxa"/>
            <w:shd w:val="clear" w:color="auto" w:fill="auto"/>
            <w:vAlign w:val="center"/>
          </w:tcPr>
          <w:p>
            <w:pPr>
              <w:pStyle w:val="107"/>
              <w:rPr>
                <w:b/>
              </w:rPr>
            </w:pPr>
            <w:r>
              <w:rPr>
                <w:rFonts w:hint="eastAsia"/>
                <w:b/>
              </w:rPr>
              <w:t>采样频次</w:t>
            </w:r>
          </w:p>
        </w:tc>
        <w:tc>
          <w:tcPr>
            <w:tcW w:w="6658" w:type="dxa"/>
            <w:gridSpan w:val="3"/>
            <w:shd w:val="clear" w:color="auto" w:fill="auto"/>
            <w:vAlign w:val="center"/>
          </w:tcPr>
          <w:p>
            <w:pPr>
              <w:pStyle w:val="107"/>
              <w:rPr>
                <w:color w:val="000000"/>
                <w:sz w:val="20"/>
                <w:szCs w:val="20"/>
              </w:rPr>
            </w:pPr>
            <w:r>
              <w:rPr>
                <w:rFonts w:hint="eastAsia"/>
              </w:rPr>
              <w:t>连续采样</w:t>
            </w:r>
            <w:r>
              <w:t>2</w:t>
            </w:r>
            <w:r>
              <w:rPr>
                <w:rFonts w:hint="eastAsia"/>
              </w:rPr>
              <w:t>天，每天采样</w:t>
            </w:r>
            <w:r>
              <w:t>1</w:t>
            </w:r>
            <w:r>
              <w:rPr>
                <w:rFonts w:hint="eastAsia"/>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5" w:hRule="atLeast"/>
        </w:trPr>
        <w:tc>
          <w:tcPr>
            <w:tcW w:w="889" w:type="dxa"/>
            <w:shd w:val="clear" w:color="auto" w:fill="auto"/>
            <w:vAlign w:val="center"/>
          </w:tcPr>
          <w:p>
            <w:pPr>
              <w:pStyle w:val="107"/>
              <w:rPr>
                <w:b/>
              </w:rPr>
            </w:pPr>
            <w:r>
              <w:rPr>
                <w:rFonts w:hint="eastAsia"/>
                <w:b/>
              </w:rPr>
              <w:t>监测</w:t>
            </w:r>
          </w:p>
          <w:p>
            <w:pPr>
              <w:pStyle w:val="107"/>
              <w:rPr>
                <w:b/>
                <w:color w:val="000000"/>
                <w:sz w:val="20"/>
                <w:szCs w:val="20"/>
              </w:rPr>
            </w:pPr>
            <w:r>
              <w:rPr>
                <w:rFonts w:hint="eastAsia"/>
                <w:b/>
              </w:rPr>
              <w:t>项目</w:t>
            </w:r>
          </w:p>
        </w:tc>
        <w:tc>
          <w:tcPr>
            <w:tcW w:w="1513" w:type="dxa"/>
            <w:shd w:val="clear" w:color="auto" w:fill="auto"/>
            <w:vAlign w:val="center"/>
          </w:tcPr>
          <w:p>
            <w:pPr>
              <w:pStyle w:val="107"/>
              <w:rPr>
                <w:b/>
              </w:rPr>
            </w:pPr>
            <w:r>
              <w:rPr>
                <w:rFonts w:hint="eastAsia"/>
                <w:b/>
              </w:rPr>
              <w:t>监测因子</w:t>
            </w:r>
          </w:p>
        </w:tc>
        <w:tc>
          <w:tcPr>
            <w:tcW w:w="6658" w:type="dxa"/>
            <w:gridSpan w:val="3"/>
            <w:shd w:val="clear" w:color="auto" w:fill="auto"/>
            <w:vAlign w:val="center"/>
          </w:tcPr>
          <w:p>
            <w:pPr>
              <w:pStyle w:val="107"/>
              <w:rPr>
                <w:color w:val="000000"/>
                <w:sz w:val="20"/>
                <w:szCs w:val="20"/>
              </w:rPr>
            </w:pPr>
            <w:r>
              <w:t>pH</w:t>
            </w:r>
            <w:r>
              <w:rPr>
                <w:rFonts w:hint="eastAsia"/>
              </w:rPr>
              <w:t>值、氨氮、硝酸盐、亚硝酸盐、挥发性酚类、氰化物、总硬度、铁、溶解性总固体、高锰酸盐指数、砷、汞、铬、铅、氟化物、隔、锰、硫酸盐、总大肠菌群、细菌总数、钴、钼、C</w:t>
            </w:r>
            <w:r>
              <w:t>l</w:t>
            </w:r>
            <w:r>
              <w:rPr>
                <w:vertAlign w:val="superscript"/>
              </w:rPr>
              <w:t>-</w:t>
            </w:r>
            <w:r>
              <w:rPr>
                <w:rFonts w:hint="eastAsia"/>
              </w:rPr>
              <w:t>共</w:t>
            </w:r>
            <w:r>
              <w:t>24</w:t>
            </w:r>
            <w:r>
              <w:rPr>
                <w:rFonts w:hint="eastAsia"/>
              </w:rPr>
              <w:t>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5" w:hRule="atLeast"/>
        </w:trPr>
        <w:tc>
          <w:tcPr>
            <w:tcW w:w="2402" w:type="dxa"/>
            <w:gridSpan w:val="2"/>
            <w:shd w:val="clear" w:color="auto" w:fill="auto"/>
            <w:vAlign w:val="center"/>
          </w:tcPr>
          <w:p>
            <w:pPr>
              <w:pStyle w:val="107"/>
              <w:rPr>
                <w:b/>
              </w:rPr>
            </w:pPr>
            <w:r>
              <w:rPr>
                <w:rFonts w:hint="eastAsia"/>
                <w:b/>
              </w:rPr>
              <w:t>采样日期</w:t>
            </w:r>
          </w:p>
        </w:tc>
        <w:tc>
          <w:tcPr>
            <w:tcW w:w="6658" w:type="dxa"/>
            <w:gridSpan w:val="3"/>
            <w:shd w:val="clear" w:color="auto" w:fill="auto"/>
            <w:vAlign w:val="center"/>
          </w:tcPr>
          <w:p>
            <w:pPr>
              <w:pStyle w:val="107"/>
              <w:rPr>
                <w:color w:val="000000"/>
                <w:sz w:val="20"/>
                <w:szCs w:val="20"/>
              </w:rPr>
            </w:pPr>
            <w:r>
              <w:t>2019</w:t>
            </w:r>
            <w:r>
              <w:rPr>
                <w:rFonts w:hint="eastAsia"/>
              </w:rPr>
              <w:t>年</w:t>
            </w:r>
            <w:r>
              <w:t>04</w:t>
            </w:r>
            <w:r>
              <w:rPr>
                <w:rFonts w:hint="eastAsia"/>
              </w:rPr>
              <w:t>月</w:t>
            </w:r>
            <w:r>
              <w:t>24</w:t>
            </w:r>
            <w:r>
              <w:rPr>
                <w:rFonts w:hint="eastAsia"/>
              </w:rPr>
              <w:t>日</w:t>
            </w:r>
            <w:r>
              <w:t>~04</w:t>
            </w:r>
            <w:r>
              <w:rPr>
                <w:rFonts w:hint="eastAsia"/>
              </w:rPr>
              <w:t>月</w:t>
            </w:r>
            <w:r>
              <w:t>26</w:t>
            </w:r>
            <w:r>
              <w:rPr>
                <w:rFonts w:hint="eastAsia"/>
              </w:rPr>
              <w:t>日</w:t>
            </w:r>
          </w:p>
        </w:tc>
      </w:tr>
    </w:tbl>
    <w:p>
      <w:pPr>
        <w:pStyle w:val="126"/>
        <w:numPr>
          <w:ilvl w:val="0"/>
          <w:numId w:val="41"/>
        </w:numPr>
        <w:ind w:firstLine="482"/>
        <w:rPr>
          <w:rFonts w:eastAsiaTheme="minorEastAsia"/>
        </w:rPr>
      </w:pPr>
      <w:bookmarkStart w:id="316" w:name="_Toc331536164"/>
      <w:r>
        <w:rPr>
          <w:rFonts w:hint="eastAsia" w:eastAsiaTheme="minorEastAsia"/>
        </w:rPr>
        <w:t>调查项目</w:t>
      </w:r>
      <w:r>
        <w:rPr>
          <w:rFonts w:eastAsiaTheme="minorEastAsia"/>
        </w:rPr>
        <w:t>分析方法</w:t>
      </w:r>
      <w:bookmarkEnd w:id="316"/>
    </w:p>
    <w:p>
      <w:pPr>
        <w:ind w:firstLine="480"/>
        <w:rPr>
          <w:rFonts w:eastAsiaTheme="minorEastAsia"/>
          <w:lang w:val="zh-CN"/>
        </w:rPr>
      </w:pPr>
      <w:r>
        <w:rPr>
          <w:rFonts w:hint="eastAsia" w:eastAsiaTheme="minorEastAsia"/>
          <w:lang w:val="zh-CN"/>
        </w:rPr>
        <w:t>采样方法、样品管理和化学分析</w:t>
      </w:r>
      <w:r>
        <w:rPr>
          <w:rFonts w:eastAsiaTheme="minorEastAsia"/>
          <w:lang w:val="zh-CN"/>
        </w:rPr>
        <w:t>按照</w:t>
      </w:r>
      <w:r>
        <w:rPr>
          <w:rFonts w:hint="eastAsia" w:eastAsiaTheme="minorEastAsia"/>
          <w:lang w:val="zh-CN"/>
        </w:rPr>
        <w:t>原</w:t>
      </w:r>
      <w:r>
        <w:rPr>
          <w:rFonts w:eastAsiaTheme="minorEastAsia"/>
          <w:lang w:val="zh-CN"/>
        </w:rPr>
        <w:t>国家环保</w:t>
      </w:r>
      <w:r>
        <w:rPr>
          <w:rFonts w:hint="eastAsia" w:eastAsiaTheme="minorEastAsia"/>
          <w:lang w:val="zh-CN"/>
        </w:rPr>
        <w:t>总局</w:t>
      </w:r>
      <w:r>
        <w:rPr>
          <w:rFonts w:eastAsiaTheme="minorEastAsia"/>
          <w:lang w:val="zh-CN"/>
        </w:rPr>
        <w:t>发布的《地下水环境监测技术规范》</w:t>
      </w:r>
      <w:r>
        <w:rPr>
          <w:rFonts w:hint="eastAsia" w:eastAsiaTheme="minorEastAsia"/>
          <w:lang w:val="zh-CN"/>
        </w:rPr>
        <w:t>（HJ/T</w:t>
      </w:r>
      <w:r>
        <w:rPr>
          <w:rFonts w:eastAsiaTheme="minorEastAsia"/>
          <w:lang w:val="zh-CN"/>
        </w:rPr>
        <w:t xml:space="preserve"> </w:t>
      </w:r>
      <w:r>
        <w:rPr>
          <w:rFonts w:hint="eastAsia" w:eastAsiaTheme="minorEastAsia"/>
          <w:lang w:val="zh-CN"/>
        </w:rPr>
        <w:t>164-2004）及《生活饮用水标准检验方法》（</w:t>
      </w:r>
      <w:r>
        <w:rPr>
          <w:rFonts w:eastAsiaTheme="minorEastAsia"/>
          <w:lang w:val="zh-CN"/>
        </w:rPr>
        <w:t>GB/T 5750</w:t>
      </w:r>
      <w:r>
        <w:rPr>
          <w:rFonts w:hint="eastAsia" w:eastAsiaTheme="minorEastAsia"/>
          <w:lang w:val="zh-CN"/>
        </w:rPr>
        <w:t>）</w:t>
      </w:r>
      <w:r>
        <w:rPr>
          <w:rFonts w:eastAsiaTheme="minorEastAsia"/>
          <w:lang w:val="zh-CN"/>
        </w:rPr>
        <w:t>中规定或推荐的标准分析方法</w:t>
      </w:r>
      <w:r>
        <w:rPr>
          <w:rFonts w:hint="eastAsia" w:eastAsiaTheme="minorEastAsia"/>
          <w:lang w:val="zh-CN"/>
        </w:rPr>
        <w:t>进行。地下水水质分析方法及检出限详</w:t>
      </w:r>
      <w:r>
        <w:rPr>
          <w:rFonts w:eastAsiaTheme="minorEastAsia"/>
          <w:lang w:val="zh-CN"/>
        </w:rPr>
        <w:t>见</w:t>
      </w:r>
      <w:r>
        <w:rPr>
          <w:rFonts w:eastAsiaTheme="minorEastAsia"/>
          <w:lang w:val="zh-CN"/>
        </w:rPr>
        <w:fldChar w:fldCharType="begin"/>
      </w:r>
      <w:r>
        <w:rPr>
          <w:rFonts w:eastAsiaTheme="minorEastAsia"/>
          <w:lang w:val="zh-CN"/>
        </w:rPr>
        <w:instrText xml:space="preserve"> REF _Ref527725838 \h  \* MERGEFORMAT </w:instrText>
      </w:r>
      <w:r>
        <w:rPr>
          <w:rFonts w:eastAsiaTheme="minorEastAsia"/>
          <w:lang w:val="zh-CN"/>
        </w:rPr>
        <w:fldChar w:fldCharType="separate"/>
      </w:r>
      <w:r>
        <w:rPr>
          <w:rFonts w:hint="eastAsia" w:eastAsiaTheme="minorEastAsia"/>
        </w:rPr>
        <w:t xml:space="preserve">表 </w:t>
      </w:r>
      <w:r>
        <w:rPr>
          <w:rFonts w:eastAsiaTheme="minorEastAsia"/>
        </w:rPr>
        <w:t>3.3</w:t>
      </w:r>
      <w:r>
        <w:rPr>
          <w:rFonts w:eastAsiaTheme="minorEastAsia"/>
        </w:rPr>
        <w:noBreakHyphen/>
      </w:r>
      <w:r>
        <w:rPr>
          <w:rFonts w:eastAsiaTheme="minorEastAsia"/>
        </w:rPr>
        <w:t>5</w:t>
      </w:r>
      <w:r>
        <w:rPr>
          <w:rFonts w:eastAsiaTheme="minorEastAsia"/>
          <w:lang w:val="zh-CN"/>
        </w:rPr>
        <w:fldChar w:fldCharType="end"/>
      </w:r>
      <w:r>
        <w:rPr>
          <w:rFonts w:hint="eastAsia" w:eastAsiaTheme="minorEastAsia"/>
          <w:lang w:val="zh-CN"/>
        </w:rPr>
        <w:t>。</w:t>
      </w:r>
    </w:p>
    <w:p>
      <w:pPr>
        <w:pStyle w:val="18"/>
      </w:pPr>
      <w:bookmarkStart w:id="317" w:name="_Ref527725838"/>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5</w:t>
      </w:r>
      <w:r>
        <w:fldChar w:fldCharType="end"/>
      </w:r>
      <w:bookmarkEnd w:id="317"/>
      <w:r>
        <w:rPr>
          <w:rFonts w:hint="eastAsia"/>
        </w:rPr>
        <w:t>地下水水质监测因子分析方法及检出下限</w:t>
      </w:r>
    </w:p>
    <w:tbl>
      <w:tblPr>
        <w:tblStyle w:val="56"/>
        <w:tblW w:w="907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5"/>
        <w:gridCol w:w="1490"/>
        <w:gridCol w:w="2677"/>
        <w:gridCol w:w="2852"/>
        <w:gridCol w:w="15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1"/>
              <w:spacing w:line="240" w:lineRule="auto"/>
              <w:ind w:firstLine="482"/>
              <w:rPr>
                <w:b/>
                <w:spacing w:val="0"/>
              </w:rPr>
            </w:pPr>
            <w:r>
              <w:rPr>
                <w:b/>
                <w:spacing w:val="0"/>
              </w:rPr>
              <w:t>污染物</w:t>
            </w:r>
          </w:p>
        </w:tc>
        <w:tc>
          <w:tcPr>
            <w:tcW w:w="2677" w:type="dxa"/>
            <w:vAlign w:val="center"/>
          </w:tcPr>
          <w:p>
            <w:pPr>
              <w:pStyle w:val="181"/>
              <w:spacing w:line="240" w:lineRule="auto"/>
              <w:ind w:firstLine="482"/>
              <w:rPr>
                <w:b/>
                <w:spacing w:val="0"/>
              </w:rPr>
            </w:pPr>
            <w:r>
              <w:rPr>
                <w:b/>
                <w:spacing w:val="0"/>
              </w:rPr>
              <w:t>监测方法</w:t>
            </w:r>
          </w:p>
        </w:tc>
        <w:tc>
          <w:tcPr>
            <w:tcW w:w="2852" w:type="dxa"/>
            <w:vAlign w:val="center"/>
          </w:tcPr>
          <w:p>
            <w:pPr>
              <w:pStyle w:val="181"/>
              <w:spacing w:line="240" w:lineRule="auto"/>
              <w:ind w:firstLine="482"/>
              <w:rPr>
                <w:b/>
                <w:spacing w:val="0"/>
              </w:rPr>
            </w:pPr>
            <w:r>
              <w:rPr>
                <w:b/>
                <w:spacing w:val="0"/>
              </w:rPr>
              <w:t>方法来源</w:t>
            </w:r>
          </w:p>
        </w:tc>
        <w:tc>
          <w:tcPr>
            <w:tcW w:w="1556" w:type="dxa"/>
            <w:vAlign w:val="center"/>
          </w:tcPr>
          <w:p>
            <w:pPr>
              <w:pStyle w:val="181"/>
              <w:spacing w:line="240" w:lineRule="auto"/>
              <w:ind w:firstLine="482"/>
              <w:rPr>
                <w:b/>
                <w:spacing w:val="0"/>
              </w:rPr>
            </w:pPr>
            <w:r>
              <w:rPr>
                <w:b/>
                <w:spacing w:val="0"/>
              </w:rPr>
              <w:t>方法检出限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pH值</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玻璃电极法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5750.4-2006（5.1）</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0.01（无量纲）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氨氮</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纳氏试剂分光光度法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HJ535-2009</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硝酸盐氮</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离子色谱法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5750.5-2006（3.2）</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0.15mg/L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亚硝酸盐氮</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分光光度法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7493-1987</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挥发性酚类</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4-氨基安替比林分光光度法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HJ503-2009</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0.0003mg/L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总硬度</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乙二胺四乙酸二钠滴定法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5750.4-2006（1.1）</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1.0mg/L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溶解性总固体</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称量法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5750.4-2006 (8.1)</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高锰酸盐指数</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高锰酸盐指数法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11892-1989</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硫酸盐、硫酸根离子</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离子色谱法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5750.5-2006（3.2）</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0.75mg/L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氯化物、氯离子</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离子色谱法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5750.5-2006（3.2）</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0.15mg/L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氰化物</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异烟酸-吡唑酮分光光度法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5750.5-2006 (4.1)</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氟化物</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离子色谱法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5750.5-2006（3.2）</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砷</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二乙基二硫代氨基甲酸银分光光度法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GB/T7485-1987</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0.007mg/L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汞</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冷原子吸收分光度法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HJ597-2011</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0.02μg/L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镉</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无火焰原子吸收分光光度法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5750.6-2006（9.1）</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0.5μg/L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铅</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无火焰原子吸收分光光度法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5750.6-2006（11.1）</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2.5μg/L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六价铬</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二苯碳酰二肼分光光度法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5750.6-2006 (10.1)</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0.004mg/L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钾</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原子吸收分光光度法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GB/T11904-1989</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钠</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原子吸收分光光度法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GB/T11904-1989</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钙</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电感耦合等离子发射光谱法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5750.6-2006(1.4)</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11μg/L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镁</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电感耦合等离子发射光谱法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5750.6-2006(1.4)</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13μg/L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95" w:type="dxa"/>
            <w:vMerge w:val="restart"/>
            <w:vAlign w:val="center"/>
          </w:tcPr>
          <w:p>
            <w:pPr>
              <w:pStyle w:val="180"/>
              <w:spacing w:beforeLines="0" w:afterLines="0"/>
              <w:ind w:firstLine="0" w:firstLineChars="0"/>
              <w:rPr>
                <w:rFonts w:cs="Times New Roman"/>
                <w:snapToGrid/>
                <w:szCs w:val="21"/>
              </w:rPr>
            </w:pPr>
            <w:r>
              <w:rPr>
                <w:rFonts w:cs="Times New Roman"/>
                <w:snapToGrid/>
                <w:szCs w:val="21"/>
              </w:rPr>
              <w:t>碱度</w:t>
            </w:r>
          </w:p>
        </w:tc>
        <w:tc>
          <w:tcPr>
            <w:tcW w:w="1490" w:type="dxa"/>
            <w:vAlign w:val="center"/>
          </w:tcPr>
          <w:p>
            <w:pPr>
              <w:pStyle w:val="180"/>
              <w:spacing w:beforeLines="0" w:afterLines="0"/>
              <w:ind w:firstLine="0" w:firstLineChars="0"/>
              <w:rPr>
                <w:rFonts w:cs="Times New Roman"/>
                <w:snapToGrid/>
                <w:szCs w:val="21"/>
              </w:rPr>
            </w:pPr>
            <w:r>
              <w:rPr>
                <w:rFonts w:cs="Times New Roman"/>
                <w:snapToGrid/>
                <w:szCs w:val="21"/>
              </w:rPr>
              <w:t>碳酸盐(CO3</w:t>
            </w:r>
            <w:r>
              <w:rPr>
                <w:rFonts w:cs="Times New Roman"/>
                <w:snapToGrid/>
                <w:szCs w:val="21"/>
                <w:vertAlign w:val="superscript"/>
              </w:rPr>
              <w:t>2-</w:t>
            </w:r>
            <w:r>
              <w:rPr>
                <w:rFonts w:cs="Times New Roman"/>
                <w:snapToGrid/>
                <w:szCs w:val="21"/>
              </w:rPr>
              <w:t>)</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酸碱指示剂滴定法</w:t>
            </w:r>
          </w:p>
        </w:tc>
        <w:tc>
          <w:tcPr>
            <w:tcW w:w="2852" w:type="dxa"/>
            <w:vMerge w:val="restart"/>
            <w:vAlign w:val="center"/>
          </w:tcPr>
          <w:p>
            <w:pPr>
              <w:pStyle w:val="180"/>
              <w:spacing w:beforeLines="0" w:afterLines="0"/>
              <w:ind w:firstLine="0" w:firstLineChars="0"/>
              <w:rPr>
                <w:rFonts w:cs="Times New Roman"/>
                <w:snapToGrid/>
                <w:szCs w:val="21"/>
              </w:rPr>
            </w:pPr>
            <w:r>
              <w:rPr>
                <w:rFonts w:cs="Times New Roman"/>
                <w:snapToGrid/>
                <w:szCs w:val="21"/>
              </w:rPr>
              <w:t>《水和废水监测分析方法》（第四版增补版）</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495" w:type="dxa"/>
            <w:vMerge w:val="continue"/>
            <w:vAlign w:val="center"/>
          </w:tcPr>
          <w:p>
            <w:pPr>
              <w:pStyle w:val="180"/>
              <w:spacing w:beforeLines="0" w:afterLines="0"/>
              <w:ind w:firstLine="0" w:firstLineChars="0"/>
              <w:rPr>
                <w:rFonts w:cs="Times New Roman"/>
                <w:snapToGrid/>
                <w:szCs w:val="21"/>
              </w:rPr>
            </w:pPr>
          </w:p>
        </w:tc>
        <w:tc>
          <w:tcPr>
            <w:tcW w:w="1490" w:type="dxa"/>
            <w:vAlign w:val="center"/>
          </w:tcPr>
          <w:p>
            <w:pPr>
              <w:pStyle w:val="180"/>
              <w:spacing w:beforeLines="0" w:afterLines="0"/>
              <w:ind w:firstLine="0" w:firstLineChars="0"/>
              <w:rPr>
                <w:rFonts w:cs="Times New Roman"/>
                <w:snapToGrid/>
                <w:szCs w:val="21"/>
              </w:rPr>
            </w:pPr>
            <w:r>
              <w:rPr>
                <w:rFonts w:cs="Times New Roman"/>
                <w:snapToGrid/>
                <w:szCs w:val="21"/>
              </w:rPr>
              <w:t>重碳酸(HCO</w:t>
            </w:r>
            <w:r>
              <w:rPr>
                <w:rFonts w:cs="Times New Roman"/>
                <w:snapToGrid/>
                <w:szCs w:val="21"/>
                <w:vertAlign w:val="superscript"/>
              </w:rPr>
              <w:t>3-</w:t>
            </w:r>
            <w:r>
              <w:rPr>
                <w:rFonts w:cs="Times New Roman"/>
                <w:snapToGrid/>
                <w:szCs w:val="21"/>
              </w:rPr>
              <w:t>)</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酸碱指示剂滴定法</w:t>
            </w:r>
          </w:p>
        </w:tc>
        <w:tc>
          <w:tcPr>
            <w:tcW w:w="2852" w:type="dxa"/>
            <w:vMerge w:val="continue"/>
            <w:vAlign w:val="center"/>
          </w:tcPr>
          <w:p>
            <w:pPr>
              <w:pStyle w:val="180"/>
              <w:spacing w:beforeLines="0" w:afterLines="0"/>
              <w:ind w:firstLine="0" w:firstLineChars="0"/>
              <w:rPr>
                <w:rFonts w:cs="Times New Roman"/>
                <w:snapToGrid/>
                <w:szCs w:val="21"/>
              </w:rPr>
            </w:pP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铁</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火焰原子吸收分光光度法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GB/T11911-1989</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锰</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电感耦合等离子发射光谱法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5750.6-2006(1.4)</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0.5μg/L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总大肠菌群</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滤膜法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5750.12-2006（2.2）</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985" w:type="dxa"/>
            <w:gridSpan w:val="2"/>
            <w:vAlign w:val="center"/>
          </w:tcPr>
          <w:p>
            <w:pPr>
              <w:pStyle w:val="180"/>
              <w:spacing w:beforeLines="0" w:afterLines="0"/>
              <w:ind w:firstLine="0" w:firstLineChars="0"/>
              <w:rPr>
                <w:rFonts w:cs="Times New Roman"/>
                <w:snapToGrid/>
                <w:szCs w:val="21"/>
              </w:rPr>
            </w:pPr>
            <w:r>
              <w:rPr>
                <w:rFonts w:cs="Times New Roman"/>
                <w:snapToGrid/>
                <w:szCs w:val="21"/>
              </w:rPr>
              <w:t>细菌总数</w:t>
            </w:r>
          </w:p>
        </w:tc>
        <w:tc>
          <w:tcPr>
            <w:tcW w:w="2677" w:type="dxa"/>
            <w:vAlign w:val="center"/>
          </w:tcPr>
          <w:p>
            <w:pPr>
              <w:pStyle w:val="180"/>
              <w:spacing w:beforeLines="0" w:afterLines="0"/>
              <w:ind w:firstLine="0" w:firstLineChars="0"/>
              <w:rPr>
                <w:rFonts w:cs="Times New Roman"/>
                <w:snapToGrid/>
                <w:szCs w:val="21"/>
              </w:rPr>
            </w:pPr>
            <w:r>
              <w:rPr>
                <w:rFonts w:cs="Times New Roman"/>
                <w:snapToGrid/>
                <w:szCs w:val="21"/>
              </w:rPr>
              <w:t>平皿计数法</w:t>
            </w:r>
          </w:p>
        </w:tc>
        <w:tc>
          <w:tcPr>
            <w:tcW w:w="2852" w:type="dxa"/>
            <w:vAlign w:val="center"/>
          </w:tcPr>
          <w:p>
            <w:pPr>
              <w:pStyle w:val="180"/>
              <w:spacing w:beforeLines="0" w:afterLines="0"/>
              <w:ind w:firstLine="0" w:firstLineChars="0"/>
              <w:rPr>
                <w:rFonts w:cs="Times New Roman"/>
                <w:snapToGrid/>
                <w:szCs w:val="21"/>
              </w:rPr>
            </w:pPr>
            <w:r>
              <w:rPr>
                <w:rFonts w:cs="Times New Roman"/>
                <w:snapToGrid/>
                <w:szCs w:val="21"/>
              </w:rPr>
              <w:t>GB/T 5750.12-2006（1.1）</w:t>
            </w:r>
          </w:p>
        </w:tc>
        <w:tc>
          <w:tcPr>
            <w:tcW w:w="1556" w:type="dxa"/>
            <w:vAlign w:val="center"/>
          </w:tcPr>
          <w:p>
            <w:pPr>
              <w:pStyle w:val="180"/>
              <w:spacing w:beforeLines="0" w:afterLines="0"/>
              <w:ind w:firstLine="0" w:firstLineChars="0"/>
              <w:rPr>
                <w:rFonts w:cs="Times New Roman"/>
                <w:snapToGrid/>
                <w:szCs w:val="21"/>
              </w:rPr>
            </w:pPr>
            <w:r>
              <w:rPr>
                <w:rFonts w:cs="Times New Roman"/>
                <w:snapToGrid/>
                <w:szCs w:val="21"/>
              </w:rPr>
              <w:t>/</w:t>
            </w:r>
          </w:p>
        </w:tc>
      </w:tr>
    </w:tbl>
    <w:p>
      <w:pPr>
        <w:pStyle w:val="2"/>
      </w:pPr>
    </w:p>
    <w:p>
      <w:pPr>
        <w:pStyle w:val="6"/>
      </w:pPr>
      <w:r>
        <w:rPr>
          <w:rFonts w:hint="eastAsia"/>
        </w:rPr>
        <w:t>地下水环境质量现状评价</w:t>
      </w:r>
    </w:p>
    <w:p>
      <w:pPr>
        <w:pStyle w:val="126"/>
        <w:numPr>
          <w:ilvl w:val="0"/>
          <w:numId w:val="42"/>
        </w:numPr>
        <w:ind w:firstLine="482"/>
        <w:rPr>
          <w:rFonts w:eastAsiaTheme="minorEastAsia"/>
        </w:rPr>
      </w:pPr>
      <w:bookmarkStart w:id="318" w:name="_Toc331536165"/>
      <w:r>
        <w:rPr>
          <w:rFonts w:hint="eastAsia" w:eastAsiaTheme="minorEastAsia"/>
        </w:rPr>
        <w:t>评价标准</w:t>
      </w:r>
    </w:p>
    <w:p>
      <w:pPr>
        <w:ind w:firstLine="480"/>
        <w:rPr>
          <w:rFonts w:eastAsiaTheme="minorEastAsia"/>
        </w:rPr>
      </w:pPr>
      <w:r>
        <w:rPr>
          <w:rFonts w:hint="eastAsia" w:cs="Times New Roman" w:eastAsiaTheme="minorEastAsia"/>
        </w:rPr>
        <w:t>采用《地下水质量标准》（</w:t>
      </w:r>
      <w:r>
        <w:rPr>
          <w:rFonts w:cs="Times New Roman" w:eastAsiaTheme="minorEastAsia"/>
        </w:rPr>
        <w:t>GB/T 14848-2017</w:t>
      </w:r>
      <w:r>
        <w:rPr>
          <w:rFonts w:hint="eastAsia" w:cs="Times New Roman" w:eastAsiaTheme="minorEastAsia"/>
        </w:rPr>
        <w:t>）中的</w:t>
      </w:r>
      <w:r>
        <w:rPr>
          <w:rFonts w:cs="Times New Roman" w:eastAsiaTheme="minorEastAsia"/>
        </w:rPr>
        <w:t>III</w:t>
      </w:r>
      <w:r>
        <w:rPr>
          <w:rFonts w:hint="eastAsia" w:eastAsiaTheme="minorEastAsia"/>
        </w:rPr>
        <w:t>类水质标准进行评价。</w:t>
      </w:r>
      <w:r>
        <w:rPr>
          <w:rFonts w:cs="Times New Roman" w:eastAsiaTheme="minorEastAsia"/>
        </w:rPr>
        <w:t>具体标准</w:t>
      </w:r>
      <w:r>
        <w:rPr>
          <w:rFonts w:hint="eastAsia" w:cs="Times New Roman" w:eastAsiaTheme="minorEastAsia"/>
        </w:rPr>
        <w:t>限</w:t>
      </w:r>
      <w:r>
        <w:rPr>
          <w:rFonts w:cs="Times New Roman" w:eastAsiaTheme="minorEastAsia"/>
        </w:rPr>
        <w:t>值见</w:t>
      </w:r>
      <w:r>
        <w:rPr>
          <w:rFonts w:cs="Times New Roman" w:eastAsiaTheme="minorEastAsia"/>
        </w:rPr>
        <w:fldChar w:fldCharType="begin"/>
      </w:r>
      <w:r>
        <w:rPr>
          <w:rFonts w:cs="Times New Roman" w:eastAsiaTheme="minorEastAsia"/>
        </w:rPr>
        <w:instrText xml:space="preserve"> REF _Ref522029834 \h  \* MERGEFORMAT </w:instrText>
      </w:r>
      <w:r>
        <w:rPr>
          <w:rFonts w:cs="Times New Roman" w:eastAsiaTheme="minorEastAsia"/>
        </w:rPr>
        <w:fldChar w:fldCharType="separate"/>
      </w:r>
      <w:r>
        <w:rPr>
          <w:rFonts w:hint="eastAsia" w:eastAsiaTheme="minorEastAsia"/>
        </w:rPr>
        <w:t xml:space="preserve">表 </w:t>
      </w:r>
      <w:r>
        <w:rPr>
          <w:rFonts w:eastAsiaTheme="minorEastAsia"/>
        </w:rPr>
        <w:t>1.4</w:t>
      </w:r>
      <w:r>
        <w:rPr>
          <w:rFonts w:eastAsiaTheme="minorEastAsia"/>
        </w:rPr>
        <w:noBreakHyphen/>
      </w:r>
      <w:r>
        <w:rPr>
          <w:rFonts w:eastAsiaTheme="minorEastAsia"/>
        </w:rPr>
        <w:t>2</w:t>
      </w:r>
      <w:r>
        <w:rPr>
          <w:rFonts w:cs="Times New Roman" w:eastAsiaTheme="minorEastAsia"/>
        </w:rPr>
        <w:fldChar w:fldCharType="end"/>
      </w:r>
      <w:r>
        <w:rPr>
          <w:rFonts w:hint="eastAsia" w:eastAsiaTheme="minorEastAsia"/>
        </w:rPr>
        <w:t>。</w:t>
      </w:r>
    </w:p>
    <w:p>
      <w:pPr>
        <w:pStyle w:val="126"/>
        <w:numPr>
          <w:ilvl w:val="0"/>
          <w:numId w:val="42"/>
        </w:numPr>
        <w:ind w:firstLine="482"/>
        <w:rPr>
          <w:rFonts w:eastAsiaTheme="minorEastAsia"/>
        </w:rPr>
      </w:pPr>
      <w:r>
        <w:rPr>
          <w:rFonts w:eastAsiaTheme="minorEastAsia"/>
        </w:rPr>
        <w:t>水质现状评价方法</w:t>
      </w:r>
      <w:bookmarkEnd w:id="318"/>
    </w:p>
    <w:p>
      <w:pPr>
        <w:ind w:firstLine="480"/>
      </w:pPr>
      <w:r>
        <w:t>采用</w:t>
      </w:r>
      <w:r>
        <w:rPr>
          <w:rFonts w:hint="eastAsia"/>
        </w:rPr>
        <w:t>《环境影响评价技术导则 地下水环境》（HJ 610-2016）推荐的</w:t>
      </w:r>
      <w:r>
        <w:t>标准指数法对水质现状进行评价</w:t>
      </w:r>
      <w:r>
        <w:rPr>
          <w:rFonts w:hint="eastAsia"/>
        </w:rPr>
        <w:t>。现状监测结果应进行统计分析，给出最大值、最小值、均值、标准差、检出率和超标率等。</w:t>
      </w:r>
    </w:p>
    <w:p>
      <w:pPr>
        <w:ind w:firstLine="480"/>
      </w:pPr>
      <w:r>
        <w:rPr>
          <w:rFonts w:hint="eastAsia"/>
        </w:rPr>
        <w:t>标准指数&gt;1，表明该水质因子已超标，标准指数越大，超标越严重。</w:t>
      </w:r>
      <w:r>
        <w:t>对于所有未检出的项目，其含量取最低检出限的一半值进行单因子指数计算。</w:t>
      </w:r>
      <w:r>
        <w:rPr>
          <w:rFonts w:hint="eastAsia"/>
        </w:rPr>
        <w:t>标准指数计算公式分为以下两种情况。</w:t>
      </w:r>
    </w:p>
    <w:p>
      <w:pPr>
        <w:ind w:firstLine="480"/>
      </w:pPr>
      <w:r>
        <w:rPr>
          <w:rFonts w:hint="eastAsia"/>
        </w:rPr>
        <w:t>对于评价标准为定值的水质因子，其标准指数计算方法如下。</w:t>
      </w:r>
    </w:p>
    <w:p>
      <w:pPr>
        <w:tabs>
          <w:tab w:val="left" w:pos="7560"/>
        </w:tabs>
        <w:autoSpaceDE w:val="0"/>
        <w:autoSpaceDN w:val="0"/>
        <w:spacing w:before="156" w:beforeLines="50"/>
        <w:ind w:firstLine="480"/>
        <w:jc w:val="center"/>
        <w:rPr>
          <w:rFonts w:eastAsiaTheme="minorEastAsia"/>
        </w:rPr>
      </w:pPr>
      <m:oMathPara>
        <m:oMath>
          <m:sSub>
            <m:sSubPr>
              <m:ctrlPr>
                <w:rPr>
                  <w:rFonts w:ascii="Cambria Math" w:hAnsi="Cambria Math" w:eastAsiaTheme="minorEastAsia"/>
                </w:rPr>
              </m:ctrlPr>
            </m:sSubPr>
            <m:e>
              <m:r>
                <w:rPr>
                  <w:rFonts w:hint="eastAsia" w:ascii="Cambria Math" w:hAnsi="Cambria Math" w:eastAsiaTheme="minorEastAsia"/>
                </w:rPr>
                <m:t>P</m:t>
              </m:r>
              <m:ctrlPr>
                <w:rPr>
                  <w:rFonts w:hint="eastAsia" w:ascii="Cambria Math" w:hAnsi="Cambria Math" w:eastAsiaTheme="minorEastAsia"/>
                  <w:i/>
                </w:rPr>
              </m:ctrlPr>
            </m:e>
            <m:sub>
              <m:r>
                <w:rPr>
                  <w:rFonts w:hint="eastAsia" w:ascii="Cambria Math" w:hAnsi="Cambria Math" w:eastAsiaTheme="minorEastAsia"/>
                </w:rPr>
                <m:t>i</m:t>
              </m:r>
              <m:ctrlPr>
                <w:rPr>
                  <w:rFonts w:ascii="Cambria Math" w:hAnsi="Cambria Math" w:eastAsiaTheme="minorEastAsia"/>
                </w:rPr>
              </m:ctrlPr>
            </m:sub>
          </m:sSub>
          <m:r>
            <w:rPr>
              <w:rFonts w:ascii="Cambria Math" w:hAnsi="Cambria Math" w:eastAsiaTheme="minorEastAsia"/>
            </w:rPr>
            <m:t>=</m:t>
          </m:r>
          <m:f>
            <m:fPr>
              <m:ctrlPr>
                <w:rPr>
                  <w:rFonts w:ascii="Cambria Math" w:hAnsi="Cambria Math" w:eastAsiaTheme="minorEastAsia"/>
                  <w:i/>
                </w:rPr>
              </m:ctrlPr>
            </m:fPr>
            <m:num>
              <m:sSub>
                <m:sSubPr>
                  <m:ctrlPr>
                    <w:rPr>
                      <w:rFonts w:ascii="Cambria Math" w:hAnsi="Cambria Math" w:eastAsiaTheme="minorEastAsia"/>
                      <w:i/>
                    </w:rPr>
                  </m:ctrlPr>
                </m:sSubPr>
                <m:e>
                  <m:r>
                    <w:rPr>
                      <w:rFonts w:ascii="Cambria Math" w:hAnsi="Cambria Math" w:eastAsiaTheme="minorEastAsia"/>
                    </w:rPr>
                    <m:t>C</m:t>
                  </m:r>
                  <m:ctrlPr>
                    <w:rPr>
                      <w:rFonts w:ascii="Cambria Math" w:hAnsi="Cambria Math" w:eastAsiaTheme="minorEastAsia"/>
                      <w:i/>
                    </w:rPr>
                  </m:ctrlPr>
                </m:e>
                <m:sub>
                  <m:r>
                    <w:rPr>
                      <w:rFonts w:ascii="Cambria Math" w:hAnsi="Cambria Math" w:eastAsiaTheme="minorEastAsia"/>
                    </w:rPr>
                    <m:t>i</m:t>
                  </m:r>
                  <m:ctrlPr>
                    <w:rPr>
                      <w:rFonts w:ascii="Cambria Math" w:hAnsi="Cambria Math" w:eastAsiaTheme="minorEastAsia"/>
                      <w:i/>
                    </w:rPr>
                  </m:ctrlPr>
                </m:sub>
              </m:sSub>
              <m:ctrlPr>
                <w:rPr>
                  <w:rFonts w:ascii="Cambria Math" w:hAnsi="Cambria Math" w:eastAsiaTheme="minorEastAsia"/>
                  <w:i/>
                </w:rPr>
              </m:ctrlPr>
            </m:num>
            <m:den>
              <m:sSub>
                <m:sSubPr>
                  <m:ctrlPr>
                    <w:rPr>
                      <w:rFonts w:ascii="Cambria Math" w:hAnsi="Cambria Math" w:eastAsiaTheme="minorEastAsia"/>
                      <w:i/>
                    </w:rPr>
                  </m:ctrlPr>
                </m:sSubPr>
                <m:e>
                  <m:r>
                    <w:rPr>
                      <w:rFonts w:ascii="Cambria Math" w:hAnsi="Cambria Math" w:eastAsiaTheme="minorEastAsia"/>
                    </w:rPr>
                    <m:t>C</m:t>
                  </m:r>
                  <m:ctrlPr>
                    <w:rPr>
                      <w:rFonts w:ascii="Cambria Math" w:hAnsi="Cambria Math" w:eastAsiaTheme="minorEastAsia"/>
                      <w:i/>
                    </w:rPr>
                  </m:ctrlPr>
                </m:e>
                <m:sub>
                  <m:r>
                    <w:rPr>
                      <w:rFonts w:ascii="Cambria Math" w:hAnsi="Cambria Math" w:eastAsiaTheme="minorEastAsia"/>
                    </w:rPr>
                    <m:t>si</m:t>
                  </m:r>
                  <m:ctrlPr>
                    <w:rPr>
                      <w:rFonts w:ascii="Cambria Math" w:hAnsi="Cambria Math" w:eastAsiaTheme="minorEastAsia"/>
                      <w:i/>
                    </w:rPr>
                  </m:ctrlPr>
                </m:sub>
              </m:sSub>
              <m:ctrlPr>
                <w:rPr>
                  <w:rFonts w:ascii="Cambria Math" w:hAnsi="Cambria Math" w:eastAsiaTheme="minorEastAsia"/>
                  <w:i/>
                </w:rPr>
              </m:ctrlPr>
            </m:den>
          </m:f>
        </m:oMath>
      </m:oMathPara>
    </w:p>
    <w:p>
      <w:pPr>
        <w:adjustRightInd w:val="0"/>
        <w:snapToGrid w:val="0"/>
        <w:ind w:firstLine="480"/>
        <w:rPr>
          <w:rFonts w:eastAsiaTheme="minorEastAsia"/>
        </w:rPr>
      </w:pPr>
      <w:r>
        <w:rPr>
          <w:rFonts w:eastAsiaTheme="minorEastAsia"/>
        </w:rPr>
        <w:t>式中：</w:t>
      </w:r>
      <w:r>
        <w:rPr>
          <w:rFonts w:eastAsiaTheme="minorEastAsia"/>
          <w:i/>
        </w:rPr>
        <w:t>P</w:t>
      </w:r>
      <w:r>
        <w:rPr>
          <w:rFonts w:eastAsiaTheme="minorEastAsia"/>
          <w:i/>
          <w:vertAlign w:val="subscript"/>
        </w:rPr>
        <w:t>i</w:t>
      </w:r>
      <w:r>
        <w:rPr>
          <w:rFonts w:eastAsiaTheme="minorEastAsia"/>
        </w:rPr>
        <w:t>——</w:t>
      </w:r>
      <w:r>
        <w:rPr>
          <w:rFonts w:hint="eastAsia" w:eastAsiaTheme="minorEastAsia"/>
        </w:rPr>
        <w:t>第i个水质因子的标准指数，无量纲；</w:t>
      </w:r>
      <w:r>
        <w:rPr>
          <w:rFonts w:eastAsiaTheme="minorEastAsia"/>
        </w:rPr>
        <w:t>；</w:t>
      </w:r>
    </w:p>
    <w:p>
      <w:pPr>
        <w:adjustRightInd w:val="0"/>
        <w:snapToGrid w:val="0"/>
        <w:ind w:firstLine="1080" w:firstLineChars="450"/>
        <w:rPr>
          <w:rFonts w:eastAsiaTheme="minorEastAsia"/>
        </w:rPr>
      </w:pPr>
      <w:r>
        <w:rPr>
          <w:rFonts w:hint="eastAsia" w:eastAsiaTheme="minorEastAsia"/>
          <w:i/>
        </w:rPr>
        <w:t>C</w:t>
      </w:r>
      <w:r>
        <w:rPr>
          <w:rFonts w:hint="eastAsia" w:eastAsiaTheme="minorEastAsia"/>
        </w:rPr>
        <w:t>—第i个水质因子的监测浓度值，mg/L；</w:t>
      </w:r>
    </w:p>
    <w:p>
      <w:pPr>
        <w:adjustRightInd w:val="0"/>
        <w:snapToGrid w:val="0"/>
        <w:ind w:firstLine="1080" w:firstLineChars="450"/>
        <w:rPr>
          <w:rFonts w:eastAsiaTheme="minorEastAsia"/>
        </w:rPr>
      </w:pPr>
      <w:r>
        <w:rPr>
          <w:rFonts w:hint="eastAsia" w:eastAsiaTheme="minorEastAsia"/>
          <w:i/>
        </w:rPr>
        <w:t>C</w:t>
      </w:r>
      <w:r>
        <w:rPr>
          <w:rFonts w:hint="eastAsia" w:eastAsiaTheme="minorEastAsia"/>
          <w:i/>
          <w:vertAlign w:val="subscript"/>
        </w:rPr>
        <w:t>si</w:t>
      </w:r>
      <w:r>
        <w:rPr>
          <w:rFonts w:hint="eastAsia" w:eastAsiaTheme="minorEastAsia"/>
        </w:rPr>
        <w:t>—第i个水质因子的标准浓度值，mg/L。</w:t>
      </w:r>
    </w:p>
    <w:p>
      <w:pPr>
        <w:ind w:firstLine="480"/>
      </w:pPr>
      <w:r>
        <w:rPr>
          <w:rFonts w:hint="eastAsia"/>
        </w:rPr>
        <w:t>对于评价标准为区间值的水质因子（如pH值），其标准指数计算方法如下。</w:t>
      </w:r>
    </w:p>
    <w:p>
      <w:pPr>
        <w:ind w:firstLine="480"/>
        <w:rPr>
          <w:rFonts w:eastAsiaTheme="minorEastAsia"/>
        </w:rPr>
      </w:pPr>
      <w:r>
        <w:rPr>
          <w:rFonts w:eastAsiaTheme="minorEastAsia"/>
          <w:position w:val="-30"/>
        </w:rPr>
        <w:object>
          <v:shape id="_x0000_i1030" o:spt="75" type="#_x0000_t75" style="height:36pt;width:216pt;" o:ole="t" filled="f" o:preferrelative="t" stroked="f" coordsize="21600,21600">
            <v:path/>
            <v:fill on="f" focussize="0,0"/>
            <v:stroke on="f" joinstyle="miter"/>
            <v:imagedata r:id="rId66" o:title=""/>
            <o:lock v:ext="edit" aspectratio="t"/>
            <w10:wrap type="none"/>
            <w10:anchorlock/>
          </v:shape>
          <o:OLEObject Type="Embed" ProgID="Equation.3" ShapeID="_x0000_i1030" DrawAspect="Content" ObjectID="_1468075730" r:id="rId69">
            <o:LockedField>false</o:LockedField>
          </o:OLEObject>
        </w:object>
      </w:r>
    </w:p>
    <w:p>
      <w:pPr>
        <w:ind w:firstLine="480"/>
        <w:rPr>
          <w:rFonts w:eastAsiaTheme="minorEastAsia"/>
        </w:rPr>
      </w:pPr>
      <w:r>
        <w:rPr>
          <w:rFonts w:eastAsiaTheme="minorEastAsia"/>
        </w:rPr>
        <w:object>
          <v:shape id="_x0000_i1031" o:spt="75" type="#_x0000_t75" style="height:36pt;width:208pt;" o:ole="t" filled="f" o:preferrelative="t" stroked="f" coordsize="21600,21600">
            <v:path/>
            <v:fill on="f" focussize="0,0"/>
            <v:stroke on="f" joinstyle="miter"/>
            <v:imagedata r:id="rId68" o:title=""/>
            <o:lock v:ext="edit" aspectratio="t"/>
            <w10:wrap type="none"/>
            <w10:anchorlock/>
          </v:shape>
          <o:OLEObject Type="Embed" ProgID="Equation.3" ShapeID="_x0000_i1031" DrawAspect="Content" ObjectID="_1468075731" r:id="rId70">
            <o:LockedField>false</o:LockedField>
          </o:OLEObject>
        </w:object>
      </w:r>
    </w:p>
    <w:p>
      <w:pPr>
        <w:adjustRightInd w:val="0"/>
        <w:snapToGrid w:val="0"/>
        <w:ind w:firstLine="480"/>
        <w:rPr>
          <w:rFonts w:eastAsiaTheme="minorEastAsia"/>
        </w:rPr>
      </w:pPr>
      <w:r>
        <w:rPr>
          <w:rFonts w:eastAsiaTheme="minorEastAsia"/>
        </w:rPr>
        <w:t>式中：</w:t>
      </w:r>
      <w:r>
        <w:rPr>
          <w:rFonts w:eastAsiaTheme="minorEastAsia"/>
          <w:bCs/>
          <w:i/>
        </w:rPr>
        <w:t>S</w:t>
      </w:r>
      <w:r>
        <w:rPr>
          <w:rFonts w:eastAsiaTheme="minorEastAsia"/>
          <w:bCs/>
          <w:i/>
          <w:vertAlign w:val="subscript"/>
        </w:rPr>
        <w:t>pH,j</w:t>
      </w:r>
      <w:r>
        <w:rPr>
          <w:rFonts w:eastAsiaTheme="minorEastAsia"/>
        </w:rPr>
        <w:t>——pH的标准指数；</w:t>
      </w:r>
    </w:p>
    <w:p>
      <w:pPr>
        <w:tabs>
          <w:tab w:val="left" w:pos="7560"/>
        </w:tabs>
        <w:adjustRightInd w:val="0"/>
        <w:snapToGrid w:val="0"/>
        <w:ind w:firstLine="1200" w:firstLineChars="500"/>
        <w:rPr>
          <w:rFonts w:eastAsiaTheme="minorEastAsia"/>
        </w:rPr>
      </w:pPr>
      <w:r>
        <w:rPr>
          <w:rFonts w:eastAsiaTheme="minorEastAsia"/>
          <w:i/>
        </w:rPr>
        <w:t>pH</w:t>
      </w:r>
      <w:r>
        <w:rPr>
          <w:rFonts w:eastAsiaTheme="minorEastAsia"/>
          <w:i/>
          <w:vertAlign w:val="subscript"/>
        </w:rPr>
        <w:t>j</w:t>
      </w:r>
      <w:r>
        <w:rPr>
          <w:rFonts w:eastAsiaTheme="minorEastAsia"/>
        </w:rPr>
        <w:t>——pH</w:t>
      </w:r>
      <w:r>
        <w:rPr>
          <w:rFonts w:hint="eastAsia" w:eastAsiaTheme="minorEastAsia"/>
        </w:rPr>
        <w:t>在第j点的监测值</w:t>
      </w:r>
      <w:r>
        <w:rPr>
          <w:rFonts w:eastAsiaTheme="minorEastAsia"/>
        </w:rPr>
        <w:t>；</w:t>
      </w:r>
    </w:p>
    <w:p>
      <w:pPr>
        <w:adjustRightInd w:val="0"/>
        <w:snapToGrid w:val="0"/>
        <w:ind w:firstLine="1200" w:firstLineChars="500"/>
        <w:rPr>
          <w:rFonts w:eastAsiaTheme="minorEastAsia"/>
        </w:rPr>
      </w:pPr>
      <w:r>
        <w:rPr>
          <w:rFonts w:eastAsiaTheme="minorEastAsia"/>
          <w:i/>
        </w:rPr>
        <w:t>pH</w:t>
      </w:r>
      <w:r>
        <w:rPr>
          <w:rFonts w:eastAsiaTheme="minorEastAsia"/>
          <w:i/>
          <w:vertAlign w:val="subscript"/>
        </w:rPr>
        <w:t>sd</w:t>
      </w:r>
      <w:r>
        <w:rPr>
          <w:rFonts w:eastAsiaTheme="minorEastAsia"/>
        </w:rPr>
        <w:t>——评价标准中pH的下限值；</w:t>
      </w:r>
    </w:p>
    <w:p>
      <w:pPr>
        <w:tabs>
          <w:tab w:val="left" w:pos="7668"/>
        </w:tabs>
        <w:adjustRightInd w:val="0"/>
        <w:snapToGrid w:val="0"/>
        <w:ind w:firstLine="1200" w:firstLineChars="500"/>
        <w:rPr>
          <w:rFonts w:eastAsiaTheme="minorEastAsia"/>
        </w:rPr>
      </w:pPr>
      <w:r>
        <w:rPr>
          <w:rFonts w:eastAsiaTheme="minorEastAsia"/>
          <w:i/>
        </w:rPr>
        <w:t>pH</w:t>
      </w:r>
      <w:r>
        <w:rPr>
          <w:rFonts w:eastAsiaTheme="minorEastAsia"/>
          <w:i/>
          <w:vertAlign w:val="subscript"/>
        </w:rPr>
        <w:t>su</w:t>
      </w:r>
      <w:r>
        <w:rPr>
          <w:rFonts w:eastAsiaTheme="minorEastAsia"/>
        </w:rPr>
        <w:t>——评价标准中pH的上限值。</w:t>
      </w:r>
    </w:p>
    <w:p>
      <w:pPr>
        <w:pStyle w:val="126"/>
        <w:numPr>
          <w:ilvl w:val="0"/>
          <w:numId w:val="42"/>
        </w:numPr>
        <w:ind w:firstLine="482"/>
        <w:rPr>
          <w:rFonts w:eastAsiaTheme="minorEastAsia"/>
        </w:rPr>
      </w:pPr>
      <w:bookmarkStart w:id="319" w:name="_Toc331536166"/>
      <w:r>
        <w:rPr>
          <w:rFonts w:hint="eastAsia" w:eastAsiaTheme="minorEastAsia"/>
        </w:rPr>
        <w:t>地下水水位状况</w:t>
      </w:r>
    </w:p>
    <w:p>
      <w:pPr>
        <w:ind w:firstLine="480"/>
        <w:rPr>
          <w:rFonts w:eastAsiaTheme="minorEastAsia"/>
        </w:rPr>
      </w:pPr>
      <w:r>
        <w:rPr>
          <w:rFonts w:hint="eastAsia" w:eastAsiaTheme="minorEastAsia"/>
        </w:rPr>
        <w:t>监测点取水的水位情况见</w:t>
      </w:r>
      <w:r>
        <w:rPr>
          <w:rFonts w:eastAsiaTheme="minorEastAsia"/>
        </w:rPr>
        <w:fldChar w:fldCharType="begin"/>
      </w:r>
      <w:r>
        <w:rPr>
          <w:rFonts w:eastAsiaTheme="minorEastAsia"/>
        </w:rPr>
        <w:instrText xml:space="preserve"> </w:instrText>
      </w:r>
      <w:r>
        <w:rPr>
          <w:rFonts w:hint="eastAsia" w:eastAsiaTheme="minorEastAsia"/>
        </w:rPr>
        <w:instrText xml:space="preserve">REF _Ref527730069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3.3</w:t>
      </w:r>
      <w:r>
        <w:rPr>
          <w:rFonts w:eastAsiaTheme="minorEastAsia"/>
        </w:rPr>
        <w:noBreakHyphen/>
      </w:r>
      <w:r>
        <w:rPr>
          <w:rFonts w:eastAsiaTheme="minorEastAsia"/>
        </w:rPr>
        <w:t>6</w:t>
      </w:r>
      <w:r>
        <w:rPr>
          <w:rFonts w:eastAsiaTheme="minorEastAsia"/>
        </w:rPr>
        <w:fldChar w:fldCharType="end"/>
      </w:r>
      <w:r>
        <w:rPr>
          <w:rFonts w:hint="eastAsia" w:eastAsiaTheme="minorEastAsia"/>
        </w:rPr>
        <w:t>。</w:t>
      </w:r>
    </w:p>
    <w:p>
      <w:pPr>
        <w:pStyle w:val="18"/>
      </w:pPr>
      <w:bookmarkStart w:id="320" w:name="_Ref527730069"/>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6</w:t>
      </w:r>
      <w:r>
        <w:fldChar w:fldCharType="end"/>
      </w:r>
      <w:bookmarkEnd w:id="320"/>
      <w:r>
        <w:t xml:space="preserve"> </w:t>
      </w:r>
      <w:r>
        <w:rPr>
          <w:rFonts w:hint="eastAsia"/>
        </w:rPr>
        <w:t>监测点水位状况</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47"/>
        <w:gridCol w:w="3260"/>
        <w:gridCol w:w="32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2547" w:type="dxa"/>
            <w:shd w:val="clear" w:color="auto" w:fill="auto"/>
            <w:vAlign w:val="center"/>
          </w:tcPr>
          <w:p>
            <w:pPr>
              <w:pStyle w:val="107"/>
            </w:pPr>
            <w:r>
              <w:rPr>
                <w:rFonts w:hint="eastAsia"/>
              </w:rPr>
              <w:t>监测位置</w:t>
            </w:r>
          </w:p>
        </w:tc>
        <w:tc>
          <w:tcPr>
            <w:tcW w:w="3260" w:type="dxa"/>
            <w:shd w:val="clear" w:color="auto" w:fill="auto"/>
            <w:vAlign w:val="center"/>
          </w:tcPr>
          <w:p>
            <w:pPr>
              <w:pStyle w:val="107"/>
            </w:pPr>
            <w:r>
              <w:t>D1</w:t>
            </w:r>
          </w:p>
        </w:tc>
        <w:tc>
          <w:tcPr>
            <w:tcW w:w="3253" w:type="dxa"/>
            <w:shd w:val="clear" w:color="auto" w:fill="auto"/>
            <w:vAlign w:val="center"/>
          </w:tcPr>
          <w:p>
            <w:pPr>
              <w:pStyle w:val="107"/>
            </w:pPr>
            <w:r>
              <w:t>D2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2547" w:type="dxa"/>
            <w:shd w:val="clear" w:color="auto" w:fill="auto"/>
            <w:vAlign w:val="center"/>
          </w:tcPr>
          <w:p>
            <w:pPr>
              <w:pStyle w:val="107"/>
              <w:rPr>
                <w:color w:val="000000"/>
                <w:sz w:val="20"/>
                <w:szCs w:val="20"/>
              </w:rPr>
            </w:pPr>
            <w:r>
              <w:rPr>
                <w:rFonts w:hint="eastAsia"/>
              </w:rPr>
              <w:t>水位（</w:t>
            </w:r>
            <w:r>
              <w:t>m</w:t>
            </w:r>
            <w:r>
              <w:rPr>
                <w:rFonts w:hint="eastAsia"/>
              </w:rPr>
              <w:t>）</w:t>
            </w:r>
          </w:p>
        </w:tc>
        <w:tc>
          <w:tcPr>
            <w:tcW w:w="3260" w:type="dxa"/>
            <w:shd w:val="clear" w:color="auto" w:fill="auto"/>
            <w:vAlign w:val="center"/>
          </w:tcPr>
          <w:p>
            <w:pPr>
              <w:pStyle w:val="107"/>
              <w:rPr>
                <w:color w:val="000000"/>
              </w:rPr>
            </w:pPr>
            <w:r>
              <w:rPr>
                <w:color w:val="000000"/>
              </w:rPr>
              <w:t>4.2</w:t>
            </w:r>
          </w:p>
        </w:tc>
        <w:tc>
          <w:tcPr>
            <w:tcW w:w="3253" w:type="dxa"/>
            <w:shd w:val="clear" w:color="auto" w:fill="auto"/>
            <w:vAlign w:val="center"/>
          </w:tcPr>
          <w:p>
            <w:pPr>
              <w:pStyle w:val="107"/>
              <w:rPr>
                <w:color w:val="000000"/>
              </w:rPr>
            </w:pPr>
            <w:r>
              <w:rPr>
                <w:color w:val="000000"/>
              </w:rPr>
              <w:t>3.8</w:t>
            </w:r>
          </w:p>
        </w:tc>
      </w:tr>
    </w:tbl>
    <w:p>
      <w:pPr>
        <w:pStyle w:val="126"/>
        <w:numPr>
          <w:ilvl w:val="0"/>
          <w:numId w:val="42"/>
        </w:numPr>
        <w:ind w:firstLine="482"/>
        <w:rPr>
          <w:rFonts w:eastAsiaTheme="minorEastAsia"/>
        </w:rPr>
      </w:pPr>
      <w:r>
        <w:rPr>
          <w:rFonts w:eastAsiaTheme="minorEastAsia"/>
        </w:rPr>
        <w:t>监测结果</w:t>
      </w:r>
      <w:bookmarkEnd w:id="319"/>
      <w:r>
        <w:rPr>
          <w:rFonts w:hint="eastAsia" w:eastAsiaTheme="minorEastAsia"/>
        </w:rPr>
        <w:t>分析及评价</w:t>
      </w:r>
    </w:p>
    <w:p>
      <w:pPr>
        <w:ind w:firstLine="480"/>
        <w:rPr>
          <w:rFonts w:eastAsiaTheme="minorEastAsia"/>
        </w:rPr>
      </w:pPr>
      <w:r>
        <w:rPr>
          <w:rFonts w:eastAsiaTheme="minorEastAsia"/>
        </w:rPr>
        <w:t>地下水环境水质现状监测结果统计数据见下</w:t>
      </w:r>
      <w:r>
        <w:rPr>
          <w:rFonts w:eastAsiaTheme="minorEastAsia"/>
        </w:rPr>
        <w:fldChar w:fldCharType="begin"/>
      </w:r>
      <w:r>
        <w:rPr>
          <w:rFonts w:eastAsiaTheme="minorEastAsia"/>
        </w:rPr>
        <w:instrText xml:space="preserve"> REF _Ref527738945 \h  \* MERGEFORMAT </w:instrText>
      </w:r>
      <w:r>
        <w:rPr>
          <w:rFonts w:eastAsiaTheme="minorEastAsia"/>
        </w:rPr>
        <w:fldChar w:fldCharType="separate"/>
      </w:r>
      <w:r>
        <w:rPr>
          <w:rFonts w:hint="eastAsia" w:eastAsiaTheme="minorEastAsia"/>
        </w:rPr>
        <w:t xml:space="preserve">表 </w:t>
      </w:r>
      <w:r>
        <w:rPr>
          <w:rFonts w:eastAsiaTheme="minorEastAsia"/>
        </w:rPr>
        <w:t>3.3</w:t>
      </w:r>
      <w:r>
        <w:rPr>
          <w:rFonts w:eastAsiaTheme="minorEastAsia"/>
        </w:rPr>
        <w:noBreakHyphen/>
      </w:r>
      <w:r>
        <w:rPr>
          <w:rFonts w:eastAsiaTheme="minorEastAsia"/>
        </w:rPr>
        <w:t>7</w:t>
      </w:r>
      <w:r>
        <w:rPr>
          <w:rFonts w:eastAsiaTheme="minorEastAsia"/>
        </w:rPr>
        <w:fldChar w:fldCharType="end"/>
      </w:r>
      <w:r>
        <w:rPr>
          <w:rFonts w:hint="eastAsia" w:eastAsiaTheme="minorEastAsia"/>
        </w:rPr>
        <w:t>。</w:t>
      </w:r>
    </w:p>
    <w:p>
      <w:pPr>
        <w:pStyle w:val="18"/>
      </w:pPr>
      <w:bookmarkStart w:id="321" w:name="_Ref527738945"/>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7</w:t>
      </w:r>
      <w:r>
        <w:fldChar w:fldCharType="end"/>
      </w:r>
      <w:bookmarkEnd w:id="321"/>
      <w:r>
        <w:t xml:space="preserve"> </w:t>
      </w:r>
      <w:r>
        <w:rPr>
          <w:rFonts w:hint="eastAsia"/>
        </w:rPr>
        <w:t>地下水水质监测结果及标准指数</w:t>
      </w:r>
    </w:p>
    <w:p>
      <w:pPr>
        <w:pStyle w:val="107"/>
        <w:jc w:val="right"/>
      </w:pPr>
      <w:r>
        <w:rPr>
          <w:rFonts w:hint="eastAsia"/>
        </w:rPr>
        <w:t>单位：mg/L，pH（无量纲）</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0"/>
        <w:gridCol w:w="730"/>
        <w:gridCol w:w="1510"/>
        <w:gridCol w:w="851"/>
        <w:gridCol w:w="992"/>
        <w:gridCol w:w="851"/>
        <w:gridCol w:w="850"/>
        <w:gridCol w:w="851"/>
        <w:gridCol w:w="850"/>
        <w:gridCol w:w="9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590" w:type="dxa"/>
            <w:vMerge w:val="restart"/>
            <w:shd w:val="clear" w:color="auto" w:fill="auto"/>
            <w:vAlign w:val="center"/>
          </w:tcPr>
          <w:p>
            <w:pPr>
              <w:pStyle w:val="107"/>
              <w:rPr>
                <w:b/>
              </w:rPr>
            </w:pPr>
            <w:r>
              <w:rPr>
                <w:rFonts w:hint="eastAsia"/>
                <w:b/>
              </w:rPr>
              <w:t>序号</w:t>
            </w:r>
          </w:p>
        </w:tc>
        <w:tc>
          <w:tcPr>
            <w:tcW w:w="730" w:type="dxa"/>
            <w:vMerge w:val="restart"/>
            <w:shd w:val="clear" w:color="auto" w:fill="auto"/>
            <w:vAlign w:val="center"/>
          </w:tcPr>
          <w:p>
            <w:pPr>
              <w:pStyle w:val="107"/>
              <w:rPr>
                <w:b/>
              </w:rPr>
            </w:pPr>
            <w:r>
              <w:rPr>
                <w:rFonts w:hint="eastAsia"/>
                <w:b/>
              </w:rPr>
              <w:t>监测指标</w:t>
            </w:r>
          </w:p>
        </w:tc>
        <w:tc>
          <w:tcPr>
            <w:tcW w:w="1510" w:type="dxa"/>
            <w:shd w:val="clear" w:color="auto" w:fill="auto"/>
          </w:tcPr>
          <w:p>
            <w:pPr>
              <w:pStyle w:val="107"/>
              <w:rPr>
                <w:b/>
              </w:rPr>
            </w:pPr>
            <w:r>
              <w:rPr>
                <w:rFonts w:hint="eastAsia"/>
                <w:b/>
              </w:rPr>
              <w:t>监测点位</w:t>
            </w:r>
          </w:p>
        </w:tc>
        <w:tc>
          <w:tcPr>
            <w:tcW w:w="2694" w:type="dxa"/>
            <w:gridSpan w:val="3"/>
            <w:shd w:val="clear" w:color="auto" w:fill="auto"/>
            <w:vAlign w:val="center"/>
          </w:tcPr>
          <w:p>
            <w:pPr>
              <w:pStyle w:val="107"/>
              <w:rPr>
                <w:b/>
              </w:rPr>
            </w:pPr>
            <w:r>
              <w:rPr>
                <w:b/>
              </w:rPr>
              <w:t>D1</w:t>
            </w:r>
          </w:p>
        </w:tc>
        <w:tc>
          <w:tcPr>
            <w:tcW w:w="2551" w:type="dxa"/>
            <w:gridSpan w:val="3"/>
            <w:shd w:val="clear" w:color="auto" w:fill="auto"/>
            <w:vAlign w:val="center"/>
          </w:tcPr>
          <w:p>
            <w:pPr>
              <w:pStyle w:val="107"/>
              <w:rPr>
                <w:b/>
              </w:rPr>
            </w:pPr>
            <w:r>
              <w:rPr>
                <w:b/>
              </w:rPr>
              <w:t>D2</w:t>
            </w:r>
          </w:p>
        </w:tc>
        <w:tc>
          <w:tcPr>
            <w:tcW w:w="985" w:type="dxa"/>
            <w:vMerge w:val="restart"/>
            <w:shd w:val="clear" w:color="auto" w:fill="auto"/>
          </w:tcPr>
          <w:p>
            <w:pPr>
              <w:pStyle w:val="107"/>
              <w:rPr>
                <w:rFonts w:cs="Arial"/>
                <w:b/>
              </w:rPr>
            </w:pPr>
            <w:r>
              <w:rPr>
                <w:rFonts w:hint="eastAsia" w:cs="Arial"/>
                <w:b/>
              </w:rPr>
              <w:t>地下水</w:t>
            </w:r>
            <w:r>
              <w:rPr>
                <w:rFonts w:cs="Arial"/>
                <w:b/>
              </w:rPr>
              <w:t>III</w:t>
            </w:r>
            <w:r>
              <w:rPr>
                <w:rFonts w:hint="eastAsia" w:cs="Arial"/>
                <w:b/>
              </w:rPr>
              <w:t>类水质标准值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0" w:hRule="atLeast"/>
        </w:trPr>
        <w:tc>
          <w:tcPr>
            <w:tcW w:w="590" w:type="dxa"/>
            <w:vMerge w:val="continue"/>
            <w:vAlign w:val="center"/>
          </w:tcPr>
          <w:p>
            <w:pPr>
              <w:pStyle w:val="107"/>
              <w:rPr>
                <w:b/>
              </w:rPr>
            </w:pPr>
          </w:p>
        </w:tc>
        <w:tc>
          <w:tcPr>
            <w:tcW w:w="730" w:type="dxa"/>
            <w:vMerge w:val="continue"/>
            <w:vAlign w:val="center"/>
          </w:tcPr>
          <w:p>
            <w:pPr>
              <w:pStyle w:val="107"/>
              <w:rPr>
                <w:b/>
              </w:rPr>
            </w:pPr>
          </w:p>
        </w:tc>
        <w:tc>
          <w:tcPr>
            <w:tcW w:w="1510" w:type="dxa"/>
            <w:shd w:val="clear" w:color="auto" w:fill="auto"/>
            <w:vAlign w:val="center"/>
          </w:tcPr>
          <w:p>
            <w:pPr>
              <w:pStyle w:val="107"/>
              <w:rPr>
                <w:b/>
              </w:rPr>
            </w:pPr>
            <w:r>
              <w:rPr>
                <w:rFonts w:hint="eastAsia"/>
                <w:b/>
              </w:rPr>
              <w:t>监测日期</w:t>
            </w:r>
          </w:p>
        </w:tc>
        <w:tc>
          <w:tcPr>
            <w:tcW w:w="851" w:type="dxa"/>
            <w:shd w:val="clear" w:color="auto" w:fill="auto"/>
            <w:vAlign w:val="center"/>
          </w:tcPr>
          <w:p>
            <w:pPr>
              <w:pStyle w:val="107"/>
              <w:rPr>
                <w:b/>
              </w:rPr>
            </w:pPr>
            <w:r>
              <w:rPr>
                <w:b/>
              </w:rPr>
              <w:t>4</w:t>
            </w:r>
            <w:r>
              <w:rPr>
                <w:rFonts w:hint="eastAsia"/>
                <w:b/>
              </w:rPr>
              <w:t>月</w:t>
            </w:r>
            <w:r>
              <w:rPr>
                <w:b/>
              </w:rPr>
              <w:t>24</w:t>
            </w:r>
            <w:r>
              <w:rPr>
                <w:rFonts w:hint="eastAsia"/>
                <w:b/>
              </w:rPr>
              <w:t>日</w:t>
            </w:r>
          </w:p>
        </w:tc>
        <w:tc>
          <w:tcPr>
            <w:tcW w:w="992" w:type="dxa"/>
            <w:shd w:val="clear" w:color="auto" w:fill="auto"/>
            <w:vAlign w:val="center"/>
          </w:tcPr>
          <w:p>
            <w:pPr>
              <w:pStyle w:val="107"/>
              <w:rPr>
                <w:b/>
              </w:rPr>
            </w:pPr>
            <w:r>
              <w:rPr>
                <w:b/>
              </w:rPr>
              <w:t>4</w:t>
            </w:r>
            <w:r>
              <w:rPr>
                <w:rFonts w:hint="eastAsia"/>
                <w:b/>
              </w:rPr>
              <w:t>月</w:t>
            </w:r>
            <w:r>
              <w:rPr>
                <w:b/>
              </w:rPr>
              <w:t>25</w:t>
            </w:r>
            <w:r>
              <w:rPr>
                <w:rFonts w:hint="eastAsia"/>
                <w:b/>
              </w:rPr>
              <w:t>日</w:t>
            </w:r>
          </w:p>
        </w:tc>
        <w:tc>
          <w:tcPr>
            <w:tcW w:w="851" w:type="dxa"/>
            <w:shd w:val="clear" w:color="auto" w:fill="auto"/>
            <w:vAlign w:val="center"/>
          </w:tcPr>
          <w:p>
            <w:pPr>
              <w:pStyle w:val="107"/>
              <w:rPr>
                <w:b/>
              </w:rPr>
            </w:pPr>
            <w:r>
              <w:rPr>
                <w:b/>
              </w:rPr>
              <w:t>4</w:t>
            </w:r>
            <w:r>
              <w:rPr>
                <w:rFonts w:hint="eastAsia"/>
                <w:b/>
              </w:rPr>
              <w:t>月</w:t>
            </w:r>
            <w:r>
              <w:rPr>
                <w:b/>
              </w:rPr>
              <w:t>26</w:t>
            </w:r>
            <w:r>
              <w:rPr>
                <w:rFonts w:hint="eastAsia"/>
                <w:b/>
              </w:rPr>
              <w:t>日</w:t>
            </w:r>
          </w:p>
        </w:tc>
        <w:tc>
          <w:tcPr>
            <w:tcW w:w="850" w:type="dxa"/>
            <w:shd w:val="clear" w:color="auto" w:fill="auto"/>
            <w:vAlign w:val="center"/>
          </w:tcPr>
          <w:p>
            <w:pPr>
              <w:pStyle w:val="107"/>
              <w:rPr>
                <w:b/>
              </w:rPr>
            </w:pPr>
            <w:r>
              <w:rPr>
                <w:b/>
              </w:rPr>
              <w:t>4</w:t>
            </w:r>
            <w:r>
              <w:rPr>
                <w:rFonts w:hint="eastAsia"/>
                <w:b/>
              </w:rPr>
              <w:t>月</w:t>
            </w:r>
            <w:r>
              <w:rPr>
                <w:b/>
              </w:rPr>
              <w:t>24</w:t>
            </w:r>
            <w:r>
              <w:rPr>
                <w:rFonts w:hint="eastAsia"/>
                <w:b/>
              </w:rPr>
              <w:t>日</w:t>
            </w:r>
          </w:p>
        </w:tc>
        <w:tc>
          <w:tcPr>
            <w:tcW w:w="851" w:type="dxa"/>
            <w:shd w:val="clear" w:color="auto" w:fill="auto"/>
            <w:vAlign w:val="center"/>
          </w:tcPr>
          <w:p>
            <w:pPr>
              <w:pStyle w:val="107"/>
              <w:rPr>
                <w:b/>
              </w:rPr>
            </w:pPr>
            <w:r>
              <w:rPr>
                <w:b/>
              </w:rPr>
              <w:t>4</w:t>
            </w:r>
            <w:r>
              <w:rPr>
                <w:rFonts w:hint="eastAsia"/>
                <w:b/>
              </w:rPr>
              <w:t>月</w:t>
            </w:r>
            <w:r>
              <w:rPr>
                <w:b/>
              </w:rPr>
              <w:t>25</w:t>
            </w:r>
            <w:r>
              <w:rPr>
                <w:rFonts w:hint="eastAsia"/>
                <w:b/>
              </w:rPr>
              <w:t>日</w:t>
            </w:r>
          </w:p>
        </w:tc>
        <w:tc>
          <w:tcPr>
            <w:tcW w:w="850" w:type="dxa"/>
            <w:shd w:val="clear" w:color="auto" w:fill="auto"/>
            <w:vAlign w:val="center"/>
          </w:tcPr>
          <w:p>
            <w:pPr>
              <w:pStyle w:val="107"/>
              <w:rPr>
                <w:b/>
              </w:rPr>
            </w:pPr>
            <w:r>
              <w:rPr>
                <w:b/>
              </w:rPr>
              <w:t>4</w:t>
            </w:r>
            <w:r>
              <w:rPr>
                <w:rFonts w:hint="eastAsia"/>
                <w:b/>
              </w:rPr>
              <w:t>月</w:t>
            </w:r>
            <w:r>
              <w:rPr>
                <w:b/>
              </w:rPr>
              <w:t>26</w:t>
            </w:r>
            <w:r>
              <w:rPr>
                <w:rFonts w:hint="eastAsia"/>
                <w:b/>
              </w:rPr>
              <w:t>日</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pPr>
            <w:r>
              <w:t>1</w:t>
            </w:r>
          </w:p>
        </w:tc>
        <w:tc>
          <w:tcPr>
            <w:tcW w:w="730" w:type="dxa"/>
            <w:vMerge w:val="restart"/>
            <w:shd w:val="clear" w:color="auto" w:fill="auto"/>
            <w:vAlign w:val="center"/>
          </w:tcPr>
          <w:p>
            <w:pPr>
              <w:pStyle w:val="107"/>
            </w:pPr>
            <w:r>
              <w:t>pH</w:t>
            </w:r>
            <w:r>
              <w:rPr>
                <w:rFonts w:hint="eastAsia"/>
              </w:rPr>
              <w:t>值</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t>6.76</w:t>
            </w:r>
          </w:p>
        </w:tc>
        <w:tc>
          <w:tcPr>
            <w:tcW w:w="992" w:type="dxa"/>
            <w:shd w:val="clear" w:color="auto" w:fill="auto"/>
            <w:vAlign w:val="center"/>
          </w:tcPr>
          <w:p>
            <w:pPr>
              <w:pStyle w:val="107"/>
            </w:pPr>
            <w:r>
              <w:t>6.82</w:t>
            </w:r>
          </w:p>
        </w:tc>
        <w:tc>
          <w:tcPr>
            <w:tcW w:w="851" w:type="dxa"/>
            <w:shd w:val="clear" w:color="auto" w:fill="auto"/>
            <w:vAlign w:val="center"/>
          </w:tcPr>
          <w:p>
            <w:pPr>
              <w:pStyle w:val="107"/>
            </w:pPr>
            <w:r>
              <w:rPr>
                <w:rFonts w:hint="eastAsia"/>
              </w:rPr>
              <w:t>6</w:t>
            </w:r>
            <w:r>
              <w:t>.78</w:t>
            </w:r>
          </w:p>
        </w:tc>
        <w:tc>
          <w:tcPr>
            <w:tcW w:w="850" w:type="dxa"/>
            <w:shd w:val="clear" w:color="auto" w:fill="auto"/>
            <w:vAlign w:val="center"/>
          </w:tcPr>
          <w:p>
            <w:pPr>
              <w:pStyle w:val="107"/>
            </w:pPr>
            <w:r>
              <w:t>6.94</w:t>
            </w:r>
          </w:p>
        </w:tc>
        <w:tc>
          <w:tcPr>
            <w:tcW w:w="851" w:type="dxa"/>
            <w:shd w:val="clear" w:color="auto" w:fill="auto"/>
            <w:vAlign w:val="center"/>
          </w:tcPr>
          <w:p>
            <w:pPr>
              <w:pStyle w:val="107"/>
            </w:pPr>
            <w:r>
              <w:rPr>
                <w:rFonts w:hint="eastAsia"/>
              </w:rPr>
              <w:t>7</w:t>
            </w:r>
            <w:r>
              <w:t>.01</w:t>
            </w:r>
          </w:p>
        </w:tc>
        <w:tc>
          <w:tcPr>
            <w:tcW w:w="850" w:type="dxa"/>
            <w:shd w:val="clear" w:color="auto" w:fill="auto"/>
            <w:vAlign w:val="center"/>
          </w:tcPr>
          <w:p>
            <w:pPr>
              <w:pStyle w:val="107"/>
            </w:pPr>
            <w:r>
              <w:t>6.98</w:t>
            </w:r>
          </w:p>
        </w:tc>
        <w:tc>
          <w:tcPr>
            <w:tcW w:w="985" w:type="dxa"/>
            <w:vMerge w:val="restart"/>
            <w:shd w:val="clear" w:color="auto" w:fill="auto"/>
            <w:vAlign w:val="center"/>
          </w:tcPr>
          <w:p>
            <w:pPr>
              <w:pStyle w:val="107"/>
              <w:rPr>
                <w:rFonts w:cs="Arial"/>
              </w:rPr>
            </w:pPr>
            <w:r>
              <w:rPr>
                <w:rFonts w:cs="Arial"/>
              </w:rPr>
              <w:t>6.5</w:t>
            </w:r>
            <w:r>
              <w:rPr>
                <w:rFonts w:hint="eastAsia" w:cs="Arial"/>
              </w:rPr>
              <w:t>～</w:t>
            </w:r>
            <w:r>
              <w:rPr>
                <w:rFonts w:cs="Arial"/>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hint="eastAsia"/>
              </w:rPr>
              <w:t>0</w:t>
            </w:r>
            <w:r>
              <w:t>.24</w:t>
            </w:r>
          </w:p>
        </w:tc>
        <w:tc>
          <w:tcPr>
            <w:tcW w:w="992" w:type="dxa"/>
            <w:shd w:val="clear" w:color="auto" w:fill="auto"/>
            <w:vAlign w:val="center"/>
          </w:tcPr>
          <w:p>
            <w:pPr>
              <w:pStyle w:val="107"/>
            </w:pPr>
            <w:r>
              <w:rPr>
                <w:rFonts w:hint="eastAsia"/>
              </w:rPr>
              <w:t>0</w:t>
            </w:r>
            <w:r>
              <w:t>.18</w:t>
            </w:r>
          </w:p>
        </w:tc>
        <w:tc>
          <w:tcPr>
            <w:tcW w:w="851" w:type="dxa"/>
            <w:shd w:val="clear" w:color="auto" w:fill="auto"/>
            <w:vAlign w:val="center"/>
          </w:tcPr>
          <w:p>
            <w:pPr>
              <w:pStyle w:val="107"/>
            </w:pPr>
            <w:r>
              <w:rPr>
                <w:rFonts w:hint="eastAsia"/>
              </w:rPr>
              <w:t>0</w:t>
            </w:r>
            <w:r>
              <w:t>.22</w:t>
            </w:r>
          </w:p>
        </w:tc>
        <w:tc>
          <w:tcPr>
            <w:tcW w:w="850" w:type="dxa"/>
            <w:shd w:val="clear" w:color="auto" w:fill="auto"/>
            <w:vAlign w:val="center"/>
          </w:tcPr>
          <w:p>
            <w:pPr>
              <w:pStyle w:val="107"/>
            </w:pPr>
            <w:r>
              <w:rPr>
                <w:rFonts w:hint="eastAsia"/>
              </w:rPr>
              <w:t>0</w:t>
            </w:r>
            <w:r>
              <w:t>.06</w:t>
            </w:r>
          </w:p>
        </w:tc>
        <w:tc>
          <w:tcPr>
            <w:tcW w:w="851" w:type="dxa"/>
            <w:shd w:val="clear" w:color="auto" w:fill="auto"/>
            <w:vAlign w:val="center"/>
          </w:tcPr>
          <w:p>
            <w:pPr>
              <w:pStyle w:val="107"/>
            </w:pPr>
            <w:r>
              <w:rPr>
                <w:rFonts w:hint="eastAsia"/>
              </w:rPr>
              <w:t>0</w:t>
            </w:r>
            <w:r>
              <w:t>.005</w:t>
            </w:r>
          </w:p>
        </w:tc>
        <w:tc>
          <w:tcPr>
            <w:tcW w:w="850" w:type="dxa"/>
            <w:shd w:val="clear" w:color="auto" w:fill="auto"/>
            <w:vAlign w:val="center"/>
          </w:tcPr>
          <w:p>
            <w:pPr>
              <w:pStyle w:val="107"/>
            </w:pPr>
            <w:r>
              <w:rPr>
                <w:rFonts w:hint="eastAsia"/>
              </w:rPr>
              <w:t>0</w:t>
            </w:r>
            <w:r>
              <w:t>.02</w:t>
            </w:r>
          </w:p>
        </w:tc>
        <w:tc>
          <w:tcPr>
            <w:tcW w:w="985" w:type="dxa"/>
            <w:vMerge w:val="continue"/>
            <w:vAlign w:val="center"/>
          </w:tcPr>
          <w:p>
            <w:pPr>
              <w:pStyle w:val="107"/>
              <w:rPr>
                <w:rFonts w:cs="Arial"/>
              </w:rPr>
            </w:pPr>
          </w:p>
        </w:tc>
      </w:tr>
      <w:tr>
        <w:tblPrEx>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pPr>
            <w:r>
              <w:t>2</w:t>
            </w:r>
          </w:p>
        </w:tc>
        <w:tc>
          <w:tcPr>
            <w:tcW w:w="730" w:type="dxa"/>
            <w:vMerge w:val="restart"/>
            <w:shd w:val="clear" w:color="auto" w:fill="auto"/>
            <w:vAlign w:val="center"/>
          </w:tcPr>
          <w:p>
            <w:pPr>
              <w:pStyle w:val="107"/>
            </w:pPr>
            <w:r>
              <w:rPr>
                <w:rFonts w:hint="eastAsia"/>
              </w:rPr>
              <w:t>氨氮</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t>0.32</w:t>
            </w:r>
          </w:p>
        </w:tc>
        <w:tc>
          <w:tcPr>
            <w:tcW w:w="992" w:type="dxa"/>
            <w:shd w:val="clear" w:color="auto" w:fill="auto"/>
            <w:vAlign w:val="center"/>
          </w:tcPr>
          <w:p>
            <w:pPr>
              <w:pStyle w:val="107"/>
            </w:pPr>
            <w:r>
              <w:t>0.35</w:t>
            </w:r>
          </w:p>
        </w:tc>
        <w:tc>
          <w:tcPr>
            <w:tcW w:w="851" w:type="dxa"/>
            <w:shd w:val="clear" w:color="auto" w:fill="auto"/>
            <w:vAlign w:val="center"/>
          </w:tcPr>
          <w:p>
            <w:pPr>
              <w:pStyle w:val="107"/>
            </w:pPr>
            <w:r>
              <w:rPr>
                <w:rFonts w:hint="eastAsia"/>
              </w:rPr>
              <w:t>0</w:t>
            </w:r>
            <w:r>
              <w:t>.31</w:t>
            </w:r>
          </w:p>
        </w:tc>
        <w:tc>
          <w:tcPr>
            <w:tcW w:w="850" w:type="dxa"/>
            <w:shd w:val="clear" w:color="auto" w:fill="auto"/>
            <w:vAlign w:val="center"/>
          </w:tcPr>
          <w:p>
            <w:pPr>
              <w:pStyle w:val="107"/>
            </w:pPr>
            <w:r>
              <w:t>0.28</w:t>
            </w:r>
          </w:p>
        </w:tc>
        <w:tc>
          <w:tcPr>
            <w:tcW w:w="851" w:type="dxa"/>
            <w:shd w:val="clear" w:color="auto" w:fill="auto"/>
            <w:vAlign w:val="center"/>
          </w:tcPr>
          <w:p>
            <w:pPr>
              <w:pStyle w:val="107"/>
            </w:pPr>
            <w:r>
              <w:rPr>
                <w:rFonts w:hint="eastAsia"/>
              </w:rPr>
              <w:t>0</w:t>
            </w:r>
            <w:r>
              <w:t>.31</w:t>
            </w:r>
          </w:p>
        </w:tc>
        <w:tc>
          <w:tcPr>
            <w:tcW w:w="850" w:type="dxa"/>
            <w:shd w:val="clear" w:color="auto" w:fill="auto"/>
            <w:vAlign w:val="center"/>
          </w:tcPr>
          <w:p>
            <w:pPr>
              <w:pStyle w:val="107"/>
            </w:pPr>
            <w:r>
              <w:t>0.27</w:t>
            </w:r>
          </w:p>
        </w:tc>
        <w:tc>
          <w:tcPr>
            <w:tcW w:w="985" w:type="dxa"/>
            <w:vMerge w:val="restart"/>
            <w:shd w:val="clear" w:color="auto" w:fill="auto"/>
            <w:vAlign w:val="center"/>
          </w:tcPr>
          <w:p>
            <w:pPr>
              <w:pStyle w:val="107"/>
              <w:rPr>
                <w:rFonts w:cs="Arial"/>
              </w:rPr>
            </w:pPr>
            <w:r>
              <w:rPr>
                <w:rFonts w:cs="Arial"/>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hint="eastAsia"/>
              </w:rPr>
              <w:t>0.64</w:t>
            </w:r>
          </w:p>
        </w:tc>
        <w:tc>
          <w:tcPr>
            <w:tcW w:w="992" w:type="dxa"/>
            <w:shd w:val="clear" w:color="auto" w:fill="auto"/>
            <w:vAlign w:val="center"/>
          </w:tcPr>
          <w:p>
            <w:pPr>
              <w:pStyle w:val="107"/>
            </w:pPr>
            <w:r>
              <w:rPr>
                <w:rFonts w:hint="eastAsia"/>
              </w:rPr>
              <w:t>0.7</w:t>
            </w:r>
          </w:p>
        </w:tc>
        <w:tc>
          <w:tcPr>
            <w:tcW w:w="851" w:type="dxa"/>
            <w:shd w:val="clear" w:color="auto" w:fill="auto"/>
            <w:vAlign w:val="center"/>
          </w:tcPr>
          <w:p>
            <w:pPr>
              <w:pStyle w:val="107"/>
            </w:pPr>
            <w:r>
              <w:rPr>
                <w:rFonts w:hint="eastAsia"/>
              </w:rPr>
              <w:t>0.62</w:t>
            </w:r>
          </w:p>
        </w:tc>
        <w:tc>
          <w:tcPr>
            <w:tcW w:w="850" w:type="dxa"/>
            <w:shd w:val="clear" w:color="auto" w:fill="auto"/>
            <w:vAlign w:val="center"/>
          </w:tcPr>
          <w:p>
            <w:pPr>
              <w:pStyle w:val="107"/>
            </w:pPr>
            <w:r>
              <w:rPr>
                <w:rFonts w:hint="eastAsia"/>
              </w:rPr>
              <w:t>0.56</w:t>
            </w:r>
          </w:p>
        </w:tc>
        <w:tc>
          <w:tcPr>
            <w:tcW w:w="851" w:type="dxa"/>
            <w:shd w:val="clear" w:color="auto" w:fill="auto"/>
            <w:vAlign w:val="center"/>
          </w:tcPr>
          <w:p>
            <w:pPr>
              <w:pStyle w:val="107"/>
            </w:pPr>
            <w:r>
              <w:rPr>
                <w:rFonts w:hint="eastAsia"/>
              </w:rPr>
              <w:t>0.62</w:t>
            </w:r>
          </w:p>
        </w:tc>
        <w:tc>
          <w:tcPr>
            <w:tcW w:w="850" w:type="dxa"/>
            <w:shd w:val="clear" w:color="auto" w:fill="auto"/>
            <w:vAlign w:val="center"/>
          </w:tcPr>
          <w:p>
            <w:pPr>
              <w:pStyle w:val="107"/>
            </w:pPr>
            <w:r>
              <w:rPr>
                <w:rFonts w:hint="eastAsia"/>
              </w:rPr>
              <w:t>0.54</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pPr>
            <w:r>
              <w:t>3</w:t>
            </w:r>
          </w:p>
        </w:tc>
        <w:tc>
          <w:tcPr>
            <w:tcW w:w="730" w:type="dxa"/>
            <w:vMerge w:val="restart"/>
            <w:shd w:val="clear" w:color="auto" w:fill="auto"/>
            <w:vAlign w:val="center"/>
          </w:tcPr>
          <w:p>
            <w:pPr>
              <w:pStyle w:val="107"/>
            </w:pPr>
            <w:r>
              <w:rPr>
                <w:rFonts w:hint="eastAsia"/>
              </w:rPr>
              <w:t>硝酸盐</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rPr>
                <w:rFonts w:hint="eastAsia"/>
              </w:rPr>
              <w:t>1</w:t>
            </w:r>
            <w:r>
              <w:t>.18</w:t>
            </w:r>
          </w:p>
        </w:tc>
        <w:tc>
          <w:tcPr>
            <w:tcW w:w="992" w:type="dxa"/>
            <w:shd w:val="clear" w:color="auto" w:fill="auto"/>
            <w:vAlign w:val="center"/>
          </w:tcPr>
          <w:p>
            <w:pPr>
              <w:pStyle w:val="107"/>
            </w:pPr>
            <w:r>
              <w:rPr>
                <w:rFonts w:hint="eastAsia"/>
              </w:rPr>
              <w:t>1</w:t>
            </w:r>
            <w:r>
              <w:t>.3</w:t>
            </w:r>
          </w:p>
        </w:tc>
        <w:tc>
          <w:tcPr>
            <w:tcW w:w="851" w:type="dxa"/>
            <w:shd w:val="clear" w:color="auto" w:fill="auto"/>
            <w:vAlign w:val="center"/>
          </w:tcPr>
          <w:p>
            <w:pPr>
              <w:pStyle w:val="107"/>
            </w:pPr>
            <w:r>
              <w:rPr>
                <w:rFonts w:hint="eastAsia"/>
              </w:rPr>
              <w:t>1.</w:t>
            </w:r>
            <w:r>
              <w:t>16</w:t>
            </w:r>
          </w:p>
        </w:tc>
        <w:tc>
          <w:tcPr>
            <w:tcW w:w="850" w:type="dxa"/>
            <w:shd w:val="clear" w:color="auto" w:fill="auto"/>
            <w:vAlign w:val="center"/>
          </w:tcPr>
          <w:p>
            <w:pPr>
              <w:pStyle w:val="107"/>
            </w:pPr>
            <w:r>
              <w:t>1.12</w:t>
            </w:r>
          </w:p>
        </w:tc>
        <w:tc>
          <w:tcPr>
            <w:tcW w:w="851" w:type="dxa"/>
            <w:shd w:val="clear" w:color="auto" w:fill="auto"/>
            <w:vAlign w:val="center"/>
          </w:tcPr>
          <w:p>
            <w:pPr>
              <w:pStyle w:val="107"/>
            </w:pPr>
            <w:r>
              <w:rPr>
                <w:rFonts w:hint="eastAsia"/>
              </w:rPr>
              <w:t>1</w:t>
            </w:r>
            <w:r>
              <w:t>.23</w:t>
            </w:r>
          </w:p>
        </w:tc>
        <w:tc>
          <w:tcPr>
            <w:tcW w:w="850" w:type="dxa"/>
            <w:shd w:val="clear" w:color="auto" w:fill="auto"/>
            <w:vAlign w:val="center"/>
          </w:tcPr>
          <w:p>
            <w:pPr>
              <w:pStyle w:val="107"/>
            </w:pPr>
            <w:r>
              <w:t>1.10</w:t>
            </w:r>
          </w:p>
        </w:tc>
        <w:tc>
          <w:tcPr>
            <w:tcW w:w="985" w:type="dxa"/>
            <w:vMerge w:val="restart"/>
            <w:shd w:val="clear" w:color="auto" w:fill="auto"/>
            <w:vAlign w:val="center"/>
          </w:tcPr>
          <w:p>
            <w:pPr>
              <w:pStyle w:val="107"/>
              <w:rPr>
                <w:rFonts w:cs="Arial"/>
              </w:rPr>
            </w:pPr>
            <w:r>
              <w:rPr>
                <w:rFonts w:cs="Aria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hint="eastAsia"/>
              </w:rPr>
              <w:t>0.059</w:t>
            </w:r>
          </w:p>
        </w:tc>
        <w:tc>
          <w:tcPr>
            <w:tcW w:w="992" w:type="dxa"/>
            <w:shd w:val="clear" w:color="auto" w:fill="auto"/>
            <w:vAlign w:val="center"/>
          </w:tcPr>
          <w:p>
            <w:pPr>
              <w:pStyle w:val="107"/>
            </w:pPr>
            <w:r>
              <w:rPr>
                <w:rFonts w:hint="eastAsia"/>
              </w:rPr>
              <w:t>0.065</w:t>
            </w:r>
          </w:p>
        </w:tc>
        <w:tc>
          <w:tcPr>
            <w:tcW w:w="851" w:type="dxa"/>
            <w:shd w:val="clear" w:color="auto" w:fill="auto"/>
            <w:vAlign w:val="center"/>
          </w:tcPr>
          <w:p>
            <w:pPr>
              <w:pStyle w:val="107"/>
            </w:pPr>
            <w:r>
              <w:rPr>
                <w:rFonts w:hint="eastAsia"/>
              </w:rPr>
              <w:t>0.058</w:t>
            </w:r>
          </w:p>
        </w:tc>
        <w:tc>
          <w:tcPr>
            <w:tcW w:w="850" w:type="dxa"/>
            <w:shd w:val="clear" w:color="auto" w:fill="auto"/>
            <w:vAlign w:val="center"/>
          </w:tcPr>
          <w:p>
            <w:pPr>
              <w:pStyle w:val="107"/>
            </w:pPr>
            <w:r>
              <w:rPr>
                <w:rFonts w:hint="eastAsia"/>
              </w:rPr>
              <w:t>0.056</w:t>
            </w:r>
          </w:p>
        </w:tc>
        <w:tc>
          <w:tcPr>
            <w:tcW w:w="851" w:type="dxa"/>
            <w:shd w:val="clear" w:color="auto" w:fill="auto"/>
            <w:vAlign w:val="center"/>
          </w:tcPr>
          <w:p>
            <w:pPr>
              <w:pStyle w:val="107"/>
            </w:pPr>
            <w:r>
              <w:rPr>
                <w:rFonts w:hint="eastAsia"/>
              </w:rPr>
              <w:t>0.0615</w:t>
            </w:r>
          </w:p>
        </w:tc>
        <w:tc>
          <w:tcPr>
            <w:tcW w:w="850" w:type="dxa"/>
            <w:shd w:val="clear" w:color="auto" w:fill="auto"/>
            <w:vAlign w:val="center"/>
          </w:tcPr>
          <w:p>
            <w:pPr>
              <w:pStyle w:val="107"/>
            </w:pPr>
            <w:r>
              <w:rPr>
                <w:rFonts w:hint="eastAsia"/>
              </w:rPr>
              <w:t>0.055</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pPr>
            <w:r>
              <w:t>4</w:t>
            </w:r>
          </w:p>
        </w:tc>
        <w:tc>
          <w:tcPr>
            <w:tcW w:w="730" w:type="dxa"/>
            <w:vMerge w:val="restart"/>
            <w:shd w:val="clear" w:color="auto" w:fill="auto"/>
            <w:vAlign w:val="center"/>
          </w:tcPr>
          <w:p>
            <w:pPr>
              <w:pStyle w:val="107"/>
            </w:pPr>
            <w:r>
              <w:rPr>
                <w:rFonts w:hint="eastAsia"/>
              </w:rPr>
              <w:t>亚硝酸盐</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t>0.016</w:t>
            </w:r>
          </w:p>
        </w:tc>
        <w:tc>
          <w:tcPr>
            <w:tcW w:w="992" w:type="dxa"/>
            <w:shd w:val="clear" w:color="auto" w:fill="auto"/>
            <w:vAlign w:val="center"/>
          </w:tcPr>
          <w:p>
            <w:pPr>
              <w:pStyle w:val="107"/>
            </w:pPr>
            <w:r>
              <w:t>0.018</w:t>
            </w:r>
          </w:p>
        </w:tc>
        <w:tc>
          <w:tcPr>
            <w:tcW w:w="851" w:type="dxa"/>
            <w:shd w:val="clear" w:color="auto" w:fill="auto"/>
            <w:vAlign w:val="center"/>
          </w:tcPr>
          <w:p>
            <w:pPr>
              <w:pStyle w:val="107"/>
            </w:pPr>
            <w:r>
              <w:rPr>
                <w:rFonts w:hint="eastAsia"/>
              </w:rPr>
              <w:t>0</w:t>
            </w:r>
            <w:r>
              <w:t>.016</w:t>
            </w:r>
          </w:p>
        </w:tc>
        <w:tc>
          <w:tcPr>
            <w:tcW w:w="850" w:type="dxa"/>
            <w:shd w:val="clear" w:color="auto" w:fill="auto"/>
            <w:vAlign w:val="center"/>
          </w:tcPr>
          <w:p>
            <w:pPr>
              <w:pStyle w:val="107"/>
            </w:pPr>
            <w:r>
              <w:t>0.015</w:t>
            </w:r>
          </w:p>
        </w:tc>
        <w:tc>
          <w:tcPr>
            <w:tcW w:w="851" w:type="dxa"/>
            <w:shd w:val="clear" w:color="auto" w:fill="auto"/>
            <w:vAlign w:val="center"/>
          </w:tcPr>
          <w:p>
            <w:pPr>
              <w:pStyle w:val="107"/>
            </w:pPr>
            <w:r>
              <w:rPr>
                <w:rFonts w:hint="eastAsia"/>
              </w:rPr>
              <w:t>0</w:t>
            </w:r>
            <w:r>
              <w:t>.017</w:t>
            </w:r>
          </w:p>
        </w:tc>
        <w:tc>
          <w:tcPr>
            <w:tcW w:w="850" w:type="dxa"/>
            <w:shd w:val="clear" w:color="auto" w:fill="auto"/>
            <w:vAlign w:val="center"/>
          </w:tcPr>
          <w:p>
            <w:pPr>
              <w:pStyle w:val="107"/>
            </w:pPr>
            <w:r>
              <w:t>0.015</w:t>
            </w:r>
          </w:p>
        </w:tc>
        <w:tc>
          <w:tcPr>
            <w:tcW w:w="985" w:type="dxa"/>
            <w:vMerge w:val="restart"/>
            <w:shd w:val="clear" w:color="auto" w:fill="auto"/>
            <w:vAlign w:val="center"/>
          </w:tcPr>
          <w:p>
            <w:pPr>
              <w:pStyle w:val="107"/>
              <w:rPr>
                <w:rFonts w:cs="Arial"/>
              </w:rPr>
            </w:pPr>
            <w:r>
              <w:rPr>
                <w:rFonts w:cs="Aria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0.016</w:t>
            </w:r>
          </w:p>
        </w:tc>
        <w:tc>
          <w:tcPr>
            <w:tcW w:w="992" w:type="dxa"/>
            <w:tcBorders>
              <w:top w:val="single" w:color="auto" w:sz="4" w:space="0"/>
              <w:left w:val="nil"/>
              <w:bottom w:val="single" w:color="auto" w:sz="4" w:space="0"/>
              <w:right w:val="single" w:color="auto" w:sz="4" w:space="0"/>
            </w:tcBorders>
            <w:shd w:val="clear" w:color="auto" w:fill="auto"/>
            <w:vAlign w:val="center"/>
          </w:tcPr>
          <w:p>
            <w:pPr>
              <w:pStyle w:val="107"/>
            </w:pPr>
            <w:r>
              <w:t>0.018</w:t>
            </w:r>
          </w:p>
        </w:tc>
        <w:tc>
          <w:tcPr>
            <w:tcW w:w="851"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0</w:t>
            </w:r>
            <w:r>
              <w:t>.016</w:t>
            </w:r>
          </w:p>
        </w:tc>
        <w:tc>
          <w:tcPr>
            <w:tcW w:w="850" w:type="dxa"/>
            <w:tcBorders>
              <w:top w:val="single" w:color="auto" w:sz="4" w:space="0"/>
              <w:left w:val="nil"/>
              <w:bottom w:val="single" w:color="auto" w:sz="4" w:space="0"/>
              <w:right w:val="single" w:color="auto" w:sz="4" w:space="0"/>
            </w:tcBorders>
            <w:shd w:val="clear" w:color="auto" w:fill="auto"/>
            <w:vAlign w:val="center"/>
          </w:tcPr>
          <w:p>
            <w:pPr>
              <w:pStyle w:val="107"/>
            </w:pPr>
            <w:r>
              <w:t>0.015</w:t>
            </w:r>
          </w:p>
        </w:tc>
        <w:tc>
          <w:tcPr>
            <w:tcW w:w="851"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0</w:t>
            </w:r>
            <w:r>
              <w:t>.017</w:t>
            </w:r>
          </w:p>
        </w:tc>
        <w:tc>
          <w:tcPr>
            <w:tcW w:w="850" w:type="dxa"/>
            <w:tcBorders>
              <w:top w:val="single" w:color="auto" w:sz="4" w:space="0"/>
              <w:left w:val="nil"/>
              <w:bottom w:val="single" w:color="auto" w:sz="4" w:space="0"/>
              <w:right w:val="single" w:color="auto" w:sz="4" w:space="0"/>
            </w:tcBorders>
            <w:shd w:val="clear" w:color="auto" w:fill="auto"/>
            <w:vAlign w:val="center"/>
          </w:tcPr>
          <w:p>
            <w:pPr>
              <w:pStyle w:val="107"/>
            </w:pPr>
            <w:r>
              <w:t>0.015</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pPr>
            <w:r>
              <w:t>5</w:t>
            </w:r>
          </w:p>
        </w:tc>
        <w:tc>
          <w:tcPr>
            <w:tcW w:w="730" w:type="dxa"/>
            <w:vMerge w:val="restart"/>
            <w:shd w:val="clear" w:color="auto" w:fill="auto"/>
            <w:vAlign w:val="center"/>
          </w:tcPr>
          <w:p>
            <w:pPr>
              <w:pStyle w:val="107"/>
            </w:pPr>
            <w:r>
              <w:rPr>
                <w:rFonts w:hint="eastAsia"/>
              </w:rPr>
              <w:t>挥发性酚类</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t>0.0003L</w:t>
            </w:r>
          </w:p>
        </w:tc>
        <w:tc>
          <w:tcPr>
            <w:tcW w:w="992" w:type="dxa"/>
            <w:shd w:val="clear" w:color="auto" w:fill="auto"/>
            <w:vAlign w:val="center"/>
          </w:tcPr>
          <w:p>
            <w:pPr>
              <w:pStyle w:val="107"/>
            </w:pPr>
            <w:r>
              <w:t>0.0003L</w:t>
            </w:r>
          </w:p>
        </w:tc>
        <w:tc>
          <w:tcPr>
            <w:tcW w:w="851" w:type="dxa"/>
            <w:shd w:val="clear" w:color="auto" w:fill="auto"/>
            <w:vAlign w:val="center"/>
          </w:tcPr>
          <w:p>
            <w:pPr>
              <w:pStyle w:val="107"/>
            </w:pPr>
            <w:r>
              <w:t>0.0003L</w:t>
            </w:r>
          </w:p>
        </w:tc>
        <w:tc>
          <w:tcPr>
            <w:tcW w:w="850" w:type="dxa"/>
            <w:shd w:val="clear" w:color="auto" w:fill="auto"/>
            <w:vAlign w:val="center"/>
          </w:tcPr>
          <w:p>
            <w:pPr>
              <w:pStyle w:val="107"/>
            </w:pPr>
            <w:r>
              <w:t>0.0003L</w:t>
            </w:r>
          </w:p>
        </w:tc>
        <w:tc>
          <w:tcPr>
            <w:tcW w:w="851" w:type="dxa"/>
            <w:shd w:val="clear" w:color="auto" w:fill="auto"/>
            <w:vAlign w:val="center"/>
          </w:tcPr>
          <w:p>
            <w:pPr>
              <w:pStyle w:val="107"/>
            </w:pPr>
            <w:r>
              <w:t>0.0003L</w:t>
            </w:r>
          </w:p>
        </w:tc>
        <w:tc>
          <w:tcPr>
            <w:tcW w:w="850" w:type="dxa"/>
            <w:shd w:val="clear" w:color="auto" w:fill="auto"/>
            <w:vAlign w:val="center"/>
          </w:tcPr>
          <w:p>
            <w:pPr>
              <w:pStyle w:val="107"/>
            </w:pPr>
            <w:r>
              <w:t>0.0003L</w:t>
            </w:r>
          </w:p>
        </w:tc>
        <w:tc>
          <w:tcPr>
            <w:tcW w:w="985" w:type="dxa"/>
            <w:vMerge w:val="restart"/>
            <w:shd w:val="clear" w:color="auto" w:fill="auto"/>
            <w:vAlign w:val="center"/>
          </w:tcPr>
          <w:p>
            <w:pPr>
              <w:pStyle w:val="107"/>
              <w:rPr>
                <w:rFonts w:cs="Arial"/>
              </w:rPr>
            </w:pPr>
            <w:r>
              <w:rPr>
                <w:rFonts w:cs="Arial"/>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t>/</w:t>
            </w:r>
          </w:p>
        </w:tc>
        <w:tc>
          <w:tcPr>
            <w:tcW w:w="992" w:type="dxa"/>
            <w:shd w:val="clear" w:color="auto" w:fill="auto"/>
            <w:vAlign w:val="center"/>
          </w:tcPr>
          <w:p>
            <w:pPr>
              <w:pStyle w:val="107"/>
            </w:pPr>
            <w:r>
              <w:t>/</w:t>
            </w:r>
          </w:p>
        </w:tc>
        <w:tc>
          <w:tcPr>
            <w:tcW w:w="851" w:type="dxa"/>
            <w:shd w:val="clear" w:color="auto" w:fill="auto"/>
            <w:vAlign w:val="center"/>
          </w:tcPr>
          <w:p>
            <w:pPr>
              <w:pStyle w:val="107"/>
            </w:pPr>
            <w:r>
              <w:t>/</w:t>
            </w:r>
          </w:p>
        </w:tc>
        <w:tc>
          <w:tcPr>
            <w:tcW w:w="850" w:type="dxa"/>
            <w:shd w:val="clear" w:color="auto" w:fill="auto"/>
            <w:vAlign w:val="center"/>
          </w:tcPr>
          <w:p>
            <w:pPr>
              <w:pStyle w:val="107"/>
            </w:pPr>
            <w:r>
              <w:t>/</w:t>
            </w:r>
          </w:p>
        </w:tc>
        <w:tc>
          <w:tcPr>
            <w:tcW w:w="851" w:type="dxa"/>
            <w:shd w:val="clear" w:color="auto" w:fill="auto"/>
            <w:vAlign w:val="center"/>
          </w:tcPr>
          <w:p>
            <w:pPr>
              <w:pStyle w:val="107"/>
            </w:pPr>
            <w:r>
              <w:t>/</w:t>
            </w:r>
          </w:p>
        </w:tc>
        <w:tc>
          <w:tcPr>
            <w:tcW w:w="850" w:type="dxa"/>
            <w:shd w:val="clear" w:color="auto" w:fill="auto"/>
            <w:vAlign w:val="center"/>
          </w:tcPr>
          <w:p>
            <w:pPr>
              <w:pStyle w:val="107"/>
            </w:pPr>
            <w:r>
              <w:t>/</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pPr>
            <w:r>
              <w:t>6</w:t>
            </w:r>
          </w:p>
        </w:tc>
        <w:tc>
          <w:tcPr>
            <w:tcW w:w="730" w:type="dxa"/>
            <w:vMerge w:val="restart"/>
            <w:shd w:val="clear" w:color="auto" w:fill="auto"/>
            <w:vAlign w:val="center"/>
          </w:tcPr>
          <w:p>
            <w:pPr>
              <w:pStyle w:val="107"/>
            </w:pPr>
            <w:r>
              <w:rPr>
                <w:rFonts w:hint="eastAsia"/>
              </w:rPr>
              <w:t>总硬度</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t>28</w:t>
            </w:r>
          </w:p>
        </w:tc>
        <w:tc>
          <w:tcPr>
            <w:tcW w:w="992" w:type="dxa"/>
            <w:shd w:val="clear" w:color="auto" w:fill="auto"/>
            <w:vAlign w:val="center"/>
          </w:tcPr>
          <w:p>
            <w:pPr>
              <w:pStyle w:val="107"/>
            </w:pPr>
            <w:r>
              <w:t>31</w:t>
            </w:r>
          </w:p>
        </w:tc>
        <w:tc>
          <w:tcPr>
            <w:tcW w:w="851" w:type="dxa"/>
            <w:shd w:val="clear" w:color="auto" w:fill="auto"/>
            <w:vAlign w:val="center"/>
          </w:tcPr>
          <w:p>
            <w:pPr>
              <w:pStyle w:val="107"/>
            </w:pPr>
            <w:r>
              <w:rPr>
                <w:rFonts w:hint="eastAsia"/>
              </w:rPr>
              <w:t>2</w:t>
            </w:r>
            <w:r>
              <w:t>7</w:t>
            </w:r>
          </w:p>
        </w:tc>
        <w:tc>
          <w:tcPr>
            <w:tcW w:w="850" w:type="dxa"/>
            <w:shd w:val="clear" w:color="auto" w:fill="auto"/>
            <w:vAlign w:val="center"/>
          </w:tcPr>
          <w:p>
            <w:pPr>
              <w:pStyle w:val="107"/>
            </w:pPr>
            <w:r>
              <w:t>33</w:t>
            </w:r>
          </w:p>
        </w:tc>
        <w:tc>
          <w:tcPr>
            <w:tcW w:w="851" w:type="dxa"/>
            <w:shd w:val="clear" w:color="auto" w:fill="auto"/>
            <w:vAlign w:val="center"/>
          </w:tcPr>
          <w:p>
            <w:pPr>
              <w:pStyle w:val="107"/>
            </w:pPr>
            <w:r>
              <w:t>36</w:t>
            </w:r>
          </w:p>
        </w:tc>
        <w:tc>
          <w:tcPr>
            <w:tcW w:w="850" w:type="dxa"/>
            <w:shd w:val="clear" w:color="auto" w:fill="auto"/>
            <w:vAlign w:val="center"/>
          </w:tcPr>
          <w:p>
            <w:pPr>
              <w:pStyle w:val="107"/>
            </w:pPr>
            <w:r>
              <w:t>32</w:t>
            </w:r>
          </w:p>
        </w:tc>
        <w:tc>
          <w:tcPr>
            <w:tcW w:w="985" w:type="dxa"/>
            <w:vMerge w:val="restart"/>
            <w:shd w:val="clear" w:color="auto" w:fill="auto"/>
            <w:vAlign w:val="center"/>
          </w:tcPr>
          <w:p>
            <w:pPr>
              <w:pStyle w:val="107"/>
              <w:rPr>
                <w:rFonts w:cs="Arial"/>
              </w:rPr>
            </w:pPr>
            <w:r>
              <w:rPr>
                <w:rFonts w:cs="Arial"/>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hint="eastAsia"/>
              </w:rPr>
              <w:t xml:space="preserve">0.06 </w:t>
            </w:r>
          </w:p>
        </w:tc>
        <w:tc>
          <w:tcPr>
            <w:tcW w:w="992" w:type="dxa"/>
            <w:shd w:val="clear" w:color="auto" w:fill="auto"/>
            <w:vAlign w:val="center"/>
          </w:tcPr>
          <w:p>
            <w:pPr>
              <w:pStyle w:val="107"/>
            </w:pPr>
            <w:r>
              <w:rPr>
                <w:rFonts w:hint="eastAsia"/>
              </w:rPr>
              <w:t xml:space="preserve">0.07 </w:t>
            </w:r>
          </w:p>
        </w:tc>
        <w:tc>
          <w:tcPr>
            <w:tcW w:w="851" w:type="dxa"/>
            <w:shd w:val="clear" w:color="auto" w:fill="auto"/>
            <w:vAlign w:val="center"/>
          </w:tcPr>
          <w:p>
            <w:pPr>
              <w:pStyle w:val="107"/>
            </w:pPr>
            <w:r>
              <w:rPr>
                <w:rFonts w:hint="eastAsia"/>
              </w:rPr>
              <w:t xml:space="preserve">0.06 </w:t>
            </w:r>
          </w:p>
        </w:tc>
        <w:tc>
          <w:tcPr>
            <w:tcW w:w="850" w:type="dxa"/>
            <w:shd w:val="clear" w:color="auto" w:fill="auto"/>
            <w:vAlign w:val="center"/>
          </w:tcPr>
          <w:p>
            <w:pPr>
              <w:pStyle w:val="107"/>
            </w:pPr>
            <w:r>
              <w:rPr>
                <w:rFonts w:hint="eastAsia"/>
              </w:rPr>
              <w:t xml:space="preserve">0.07 </w:t>
            </w:r>
          </w:p>
        </w:tc>
        <w:tc>
          <w:tcPr>
            <w:tcW w:w="851" w:type="dxa"/>
            <w:shd w:val="clear" w:color="auto" w:fill="auto"/>
            <w:vAlign w:val="center"/>
          </w:tcPr>
          <w:p>
            <w:pPr>
              <w:pStyle w:val="107"/>
            </w:pPr>
            <w:r>
              <w:rPr>
                <w:rFonts w:hint="eastAsia"/>
              </w:rPr>
              <w:t xml:space="preserve">0.08 </w:t>
            </w:r>
          </w:p>
        </w:tc>
        <w:tc>
          <w:tcPr>
            <w:tcW w:w="850" w:type="dxa"/>
            <w:shd w:val="clear" w:color="auto" w:fill="auto"/>
            <w:vAlign w:val="center"/>
          </w:tcPr>
          <w:p>
            <w:pPr>
              <w:pStyle w:val="107"/>
            </w:pPr>
            <w:r>
              <w:rPr>
                <w:rFonts w:hint="eastAsia"/>
              </w:rPr>
              <w:t xml:space="preserve">0.07 </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pPr>
            <w:r>
              <w:t>7</w:t>
            </w:r>
          </w:p>
        </w:tc>
        <w:tc>
          <w:tcPr>
            <w:tcW w:w="730" w:type="dxa"/>
            <w:vMerge w:val="restart"/>
            <w:shd w:val="clear" w:color="auto" w:fill="auto"/>
            <w:vAlign w:val="center"/>
          </w:tcPr>
          <w:p>
            <w:pPr>
              <w:pStyle w:val="107"/>
            </w:pPr>
            <w:r>
              <w:rPr>
                <w:rFonts w:hint="eastAsia"/>
              </w:rPr>
              <w:t>铁</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t>0.03L</w:t>
            </w:r>
          </w:p>
        </w:tc>
        <w:tc>
          <w:tcPr>
            <w:tcW w:w="992" w:type="dxa"/>
            <w:shd w:val="clear" w:color="auto" w:fill="auto"/>
            <w:vAlign w:val="center"/>
          </w:tcPr>
          <w:p>
            <w:pPr>
              <w:pStyle w:val="107"/>
            </w:pPr>
            <w:r>
              <w:t>0.03L</w:t>
            </w:r>
          </w:p>
        </w:tc>
        <w:tc>
          <w:tcPr>
            <w:tcW w:w="851" w:type="dxa"/>
            <w:shd w:val="clear" w:color="auto" w:fill="auto"/>
            <w:vAlign w:val="center"/>
          </w:tcPr>
          <w:p>
            <w:pPr>
              <w:pStyle w:val="107"/>
            </w:pPr>
            <w:r>
              <w:t>0.03L</w:t>
            </w:r>
          </w:p>
        </w:tc>
        <w:tc>
          <w:tcPr>
            <w:tcW w:w="850" w:type="dxa"/>
            <w:shd w:val="clear" w:color="auto" w:fill="auto"/>
            <w:vAlign w:val="center"/>
          </w:tcPr>
          <w:p>
            <w:pPr>
              <w:pStyle w:val="107"/>
            </w:pPr>
            <w:r>
              <w:t>0.03L</w:t>
            </w:r>
          </w:p>
        </w:tc>
        <w:tc>
          <w:tcPr>
            <w:tcW w:w="851" w:type="dxa"/>
            <w:shd w:val="clear" w:color="auto" w:fill="auto"/>
            <w:vAlign w:val="center"/>
          </w:tcPr>
          <w:p>
            <w:pPr>
              <w:pStyle w:val="107"/>
            </w:pPr>
            <w:r>
              <w:t>0.03L</w:t>
            </w:r>
          </w:p>
        </w:tc>
        <w:tc>
          <w:tcPr>
            <w:tcW w:w="850" w:type="dxa"/>
            <w:shd w:val="clear" w:color="auto" w:fill="auto"/>
            <w:vAlign w:val="center"/>
          </w:tcPr>
          <w:p>
            <w:pPr>
              <w:pStyle w:val="107"/>
            </w:pPr>
            <w:r>
              <w:t>0.03L</w:t>
            </w:r>
          </w:p>
        </w:tc>
        <w:tc>
          <w:tcPr>
            <w:tcW w:w="985" w:type="dxa"/>
            <w:vMerge w:val="restart"/>
            <w:shd w:val="clear" w:color="auto" w:fill="auto"/>
            <w:vAlign w:val="center"/>
          </w:tcPr>
          <w:p>
            <w:pPr>
              <w:pStyle w:val="107"/>
              <w:rPr>
                <w:rFonts w:cs="Arial"/>
              </w:rPr>
            </w:pPr>
            <w:r>
              <w:rPr>
                <w:rFonts w:cs="Arial"/>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ascii="Times New Roman" w:hAnsi="Times New Roman"/>
              </w:rPr>
              <w:t>/</w:t>
            </w:r>
          </w:p>
        </w:tc>
        <w:tc>
          <w:tcPr>
            <w:tcW w:w="992"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shd w:val="clear" w:color="auto" w:fill="auto"/>
            <w:vAlign w:val="center"/>
          </w:tcPr>
          <w:p>
            <w:pPr>
              <w:pStyle w:val="107"/>
            </w:pPr>
            <w:r>
              <w:t>8</w:t>
            </w:r>
          </w:p>
        </w:tc>
        <w:tc>
          <w:tcPr>
            <w:tcW w:w="730" w:type="dxa"/>
            <w:vMerge w:val="restart"/>
            <w:shd w:val="clear" w:color="auto" w:fill="auto"/>
            <w:vAlign w:val="center"/>
          </w:tcPr>
          <w:p>
            <w:pPr>
              <w:pStyle w:val="107"/>
            </w:pPr>
            <w:r>
              <w:rPr>
                <w:rFonts w:hint="eastAsia"/>
              </w:rPr>
              <w:t>溶解性总固体</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t>96</w:t>
            </w:r>
          </w:p>
        </w:tc>
        <w:tc>
          <w:tcPr>
            <w:tcW w:w="992" w:type="dxa"/>
            <w:shd w:val="clear" w:color="auto" w:fill="auto"/>
            <w:vAlign w:val="center"/>
          </w:tcPr>
          <w:p>
            <w:pPr>
              <w:pStyle w:val="107"/>
            </w:pPr>
            <w:r>
              <w:t>106</w:t>
            </w:r>
          </w:p>
        </w:tc>
        <w:tc>
          <w:tcPr>
            <w:tcW w:w="851" w:type="dxa"/>
            <w:shd w:val="clear" w:color="auto" w:fill="auto"/>
            <w:vAlign w:val="center"/>
          </w:tcPr>
          <w:p>
            <w:pPr>
              <w:pStyle w:val="107"/>
            </w:pPr>
            <w:r>
              <w:rPr>
                <w:rFonts w:hint="eastAsia"/>
              </w:rPr>
              <w:t>9</w:t>
            </w:r>
            <w:r>
              <w:t>4</w:t>
            </w:r>
          </w:p>
        </w:tc>
        <w:tc>
          <w:tcPr>
            <w:tcW w:w="850" w:type="dxa"/>
            <w:shd w:val="clear" w:color="auto" w:fill="auto"/>
            <w:vAlign w:val="center"/>
          </w:tcPr>
          <w:p>
            <w:pPr>
              <w:pStyle w:val="107"/>
            </w:pPr>
            <w:r>
              <w:t>112</w:t>
            </w:r>
          </w:p>
        </w:tc>
        <w:tc>
          <w:tcPr>
            <w:tcW w:w="851" w:type="dxa"/>
            <w:shd w:val="clear" w:color="auto" w:fill="auto"/>
            <w:vAlign w:val="center"/>
          </w:tcPr>
          <w:p>
            <w:pPr>
              <w:pStyle w:val="107"/>
            </w:pPr>
            <w:r>
              <w:rPr>
                <w:rFonts w:hint="eastAsia"/>
              </w:rPr>
              <w:t>1</w:t>
            </w:r>
            <w:r>
              <w:t>23</w:t>
            </w:r>
          </w:p>
        </w:tc>
        <w:tc>
          <w:tcPr>
            <w:tcW w:w="850" w:type="dxa"/>
            <w:shd w:val="clear" w:color="auto" w:fill="auto"/>
            <w:vAlign w:val="center"/>
          </w:tcPr>
          <w:p>
            <w:pPr>
              <w:pStyle w:val="107"/>
            </w:pPr>
            <w:r>
              <w:t>110</w:t>
            </w:r>
          </w:p>
        </w:tc>
        <w:tc>
          <w:tcPr>
            <w:tcW w:w="985" w:type="dxa"/>
            <w:vMerge w:val="restart"/>
            <w:shd w:val="clear" w:color="auto" w:fill="auto"/>
            <w:vAlign w:val="center"/>
          </w:tcPr>
          <w:p>
            <w:pPr>
              <w:pStyle w:val="107"/>
              <w:rPr>
                <w:rFonts w:cs="Arial"/>
              </w:rPr>
            </w:pPr>
            <w:r>
              <w:rPr>
                <w:rFonts w:cs="Arial"/>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t>0.096</w:t>
            </w:r>
          </w:p>
        </w:tc>
        <w:tc>
          <w:tcPr>
            <w:tcW w:w="992" w:type="dxa"/>
            <w:shd w:val="clear" w:color="auto" w:fill="auto"/>
            <w:vAlign w:val="center"/>
          </w:tcPr>
          <w:p>
            <w:pPr>
              <w:pStyle w:val="107"/>
            </w:pPr>
            <w:r>
              <w:t>0.106</w:t>
            </w:r>
          </w:p>
        </w:tc>
        <w:tc>
          <w:tcPr>
            <w:tcW w:w="851" w:type="dxa"/>
            <w:shd w:val="clear" w:color="auto" w:fill="auto"/>
            <w:vAlign w:val="center"/>
          </w:tcPr>
          <w:p>
            <w:pPr>
              <w:pStyle w:val="107"/>
            </w:pPr>
            <w:r>
              <w:rPr>
                <w:rFonts w:hint="eastAsia"/>
              </w:rPr>
              <w:t>0</w:t>
            </w:r>
            <w:r>
              <w:t>.094</w:t>
            </w:r>
          </w:p>
        </w:tc>
        <w:tc>
          <w:tcPr>
            <w:tcW w:w="850" w:type="dxa"/>
            <w:shd w:val="clear" w:color="auto" w:fill="auto"/>
            <w:vAlign w:val="center"/>
          </w:tcPr>
          <w:p>
            <w:pPr>
              <w:pStyle w:val="107"/>
            </w:pPr>
            <w:r>
              <w:t>0.112</w:t>
            </w:r>
          </w:p>
        </w:tc>
        <w:tc>
          <w:tcPr>
            <w:tcW w:w="851" w:type="dxa"/>
            <w:shd w:val="clear" w:color="auto" w:fill="auto"/>
            <w:vAlign w:val="center"/>
          </w:tcPr>
          <w:p>
            <w:pPr>
              <w:pStyle w:val="107"/>
            </w:pPr>
            <w:r>
              <w:rPr>
                <w:rFonts w:hint="eastAsia"/>
              </w:rPr>
              <w:t>0</w:t>
            </w:r>
            <w:r>
              <w:t>.123</w:t>
            </w:r>
          </w:p>
        </w:tc>
        <w:tc>
          <w:tcPr>
            <w:tcW w:w="850" w:type="dxa"/>
            <w:shd w:val="clear" w:color="auto" w:fill="auto"/>
            <w:vAlign w:val="center"/>
          </w:tcPr>
          <w:p>
            <w:pPr>
              <w:pStyle w:val="107"/>
            </w:pPr>
            <w:r>
              <w:t>0.11</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pPr>
            <w:r>
              <w:rPr>
                <w:rFonts w:hint="eastAsia"/>
              </w:rPr>
              <w:t>1</w:t>
            </w:r>
            <w:r>
              <w:t>0</w:t>
            </w:r>
          </w:p>
        </w:tc>
        <w:tc>
          <w:tcPr>
            <w:tcW w:w="730" w:type="dxa"/>
            <w:vMerge w:val="restart"/>
            <w:vAlign w:val="center"/>
          </w:tcPr>
          <w:p>
            <w:pPr>
              <w:pStyle w:val="107"/>
            </w:pPr>
            <w:r>
              <w:rPr>
                <w:rFonts w:hint="eastAsia"/>
              </w:rPr>
              <w:t>氰化物</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rPr>
                <w:rFonts w:hint="eastAsia"/>
              </w:rPr>
              <w:t>0</w:t>
            </w:r>
            <w:r>
              <w:t>.002L</w:t>
            </w:r>
          </w:p>
        </w:tc>
        <w:tc>
          <w:tcPr>
            <w:tcW w:w="992" w:type="dxa"/>
            <w:shd w:val="clear" w:color="auto" w:fill="auto"/>
          </w:tcPr>
          <w:p>
            <w:pPr>
              <w:pStyle w:val="107"/>
            </w:pPr>
            <w:r>
              <w:rPr>
                <w:rFonts w:hint="eastAsia"/>
              </w:rPr>
              <w:t>0</w:t>
            </w:r>
            <w:r>
              <w:t>.002L</w:t>
            </w:r>
          </w:p>
        </w:tc>
        <w:tc>
          <w:tcPr>
            <w:tcW w:w="851" w:type="dxa"/>
            <w:shd w:val="clear" w:color="auto" w:fill="auto"/>
          </w:tcPr>
          <w:p>
            <w:pPr>
              <w:pStyle w:val="107"/>
            </w:pPr>
            <w:r>
              <w:rPr>
                <w:rFonts w:hint="eastAsia"/>
              </w:rPr>
              <w:t>0</w:t>
            </w:r>
            <w:r>
              <w:t>.002L</w:t>
            </w:r>
          </w:p>
        </w:tc>
        <w:tc>
          <w:tcPr>
            <w:tcW w:w="850" w:type="dxa"/>
            <w:shd w:val="clear" w:color="auto" w:fill="auto"/>
          </w:tcPr>
          <w:p>
            <w:pPr>
              <w:pStyle w:val="107"/>
            </w:pPr>
            <w:r>
              <w:rPr>
                <w:rFonts w:hint="eastAsia"/>
              </w:rPr>
              <w:t>0</w:t>
            </w:r>
            <w:r>
              <w:t>.002L</w:t>
            </w:r>
          </w:p>
        </w:tc>
        <w:tc>
          <w:tcPr>
            <w:tcW w:w="851" w:type="dxa"/>
            <w:shd w:val="clear" w:color="auto" w:fill="auto"/>
          </w:tcPr>
          <w:p>
            <w:pPr>
              <w:pStyle w:val="107"/>
            </w:pPr>
            <w:r>
              <w:rPr>
                <w:rFonts w:hint="eastAsia"/>
              </w:rPr>
              <w:t>0</w:t>
            </w:r>
            <w:r>
              <w:t>.002L</w:t>
            </w:r>
          </w:p>
        </w:tc>
        <w:tc>
          <w:tcPr>
            <w:tcW w:w="850" w:type="dxa"/>
            <w:shd w:val="clear" w:color="auto" w:fill="auto"/>
          </w:tcPr>
          <w:p>
            <w:pPr>
              <w:pStyle w:val="107"/>
            </w:pPr>
            <w:r>
              <w:rPr>
                <w:rFonts w:hint="eastAsia"/>
              </w:rPr>
              <w:t>0</w:t>
            </w:r>
            <w:r>
              <w:t>.002L</w:t>
            </w:r>
          </w:p>
        </w:tc>
        <w:tc>
          <w:tcPr>
            <w:tcW w:w="985" w:type="dxa"/>
            <w:vMerge w:val="restart"/>
            <w:vAlign w:val="center"/>
          </w:tcPr>
          <w:p>
            <w:pPr>
              <w:pStyle w:val="107"/>
              <w:rPr>
                <w:rFonts w:cs="Arial"/>
              </w:rPr>
            </w:pPr>
            <w:r>
              <w:rPr>
                <w:rFonts w:ascii="Times New Roman" w:hAnsi="Times New Roma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ascii="Times New Roman" w:hAnsi="Times New Roman"/>
              </w:rPr>
              <w:t>/</w:t>
            </w:r>
          </w:p>
        </w:tc>
        <w:tc>
          <w:tcPr>
            <w:tcW w:w="992"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985" w:type="dxa"/>
            <w:vMerge w:val="continue"/>
            <w:vAlign w:val="center"/>
          </w:tcPr>
          <w:p>
            <w:pPr>
              <w:pStyle w:val="107"/>
              <w:rPr>
                <w:rFonts w:cs="Arial"/>
              </w:rPr>
            </w:pPr>
          </w:p>
        </w:tc>
      </w:tr>
      <w:tr>
        <w:tblPrEx>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pPr>
            <w:r>
              <w:rPr>
                <w:rFonts w:hint="eastAsia"/>
              </w:rPr>
              <w:t>1</w:t>
            </w:r>
            <w:r>
              <w:t>1</w:t>
            </w:r>
          </w:p>
        </w:tc>
        <w:tc>
          <w:tcPr>
            <w:tcW w:w="730" w:type="dxa"/>
            <w:vMerge w:val="restart"/>
            <w:vAlign w:val="center"/>
          </w:tcPr>
          <w:p>
            <w:pPr>
              <w:pStyle w:val="107"/>
            </w:pPr>
            <w:r>
              <w:rPr>
                <w:rFonts w:hint="eastAsia"/>
              </w:rPr>
              <w:t>砷</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rPr>
                <w:rFonts w:hint="eastAsia"/>
              </w:rPr>
              <w:t>0</w:t>
            </w:r>
            <w:r>
              <w:t>.001L</w:t>
            </w:r>
          </w:p>
        </w:tc>
        <w:tc>
          <w:tcPr>
            <w:tcW w:w="992" w:type="dxa"/>
            <w:shd w:val="clear" w:color="auto" w:fill="auto"/>
          </w:tcPr>
          <w:p>
            <w:pPr>
              <w:pStyle w:val="107"/>
            </w:pPr>
            <w:r>
              <w:rPr>
                <w:rFonts w:hint="eastAsia"/>
              </w:rPr>
              <w:t>0</w:t>
            </w:r>
            <w:r>
              <w:t>.001L</w:t>
            </w:r>
          </w:p>
        </w:tc>
        <w:tc>
          <w:tcPr>
            <w:tcW w:w="851" w:type="dxa"/>
            <w:shd w:val="clear" w:color="auto" w:fill="auto"/>
          </w:tcPr>
          <w:p>
            <w:pPr>
              <w:pStyle w:val="107"/>
            </w:pPr>
            <w:r>
              <w:rPr>
                <w:rFonts w:hint="eastAsia"/>
              </w:rPr>
              <w:t>0</w:t>
            </w:r>
            <w:r>
              <w:t>.001L</w:t>
            </w:r>
          </w:p>
        </w:tc>
        <w:tc>
          <w:tcPr>
            <w:tcW w:w="850" w:type="dxa"/>
            <w:shd w:val="clear" w:color="auto" w:fill="auto"/>
          </w:tcPr>
          <w:p>
            <w:pPr>
              <w:pStyle w:val="107"/>
            </w:pPr>
            <w:r>
              <w:rPr>
                <w:rFonts w:hint="eastAsia"/>
              </w:rPr>
              <w:t>0</w:t>
            </w:r>
            <w:r>
              <w:t>.001L</w:t>
            </w:r>
          </w:p>
        </w:tc>
        <w:tc>
          <w:tcPr>
            <w:tcW w:w="851" w:type="dxa"/>
            <w:shd w:val="clear" w:color="auto" w:fill="auto"/>
          </w:tcPr>
          <w:p>
            <w:pPr>
              <w:pStyle w:val="107"/>
            </w:pPr>
            <w:r>
              <w:rPr>
                <w:rFonts w:hint="eastAsia"/>
              </w:rPr>
              <w:t>0</w:t>
            </w:r>
            <w:r>
              <w:t>.001L</w:t>
            </w:r>
          </w:p>
        </w:tc>
        <w:tc>
          <w:tcPr>
            <w:tcW w:w="850" w:type="dxa"/>
            <w:shd w:val="clear" w:color="auto" w:fill="auto"/>
          </w:tcPr>
          <w:p>
            <w:pPr>
              <w:pStyle w:val="107"/>
            </w:pPr>
            <w:r>
              <w:rPr>
                <w:rFonts w:hint="eastAsia"/>
              </w:rPr>
              <w:t>0</w:t>
            </w:r>
            <w:r>
              <w:t>.001L</w:t>
            </w:r>
          </w:p>
        </w:tc>
        <w:tc>
          <w:tcPr>
            <w:tcW w:w="985" w:type="dxa"/>
            <w:vMerge w:val="restart"/>
            <w:vAlign w:val="center"/>
          </w:tcPr>
          <w:p>
            <w:pPr>
              <w:pStyle w:val="107"/>
              <w:rPr>
                <w:rFonts w:cs="Arial"/>
              </w:rPr>
            </w:pPr>
            <w:r>
              <w:rPr>
                <w:rFonts w:ascii="Times New Roman" w:hAnsi="Times New Roma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ascii="Times New Roman" w:hAnsi="Times New Roman"/>
              </w:rPr>
              <w:t>/</w:t>
            </w:r>
          </w:p>
        </w:tc>
        <w:tc>
          <w:tcPr>
            <w:tcW w:w="992"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pPr>
            <w:r>
              <w:rPr>
                <w:rFonts w:hint="eastAsia"/>
              </w:rPr>
              <w:t>1</w:t>
            </w:r>
            <w:r>
              <w:t>2</w:t>
            </w:r>
          </w:p>
        </w:tc>
        <w:tc>
          <w:tcPr>
            <w:tcW w:w="730" w:type="dxa"/>
            <w:vMerge w:val="restart"/>
            <w:vAlign w:val="center"/>
          </w:tcPr>
          <w:p>
            <w:pPr>
              <w:pStyle w:val="107"/>
            </w:pPr>
            <w:r>
              <w:rPr>
                <w:rFonts w:hint="eastAsia"/>
              </w:rPr>
              <w:t>汞</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rPr>
                <w:rFonts w:hint="eastAsia"/>
              </w:rPr>
              <w:t>0</w:t>
            </w:r>
            <w:r>
              <w:t>.0001L</w:t>
            </w:r>
          </w:p>
        </w:tc>
        <w:tc>
          <w:tcPr>
            <w:tcW w:w="992" w:type="dxa"/>
            <w:shd w:val="clear" w:color="auto" w:fill="auto"/>
          </w:tcPr>
          <w:p>
            <w:pPr>
              <w:pStyle w:val="107"/>
            </w:pPr>
            <w:r>
              <w:rPr>
                <w:rFonts w:hint="eastAsia"/>
              </w:rPr>
              <w:t>0</w:t>
            </w:r>
            <w:r>
              <w:t>.0001L</w:t>
            </w:r>
          </w:p>
        </w:tc>
        <w:tc>
          <w:tcPr>
            <w:tcW w:w="851" w:type="dxa"/>
            <w:shd w:val="clear" w:color="auto" w:fill="auto"/>
          </w:tcPr>
          <w:p>
            <w:pPr>
              <w:pStyle w:val="107"/>
            </w:pPr>
            <w:r>
              <w:rPr>
                <w:rFonts w:hint="eastAsia"/>
              </w:rPr>
              <w:t>0</w:t>
            </w:r>
            <w:r>
              <w:t>.0001L</w:t>
            </w:r>
          </w:p>
        </w:tc>
        <w:tc>
          <w:tcPr>
            <w:tcW w:w="850" w:type="dxa"/>
            <w:shd w:val="clear" w:color="auto" w:fill="auto"/>
          </w:tcPr>
          <w:p>
            <w:pPr>
              <w:pStyle w:val="107"/>
            </w:pPr>
            <w:r>
              <w:rPr>
                <w:rFonts w:hint="eastAsia"/>
              </w:rPr>
              <w:t>0</w:t>
            </w:r>
            <w:r>
              <w:t>.0001L</w:t>
            </w:r>
          </w:p>
        </w:tc>
        <w:tc>
          <w:tcPr>
            <w:tcW w:w="851" w:type="dxa"/>
            <w:shd w:val="clear" w:color="auto" w:fill="auto"/>
          </w:tcPr>
          <w:p>
            <w:pPr>
              <w:pStyle w:val="107"/>
            </w:pPr>
            <w:r>
              <w:rPr>
                <w:rFonts w:hint="eastAsia"/>
              </w:rPr>
              <w:t>0</w:t>
            </w:r>
            <w:r>
              <w:t>.0001L</w:t>
            </w:r>
          </w:p>
        </w:tc>
        <w:tc>
          <w:tcPr>
            <w:tcW w:w="850" w:type="dxa"/>
            <w:shd w:val="clear" w:color="auto" w:fill="auto"/>
          </w:tcPr>
          <w:p>
            <w:pPr>
              <w:pStyle w:val="107"/>
            </w:pPr>
            <w:r>
              <w:rPr>
                <w:rFonts w:hint="eastAsia"/>
              </w:rPr>
              <w:t>0</w:t>
            </w:r>
            <w:r>
              <w:t>.0001L</w:t>
            </w:r>
          </w:p>
        </w:tc>
        <w:tc>
          <w:tcPr>
            <w:tcW w:w="985" w:type="dxa"/>
            <w:vMerge w:val="restart"/>
            <w:vAlign w:val="center"/>
          </w:tcPr>
          <w:p>
            <w:pPr>
              <w:pStyle w:val="107"/>
              <w:rPr>
                <w:rFonts w:cs="Arial"/>
              </w:rPr>
            </w:pPr>
            <w:r>
              <w:rPr>
                <w:rFonts w:ascii="Times New Roman" w:hAnsi="Times New Roman"/>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ascii="Times New Roman" w:hAnsi="Times New Roman"/>
              </w:rPr>
              <w:t>/</w:t>
            </w:r>
          </w:p>
        </w:tc>
        <w:tc>
          <w:tcPr>
            <w:tcW w:w="992"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pPr>
            <w:r>
              <w:rPr>
                <w:rFonts w:hint="eastAsia"/>
              </w:rPr>
              <w:t>1</w:t>
            </w:r>
            <w:r>
              <w:t>3</w:t>
            </w:r>
          </w:p>
        </w:tc>
        <w:tc>
          <w:tcPr>
            <w:tcW w:w="730" w:type="dxa"/>
            <w:vMerge w:val="restart"/>
            <w:vAlign w:val="center"/>
          </w:tcPr>
          <w:p>
            <w:pPr>
              <w:pStyle w:val="107"/>
            </w:pPr>
            <w:r>
              <w:rPr>
                <w:rFonts w:hint="eastAsia"/>
              </w:rPr>
              <w:t>铬</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rPr>
                <w:rFonts w:hint="eastAsia"/>
              </w:rPr>
              <w:t>0</w:t>
            </w:r>
            <w:r>
              <w:t>.004L</w:t>
            </w:r>
          </w:p>
        </w:tc>
        <w:tc>
          <w:tcPr>
            <w:tcW w:w="992" w:type="dxa"/>
            <w:shd w:val="clear" w:color="auto" w:fill="auto"/>
          </w:tcPr>
          <w:p>
            <w:pPr>
              <w:pStyle w:val="107"/>
            </w:pPr>
            <w:r>
              <w:rPr>
                <w:rFonts w:hint="eastAsia"/>
              </w:rPr>
              <w:t>0</w:t>
            </w:r>
            <w:r>
              <w:t>.004L</w:t>
            </w:r>
          </w:p>
        </w:tc>
        <w:tc>
          <w:tcPr>
            <w:tcW w:w="851" w:type="dxa"/>
            <w:shd w:val="clear" w:color="auto" w:fill="auto"/>
          </w:tcPr>
          <w:p>
            <w:pPr>
              <w:pStyle w:val="107"/>
            </w:pPr>
            <w:r>
              <w:rPr>
                <w:rFonts w:hint="eastAsia"/>
              </w:rPr>
              <w:t>0</w:t>
            </w:r>
            <w:r>
              <w:t>.004L</w:t>
            </w:r>
          </w:p>
        </w:tc>
        <w:tc>
          <w:tcPr>
            <w:tcW w:w="850" w:type="dxa"/>
            <w:shd w:val="clear" w:color="auto" w:fill="auto"/>
          </w:tcPr>
          <w:p>
            <w:pPr>
              <w:pStyle w:val="107"/>
            </w:pPr>
            <w:r>
              <w:rPr>
                <w:rFonts w:hint="eastAsia"/>
              </w:rPr>
              <w:t>0</w:t>
            </w:r>
            <w:r>
              <w:t>.004L</w:t>
            </w:r>
          </w:p>
        </w:tc>
        <w:tc>
          <w:tcPr>
            <w:tcW w:w="851" w:type="dxa"/>
            <w:shd w:val="clear" w:color="auto" w:fill="auto"/>
          </w:tcPr>
          <w:p>
            <w:pPr>
              <w:pStyle w:val="107"/>
            </w:pPr>
            <w:r>
              <w:rPr>
                <w:rFonts w:hint="eastAsia"/>
              </w:rPr>
              <w:t>0</w:t>
            </w:r>
            <w:r>
              <w:t>.004L</w:t>
            </w:r>
          </w:p>
        </w:tc>
        <w:tc>
          <w:tcPr>
            <w:tcW w:w="850" w:type="dxa"/>
            <w:shd w:val="clear" w:color="auto" w:fill="auto"/>
          </w:tcPr>
          <w:p>
            <w:pPr>
              <w:pStyle w:val="107"/>
            </w:pPr>
            <w:r>
              <w:rPr>
                <w:rFonts w:hint="eastAsia"/>
              </w:rPr>
              <w:t>0</w:t>
            </w:r>
            <w:r>
              <w:t>.004L</w:t>
            </w:r>
          </w:p>
        </w:tc>
        <w:tc>
          <w:tcPr>
            <w:tcW w:w="985" w:type="dxa"/>
            <w:vMerge w:val="restart"/>
            <w:vAlign w:val="center"/>
          </w:tcPr>
          <w:p>
            <w:pPr>
              <w:pStyle w:val="107"/>
              <w:rPr>
                <w:rFonts w:cs="Arial"/>
              </w:rPr>
            </w:pPr>
            <w:r>
              <w:rPr>
                <w:rFonts w:ascii="Times New Roman" w:hAnsi="Times New Roma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ascii="Times New Roman" w:hAnsi="Times New Roman"/>
              </w:rPr>
              <w:t>/</w:t>
            </w:r>
          </w:p>
        </w:tc>
        <w:tc>
          <w:tcPr>
            <w:tcW w:w="992"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pPr>
            <w:r>
              <w:rPr>
                <w:rFonts w:hint="eastAsia"/>
              </w:rPr>
              <w:t>1</w:t>
            </w:r>
            <w:r>
              <w:t>4</w:t>
            </w:r>
          </w:p>
        </w:tc>
        <w:tc>
          <w:tcPr>
            <w:tcW w:w="730" w:type="dxa"/>
            <w:vMerge w:val="restart"/>
            <w:vAlign w:val="center"/>
          </w:tcPr>
          <w:p>
            <w:pPr>
              <w:pStyle w:val="107"/>
            </w:pPr>
            <w:r>
              <w:rPr>
                <w:rFonts w:hint="eastAsia"/>
              </w:rPr>
              <w:t>铅</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t>1</w:t>
            </w:r>
            <w:r>
              <w:rPr>
                <w:rFonts w:hint="eastAsia"/>
              </w:rPr>
              <w:t>L</w:t>
            </w:r>
          </w:p>
        </w:tc>
        <w:tc>
          <w:tcPr>
            <w:tcW w:w="992" w:type="dxa"/>
            <w:shd w:val="clear" w:color="auto" w:fill="auto"/>
          </w:tcPr>
          <w:p>
            <w:pPr>
              <w:pStyle w:val="107"/>
            </w:pPr>
            <w:r>
              <w:t>1</w:t>
            </w:r>
            <w:r>
              <w:rPr>
                <w:rFonts w:hint="eastAsia"/>
              </w:rPr>
              <w:t>L</w:t>
            </w:r>
          </w:p>
        </w:tc>
        <w:tc>
          <w:tcPr>
            <w:tcW w:w="851" w:type="dxa"/>
            <w:shd w:val="clear" w:color="auto" w:fill="auto"/>
          </w:tcPr>
          <w:p>
            <w:pPr>
              <w:pStyle w:val="107"/>
            </w:pPr>
            <w:r>
              <w:t>1</w:t>
            </w:r>
            <w:r>
              <w:rPr>
                <w:rFonts w:hint="eastAsia"/>
              </w:rPr>
              <w:t>L</w:t>
            </w:r>
          </w:p>
        </w:tc>
        <w:tc>
          <w:tcPr>
            <w:tcW w:w="850" w:type="dxa"/>
            <w:shd w:val="clear" w:color="auto" w:fill="auto"/>
          </w:tcPr>
          <w:p>
            <w:pPr>
              <w:pStyle w:val="107"/>
            </w:pPr>
            <w:r>
              <w:t>1</w:t>
            </w:r>
            <w:r>
              <w:rPr>
                <w:rFonts w:hint="eastAsia"/>
              </w:rPr>
              <w:t>L</w:t>
            </w:r>
          </w:p>
        </w:tc>
        <w:tc>
          <w:tcPr>
            <w:tcW w:w="851" w:type="dxa"/>
            <w:shd w:val="clear" w:color="auto" w:fill="auto"/>
          </w:tcPr>
          <w:p>
            <w:pPr>
              <w:pStyle w:val="107"/>
            </w:pPr>
            <w:r>
              <w:t>1</w:t>
            </w:r>
            <w:r>
              <w:rPr>
                <w:rFonts w:hint="eastAsia"/>
              </w:rPr>
              <w:t>L</w:t>
            </w:r>
          </w:p>
        </w:tc>
        <w:tc>
          <w:tcPr>
            <w:tcW w:w="850" w:type="dxa"/>
            <w:shd w:val="clear" w:color="auto" w:fill="auto"/>
            <w:vAlign w:val="center"/>
          </w:tcPr>
          <w:p>
            <w:pPr>
              <w:pStyle w:val="107"/>
            </w:pPr>
            <w:r>
              <w:t>1</w:t>
            </w:r>
            <w:r>
              <w:rPr>
                <w:rFonts w:hint="eastAsia"/>
              </w:rPr>
              <w:t>L</w:t>
            </w:r>
          </w:p>
        </w:tc>
        <w:tc>
          <w:tcPr>
            <w:tcW w:w="985" w:type="dxa"/>
            <w:vMerge w:val="restart"/>
            <w:vAlign w:val="center"/>
          </w:tcPr>
          <w:p>
            <w:pPr>
              <w:pStyle w:val="107"/>
              <w:rPr>
                <w:rFonts w:cs="Arial"/>
              </w:rPr>
            </w:pPr>
            <w:r>
              <w:rPr>
                <w:rFonts w:ascii="Times New Roman" w:hAnsi="Times New Roma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ascii="Times New Roman" w:hAnsi="Times New Roman"/>
              </w:rPr>
              <w:t>/</w:t>
            </w:r>
          </w:p>
        </w:tc>
        <w:tc>
          <w:tcPr>
            <w:tcW w:w="992"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pPr>
            <w:r>
              <w:rPr>
                <w:rFonts w:hint="eastAsia"/>
              </w:rPr>
              <w:t>1</w:t>
            </w:r>
            <w:r>
              <w:t>5</w:t>
            </w:r>
          </w:p>
        </w:tc>
        <w:tc>
          <w:tcPr>
            <w:tcW w:w="730" w:type="dxa"/>
            <w:vMerge w:val="restart"/>
            <w:vAlign w:val="center"/>
          </w:tcPr>
          <w:p>
            <w:pPr>
              <w:pStyle w:val="107"/>
            </w:pPr>
            <w:r>
              <w:rPr>
                <w:rFonts w:hint="eastAsia"/>
              </w:rPr>
              <w:t>氟化物</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rPr>
                <w:rFonts w:hint="eastAsia"/>
              </w:rPr>
              <w:t>0</w:t>
            </w:r>
            <w:r>
              <w:t>.011</w:t>
            </w:r>
          </w:p>
        </w:tc>
        <w:tc>
          <w:tcPr>
            <w:tcW w:w="992" w:type="dxa"/>
            <w:shd w:val="clear" w:color="auto" w:fill="auto"/>
            <w:vAlign w:val="center"/>
          </w:tcPr>
          <w:p>
            <w:pPr>
              <w:pStyle w:val="107"/>
            </w:pPr>
            <w:r>
              <w:rPr>
                <w:rFonts w:hint="eastAsia"/>
              </w:rPr>
              <w:t>0</w:t>
            </w:r>
            <w:r>
              <w:t>.012</w:t>
            </w:r>
          </w:p>
        </w:tc>
        <w:tc>
          <w:tcPr>
            <w:tcW w:w="851" w:type="dxa"/>
            <w:shd w:val="clear" w:color="auto" w:fill="auto"/>
            <w:vAlign w:val="center"/>
          </w:tcPr>
          <w:p>
            <w:pPr>
              <w:pStyle w:val="107"/>
            </w:pPr>
            <w:r>
              <w:rPr>
                <w:rFonts w:hint="eastAsia"/>
              </w:rPr>
              <w:t>0</w:t>
            </w:r>
            <w:r>
              <w:t>.011</w:t>
            </w:r>
          </w:p>
        </w:tc>
        <w:tc>
          <w:tcPr>
            <w:tcW w:w="850" w:type="dxa"/>
            <w:shd w:val="clear" w:color="auto" w:fill="auto"/>
            <w:vAlign w:val="center"/>
          </w:tcPr>
          <w:p>
            <w:pPr>
              <w:pStyle w:val="107"/>
            </w:pPr>
            <w:r>
              <w:rPr>
                <w:rFonts w:hint="eastAsia"/>
              </w:rPr>
              <w:t>0</w:t>
            </w:r>
            <w:r>
              <w:t>.011</w:t>
            </w:r>
          </w:p>
        </w:tc>
        <w:tc>
          <w:tcPr>
            <w:tcW w:w="851" w:type="dxa"/>
            <w:shd w:val="clear" w:color="auto" w:fill="auto"/>
            <w:vAlign w:val="center"/>
          </w:tcPr>
          <w:p>
            <w:pPr>
              <w:pStyle w:val="107"/>
            </w:pPr>
            <w:r>
              <w:rPr>
                <w:rFonts w:hint="eastAsia"/>
              </w:rPr>
              <w:t>0</w:t>
            </w:r>
            <w:r>
              <w:t>.0121</w:t>
            </w:r>
          </w:p>
        </w:tc>
        <w:tc>
          <w:tcPr>
            <w:tcW w:w="850" w:type="dxa"/>
            <w:shd w:val="clear" w:color="auto" w:fill="auto"/>
            <w:vAlign w:val="center"/>
          </w:tcPr>
          <w:p>
            <w:pPr>
              <w:pStyle w:val="107"/>
            </w:pPr>
            <w:r>
              <w:rPr>
                <w:rFonts w:hint="eastAsia"/>
              </w:rPr>
              <w:t>0</w:t>
            </w:r>
            <w:r>
              <w:t>.01078</w:t>
            </w:r>
          </w:p>
        </w:tc>
        <w:tc>
          <w:tcPr>
            <w:tcW w:w="985" w:type="dxa"/>
            <w:vMerge w:val="restart"/>
            <w:vAlign w:val="center"/>
          </w:tcPr>
          <w:p>
            <w:pPr>
              <w:pStyle w:val="107"/>
              <w:rPr>
                <w:rFonts w:cs="Arial"/>
              </w:rPr>
            </w:pPr>
            <w:r>
              <w:rPr>
                <w:rFonts w:ascii="Times New Roman" w:hAnsi="Times New Roma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hint="eastAsia"/>
              </w:rPr>
              <w:t>0</w:t>
            </w:r>
            <w:r>
              <w:t>.011</w:t>
            </w:r>
          </w:p>
        </w:tc>
        <w:tc>
          <w:tcPr>
            <w:tcW w:w="992" w:type="dxa"/>
            <w:shd w:val="clear" w:color="auto" w:fill="auto"/>
            <w:vAlign w:val="center"/>
          </w:tcPr>
          <w:p>
            <w:pPr>
              <w:pStyle w:val="107"/>
            </w:pPr>
            <w:r>
              <w:rPr>
                <w:rFonts w:hint="eastAsia"/>
              </w:rPr>
              <w:t>0</w:t>
            </w:r>
            <w:r>
              <w:t>.012</w:t>
            </w:r>
          </w:p>
        </w:tc>
        <w:tc>
          <w:tcPr>
            <w:tcW w:w="851" w:type="dxa"/>
            <w:shd w:val="clear" w:color="auto" w:fill="auto"/>
            <w:vAlign w:val="center"/>
          </w:tcPr>
          <w:p>
            <w:pPr>
              <w:pStyle w:val="107"/>
            </w:pPr>
            <w:r>
              <w:rPr>
                <w:rFonts w:hint="eastAsia"/>
              </w:rPr>
              <w:t>0</w:t>
            </w:r>
            <w:r>
              <w:t>.011</w:t>
            </w:r>
          </w:p>
        </w:tc>
        <w:tc>
          <w:tcPr>
            <w:tcW w:w="850" w:type="dxa"/>
            <w:shd w:val="clear" w:color="auto" w:fill="auto"/>
            <w:vAlign w:val="center"/>
          </w:tcPr>
          <w:p>
            <w:pPr>
              <w:pStyle w:val="107"/>
            </w:pPr>
            <w:r>
              <w:rPr>
                <w:rFonts w:hint="eastAsia"/>
              </w:rPr>
              <w:t>0</w:t>
            </w:r>
            <w:r>
              <w:t>.011</w:t>
            </w:r>
          </w:p>
        </w:tc>
        <w:tc>
          <w:tcPr>
            <w:tcW w:w="851" w:type="dxa"/>
            <w:shd w:val="clear" w:color="auto" w:fill="auto"/>
            <w:vAlign w:val="center"/>
          </w:tcPr>
          <w:p>
            <w:pPr>
              <w:pStyle w:val="107"/>
            </w:pPr>
            <w:r>
              <w:rPr>
                <w:rFonts w:hint="eastAsia"/>
              </w:rPr>
              <w:t>0</w:t>
            </w:r>
            <w:r>
              <w:t>.0121</w:t>
            </w:r>
          </w:p>
        </w:tc>
        <w:tc>
          <w:tcPr>
            <w:tcW w:w="850" w:type="dxa"/>
            <w:shd w:val="clear" w:color="auto" w:fill="auto"/>
            <w:vAlign w:val="center"/>
          </w:tcPr>
          <w:p>
            <w:pPr>
              <w:pStyle w:val="107"/>
            </w:pPr>
            <w:r>
              <w:rPr>
                <w:rFonts w:hint="eastAsia"/>
              </w:rPr>
              <w:t>0</w:t>
            </w:r>
            <w:r>
              <w:t>.01078</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pPr>
            <w:r>
              <w:rPr>
                <w:rFonts w:hint="eastAsia"/>
              </w:rPr>
              <w:t>1</w:t>
            </w:r>
            <w:r>
              <w:t>6</w:t>
            </w:r>
          </w:p>
        </w:tc>
        <w:tc>
          <w:tcPr>
            <w:tcW w:w="730" w:type="dxa"/>
            <w:vMerge w:val="restart"/>
            <w:vAlign w:val="center"/>
          </w:tcPr>
          <w:p>
            <w:pPr>
              <w:pStyle w:val="107"/>
            </w:pPr>
            <w:r>
              <w:rPr>
                <w:rFonts w:hint="eastAsia"/>
              </w:rPr>
              <w:t>隔</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rPr>
                <w:rFonts w:hint="eastAsia"/>
              </w:rPr>
              <w:t>0</w:t>
            </w:r>
            <w:r>
              <w:t>.1L</w:t>
            </w:r>
          </w:p>
        </w:tc>
        <w:tc>
          <w:tcPr>
            <w:tcW w:w="992" w:type="dxa"/>
            <w:shd w:val="clear" w:color="auto" w:fill="auto"/>
          </w:tcPr>
          <w:p>
            <w:pPr>
              <w:pStyle w:val="107"/>
            </w:pPr>
            <w:r>
              <w:rPr>
                <w:rFonts w:hint="eastAsia"/>
              </w:rPr>
              <w:t>0</w:t>
            </w:r>
            <w:r>
              <w:t>.1L</w:t>
            </w:r>
          </w:p>
        </w:tc>
        <w:tc>
          <w:tcPr>
            <w:tcW w:w="851" w:type="dxa"/>
            <w:shd w:val="clear" w:color="auto" w:fill="auto"/>
          </w:tcPr>
          <w:p>
            <w:pPr>
              <w:pStyle w:val="107"/>
            </w:pPr>
            <w:r>
              <w:rPr>
                <w:rFonts w:hint="eastAsia"/>
              </w:rPr>
              <w:t>0</w:t>
            </w:r>
            <w:r>
              <w:t>.1L</w:t>
            </w:r>
          </w:p>
        </w:tc>
        <w:tc>
          <w:tcPr>
            <w:tcW w:w="850" w:type="dxa"/>
            <w:shd w:val="clear" w:color="auto" w:fill="auto"/>
          </w:tcPr>
          <w:p>
            <w:pPr>
              <w:pStyle w:val="107"/>
            </w:pPr>
            <w:r>
              <w:rPr>
                <w:rFonts w:hint="eastAsia"/>
              </w:rPr>
              <w:t>0</w:t>
            </w:r>
            <w:r>
              <w:t>.1L</w:t>
            </w:r>
          </w:p>
        </w:tc>
        <w:tc>
          <w:tcPr>
            <w:tcW w:w="851" w:type="dxa"/>
            <w:shd w:val="clear" w:color="auto" w:fill="auto"/>
          </w:tcPr>
          <w:p>
            <w:pPr>
              <w:pStyle w:val="107"/>
            </w:pPr>
            <w:r>
              <w:rPr>
                <w:rFonts w:hint="eastAsia"/>
              </w:rPr>
              <w:t>0</w:t>
            </w:r>
            <w:r>
              <w:t>.1L</w:t>
            </w:r>
          </w:p>
        </w:tc>
        <w:tc>
          <w:tcPr>
            <w:tcW w:w="850" w:type="dxa"/>
            <w:shd w:val="clear" w:color="auto" w:fill="auto"/>
          </w:tcPr>
          <w:p>
            <w:pPr>
              <w:pStyle w:val="107"/>
            </w:pPr>
            <w:r>
              <w:rPr>
                <w:rFonts w:hint="eastAsia"/>
              </w:rPr>
              <w:t>0</w:t>
            </w:r>
            <w:r>
              <w:t>.1L</w:t>
            </w:r>
          </w:p>
        </w:tc>
        <w:tc>
          <w:tcPr>
            <w:tcW w:w="985" w:type="dxa"/>
            <w:vMerge w:val="restart"/>
            <w:vAlign w:val="center"/>
          </w:tcPr>
          <w:p>
            <w:pPr>
              <w:pStyle w:val="107"/>
              <w:rPr>
                <w:rFonts w:cs="Arial"/>
              </w:rPr>
            </w:pPr>
            <w:r>
              <w:rPr>
                <w:rFonts w:ascii="Times New Roman" w:hAnsi="Times New Roma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ascii="Times New Roman" w:hAnsi="Times New Roman"/>
              </w:rPr>
              <w:t>/</w:t>
            </w:r>
          </w:p>
        </w:tc>
        <w:tc>
          <w:tcPr>
            <w:tcW w:w="992"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pPr>
            <w:r>
              <w:rPr>
                <w:rFonts w:hint="eastAsia"/>
              </w:rPr>
              <w:t>1</w:t>
            </w:r>
            <w:r>
              <w:t>7</w:t>
            </w:r>
          </w:p>
        </w:tc>
        <w:tc>
          <w:tcPr>
            <w:tcW w:w="730" w:type="dxa"/>
            <w:vMerge w:val="restart"/>
            <w:vAlign w:val="center"/>
          </w:tcPr>
          <w:p>
            <w:pPr>
              <w:pStyle w:val="107"/>
            </w:pPr>
            <w:r>
              <w:rPr>
                <w:rFonts w:hint="eastAsia"/>
              </w:rPr>
              <w:t>锰</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rPr>
                <w:rFonts w:hint="eastAsia"/>
              </w:rPr>
              <w:t>0</w:t>
            </w:r>
            <w:r>
              <w:t>.01L</w:t>
            </w:r>
          </w:p>
        </w:tc>
        <w:tc>
          <w:tcPr>
            <w:tcW w:w="992" w:type="dxa"/>
            <w:shd w:val="clear" w:color="auto" w:fill="auto"/>
          </w:tcPr>
          <w:p>
            <w:pPr>
              <w:pStyle w:val="107"/>
            </w:pPr>
            <w:r>
              <w:rPr>
                <w:rFonts w:hint="eastAsia"/>
              </w:rPr>
              <w:t>0</w:t>
            </w:r>
            <w:r>
              <w:t>.01L</w:t>
            </w:r>
          </w:p>
        </w:tc>
        <w:tc>
          <w:tcPr>
            <w:tcW w:w="851" w:type="dxa"/>
            <w:shd w:val="clear" w:color="auto" w:fill="auto"/>
          </w:tcPr>
          <w:p>
            <w:pPr>
              <w:pStyle w:val="107"/>
            </w:pPr>
            <w:r>
              <w:rPr>
                <w:rFonts w:hint="eastAsia"/>
              </w:rPr>
              <w:t>0</w:t>
            </w:r>
            <w:r>
              <w:t>.01L</w:t>
            </w:r>
          </w:p>
        </w:tc>
        <w:tc>
          <w:tcPr>
            <w:tcW w:w="850" w:type="dxa"/>
            <w:shd w:val="clear" w:color="auto" w:fill="auto"/>
          </w:tcPr>
          <w:p>
            <w:pPr>
              <w:pStyle w:val="107"/>
            </w:pPr>
            <w:r>
              <w:rPr>
                <w:rFonts w:hint="eastAsia"/>
              </w:rPr>
              <w:t>0</w:t>
            </w:r>
            <w:r>
              <w:t>.01L</w:t>
            </w:r>
          </w:p>
        </w:tc>
        <w:tc>
          <w:tcPr>
            <w:tcW w:w="851" w:type="dxa"/>
            <w:shd w:val="clear" w:color="auto" w:fill="auto"/>
          </w:tcPr>
          <w:p>
            <w:pPr>
              <w:pStyle w:val="107"/>
            </w:pPr>
            <w:r>
              <w:rPr>
                <w:rFonts w:hint="eastAsia"/>
              </w:rPr>
              <w:t>0</w:t>
            </w:r>
            <w:r>
              <w:t>.01L</w:t>
            </w:r>
          </w:p>
        </w:tc>
        <w:tc>
          <w:tcPr>
            <w:tcW w:w="850" w:type="dxa"/>
            <w:shd w:val="clear" w:color="auto" w:fill="auto"/>
          </w:tcPr>
          <w:p>
            <w:pPr>
              <w:pStyle w:val="107"/>
            </w:pPr>
            <w:r>
              <w:rPr>
                <w:rFonts w:hint="eastAsia"/>
              </w:rPr>
              <w:t>0</w:t>
            </w:r>
            <w:r>
              <w:t>.01L</w:t>
            </w:r>
          </w:p>
        </w:tc>
        <w:tc>
          <w:tcPr>
            <w:tcW w:w="985" w:type="dxa"/>
            <w:vMerge w:val="restart"/>
            <w:vAlign w:val="center"/>
          </w:tcPr>
          <w:p>
            <w:pPr>
              <w:pStyle w:val="107"/>
              <w:rPr>
                <w:rFonts w:cs="Arial"/>
              </w:rPr>
            </w:pPr>
            <w:r>
              <w:rPr>
                <w:rFonts w:ascii="Times New Roman" w:hAnsi="Times New Roma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ascii="Times New Roman" w:hAnsi="Times New Roman"/>
              </w:rPr>
              <w:t>/</w:t>
            </w:r>
          </w:p>
        </w:tc>
        <w:tc>
          <w:tcPr>
            <w:tcW w:w="992"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985" w:type="dxa"/>
            <w:vMerge w:val="continue"/>
            <w:vAlign w:val="center"/>
          </w:tcPr>
          <w:p>
            <w:pPr>
              <w:pStyle w:val="107"/>
              <w:rPr>
                <w:rFonts w:cs="Arial"/>
              </w:rPr>
            </w:pPr>
          </w:p>
        </w:tc>
      </w:tr>
      <w:tr>
        <w:tblPrEx>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pPr>
            <w:r>
              <w:rPr>
                <w:rFonts w:hint="eastAsia"/>
              </w:rPr>
              <w:t>1</w:t>
            </w:r>
            <w:r>
              <w:t>8</w:t>
            </w:r>
          </w:p>
        </w:tc>
        <w:tc>
          <w:tcPr>
            <w:tcW w:w="730" w:type="dxa"/>
            <w:vMerge w:val="restart"/>
            <w:vAlign w:val="center"/>
          </w:tcPr>
          <w:p>
            <w:pPr>
              <w:pStyle w:val="107"/>
            </w:pPr>
            <w:r>
              <w:rPr>
                <w:rFonts w:hint="eastAsia"/>
              </w:rPr>
              <w:t>高锰酸盐指数</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rPr>
                <w:rFonts w:hint="eastAsia"/>
              </w:rPr>
              <w:t>1</w:t>
            </w:r>
            <w:r>
              <w:t>.8</w:t>
            </w:r>
          </w:p>
        </w:tc>
        <w:tc>
          <w:tcPr>
            <w:tcW w:w="992" w:type="dxa"/>
            <w:shd w:val="clear" w:color="auto" w:fill="auto"/>
            <w:vAlign w:val="center"/>
          </w:tcPr>
          <w:p>
            <w:pPr>
              <w:pStyle w:val="107"/>
            </w:pPr>
            <w:r>
              <w:rPr>
                <w:rFonts w:hint="eastAsia"/>
              </w:rPr>
              <w:t>2</w:t>
            </w:r>
            <w:r>
              <w:t>.0</w:t>
            </w:r>
          </w:p>
        </w:tc>
        <w:tc>
          <w:tcPr>
            <w:tcW w:w="851" w:type="dxa"/>
            <w:shd w:val="clear" w:color="auto" w:fill="auto"/>
            <w:vAlign w:val="center"/>
          </w:tcPr>
          <w:p>
            <w:pPr>
              <w:pStyle w:val="107"/>
            </w:pPr>
            <w:r>
              <w:rPr>
                <w:rFonts w:hint="eastAsia"/>
              </w:rPr>
              <w:t>1</w:t>
            </w:r>
            <w:r>
              <w:t>.8</w:t>
            </w:r>
          </w:p>
        </w:tc>
        <w:tc>
          <w:tcPr>
            <w:tcW w:w="850" w:type="dxa"/>
            <w:shd w:val="clear" w:color="auto" w:fill="auto"/>
            <w:vAlign w:val="center"/>
          </w:tcPr>
          <w:p>
            <w:pPr>
              <w:pStyle w:val="107"/>
            </w:pPr>
            <w:r>
              <w:rPr>
                <w:rFonts w:hint="eastAsia"/>
              </w:rPr>
              <w:t>1</w:t>
            </w:r>
            <w:r>
              <w:t>.6</w:t>
            </w:r>
          </w:p>
        </w:tc>
        <w:tc>
          <w:tcPr>
            <w:tcW w:w="851" w:type="dxa"/>
            <w:shd w:val="clear" w:color="auto" w:fill="auto"/>
            <w:vAlign w:val="center"/>
          </w:tcPr>
          <w:p>
            <w:pPr>
              <w:pStyle w:val="107"/>
            </w:pPr>
            <w:r>
              <w:rPr>
                <w:rFonts w:hint="eastAsia"/>
              </w:rPr>
              <w:t>1</w:t>
            </w:r>
            <w:r>
              <w:t>.8</w:t>
            </w:r>
          </w:p>
        </w:tc>
        <w:tc>
          <w:tcPr>
            <w:tcW w:w="850" w:type="dxa"/>
            <w:shd w:val="clear" w:color="auto" w:fill="auto"/>
            <w:vAlign w:val="center"/>
          </w:tcPr>
          <w:p>
            <w:pPr>
              <w:pStyle w:val="107"/>
            </w:pPr>
            <w:r>
              <w:rPr>
                <w:rFonts w:hint="eastAsia"/>
              </w:rPr>
              <w:t>1</w:t>
            </w:r>
            <w:r>
              <w:t>.6</w:t>
            </w:r>
          </w:p>
        </w:tc>
        <w:tc>
          <w:tcPr>
            <w:tcW w:w="985" w:type="dxa"/>
            <w:vMerge w:val="restart"/>
            <w:vAlign w:val="center"/>
          </w:tcPr>
          <w:p>
            <w:pPr>
              <w:pStyle w:val="107"/>
              <w:rPr>
                <w:rFonts w:cs="Arial"/>
              </w:rPr>
            </w:pPr>
            <w:r>
              <w:rPr>
                <w:rFonts w:ascii="Times New Roman" w:hAnsi="Times New Roma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hint="eastAsia"/>
              </w:rPr>
              <w:t xml:space="preserve">0.60 </w:t>
            </w:r>
          </w:p>
        </w:tc>
        <w:tc>
          <w:tcPr>
            <w:tcW w:w="992" w:type="dxa"/>
            <w:shd w:val="clear" w:color="auto" w:fill="auto"/>
            <w:vAlign w:val="center"/>
          </w:tcPr>
          <w:p>
            <w:pPr>
              <w:pStyle w:val="107"/>
            </w:pPr>
            <w:r>
              <w:rPr>
                <w:rFonts w:hint="eastAsia"/>
              </w:rPr>
              <w:t xml:space="preserve">0.67 </w:t>
            </w:r>
          </w:p>
        </w:tc>
        <w:tc>
          <w:tcPr>
            <w:tcW w:w="851" w:type="dxa"/>
            <w:shd w:val="clear" w:color="auto" w:fill="auto"/>
            <w:vAlign w:val="center"/>
          </w:tcPr>
          <w:p>
            <w:pPr>
              <w:pStyle w:val="107"/>
            </w:pPr>
            <w:r>
              <w:rPr>
                <w:rFonts w:hint="eastAsia"/>
              </w:rPr>
              <w:t xml:space="preserve">0.60 </w:t>
            </w:r>
          </w:p>
        </w:tc>
        <w:tc>
          <w:tcPr>
            <w:tcW w:w="850" w:type="dxa"/>
            <w:shd w:val="clear" w:color="auto" w:fill="auto"/>
            <w:vAlign w:val="center"/>
          </w:tcPr>
          <w:p>
            <w:pPr>
              <w:pStyle w:val="107"/>
            </w:pPr>
            <w:r>
              <w:rPr>
                <w:rFonts w:hint="eastAsia"/>
              </w:rPr>
              <w:t xml:space="preserve">0.53 </w:t>
            </w:r>
          </w:p>
        </w:tc>
        <w:tc>
          <w:tcPr>
            <w:tcW w:w="851" w:type="dxa"/>
            <w:shd w:val="clear" w:color="auto" w:fill="auto"/>
            <w:vAlign w:val="center"/>
          </w:tcPr>
          <w:p>
            <w:pPr>
              <w:pStyle w:val="107"/>
            </w:pPr>
            <w:r>
              <w:rPr>
                <w:rFonts w:hint="eastAsia"/>
              </w:rPr>
              <w:t xml:space="preserve">0.60 </w:t>
            </w:r>
          </w:p>
        </w:tc>
        <w:tc>
          <w:tcPr>
            <w:tcW w:w="850" w:type="dxa"/>
            <w:shd w:val="clear" w:color="auto" w:fill="auto"/>
            <w:vAlign w:val="center"/>
          </w:tcPr>
          <w:p>
            <w:pPr>
              <w:pStyle w:val="107"/>
            </w:pPr>
            <w:r>
              <w:rPr>
                <w:rFonts w:hint="eastAsia"/>
              </w:rPr>
              <w:t xml:space="preserve">0.53 </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pPr>
            <w:r>
              <w:rPr>
                <w:rFonts w:hint="eastAsia"/>
              </w:rPr>
              <w:t>1</w:t>
            </w:r>
            <w:r>
              <w:t>9</w:t>
            </w:r>
          </w:p>
        </w:tc>
        <w:tc>
          <w:tcPr>
            <w:tcW w:w="730" w:type="dxa"/>
            <w:vMerge w:val="restart"/>
            <w:vAlign w:val="center"/>
          </w:tcPr>
          <w:p>
            <w:pPr>
              <w:pStyle w:val="107"/>
            </w:pPr>
            <w:r>
              <w:rPr>
                <w:rFonts w:hint="eastAsia"/>
              </w:rPr>
              <w:t>硫酸盐</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rPr>
                <w:rFonts w:hint="eastAsia"/>
              </w:rPr>
              <w:t>5</w:t>
            </w:r>
            <w:r>
              <w:t>L</w:t>
            </w:r>
          </w:p>
        </w:tc>
        <w:tc>
          <w:tcPr>
            <w:tcW w:w="992" w:type="dxa"/>
            <w:shd w:val="clear" w:color="auto" w:fill="auto"/>
          </w:tcPr>
          <w:p>
            <w:pPr>
              <w:pStyle w:val="107"/>
            </w:pPr>
            <w:r>
              <w:rPr>
                <w:rFonts w:hint="eastAsia"/>
              </w:rPr>
              <w:t>5</w:t>
            </w:r>
            <w:r>
              <w:t>L</w:t>
            </w:r>
          </w:p>
        </w:tc>
        <w:tc>
          <w:tcPr>
            <w:tcW w:w="851" w:type="dxa"/>
            <w:shd w:val="clear" w:color="auto" w:fill="auto"/>
          </w:tcPr>
          <w:p>
            <w:pPr>
              <w:pStyle w:val="107"/>
            </w:pPr>
            <w:r>
              <w:rPr>
                <w:rFonts w:hint="eastAsia"/>
              </w:rPr>
              <w:t>5</w:t>
            </w:r>
            <w:r>
              <w:t>L</w:t>
            </w:r>
          </w:p>
        </w:tc>
        <w:tc>
          <w:tcPr>
            <w:tcW w:w="850" w:type="dxa"/>
            <w:shd w:val="clear" w:color="auto" w:fill="auto"/>
          </w:tcPr>
          <w:p>
            <w:pPr>
              <w:pStyle w:val="107"/>
            </w:pPr>
            <w:r>
              <w:rPr>
                <w:rFonts w:hint="eastAsia"/>
              </w:rPr>
              <w:t>5</w:t>
            </w:r>
            <w:r>
              <w:t>L</w:t>
            </w:r>
          </w:p>
        </w:tc>
        <w:tc>
          <w:tcPr>
            <w:tcW w:w="851" w:type="dxa"/>
            <w:shd w:val="clear" w:color="auto" w:fill="auto"/>
          </w:tcPr>
          <w:p>
            <w:pPr>
              <w:pStyle w:val="107"/>
            </w:pPr>
            <w:r>
              <w:rPr>
                <w:rFonts w:hint="eastAsia"/>
              </w:rPr>
              <w:t>5</w:t>
            </w:r>
            <w:r>
              <w:t>L</w:t>
            </w:r>
          </w:p>
        </w:tc>
        <w:tc>
          <w:tcPr>
            <w:tcW w:w="850" w:type="dxa"/>
            <w:shd w:val="clear" w:color="auto" w:fill="auto"/>
          </w:tcPr>
          <w:p>
            <w:pPr>
              <w:pStyle w:val="107"/>
            </w:pPr>
            <w:r>
              <w:rPr>
                <w:rFonts w:hint="eastAsia"/>
              </w:rPr>
              <w:t>5</w:t>
            </w:r>
            <w:r>
              <w:t>L</w:t>
            </w:r>
          </w:p>
        </w:tc>
        <w:tc>
          <w:tcPr>
            <w:tcW w:w="985" w:type="dxa"/>
            <w:vMerge w:val="restart"/>
            <w:vAlign w:val="center"/>
          </w:tcPr>
          <w:p>
            <w:pPr>
              <w:pStyle w:val="107"/>
              <w:rPr>
                <w:rFonts w:cs="Arial"/>
              </w:rPr>
            </w:pPr>
            <w:r>
              <w:rPr>
                <w:rFonts w:ascii="Times New Roman" w:hAnsi="Times New Roma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ascii="Times New Roman" w:hAnsi="Times New Roman"/>
              </w:rPr>
              <w:t>/</w:t>
            </w:r>
          </w:p>
        </w:tc>
        <w:tc>
          <w:tcPr>
            <w:tcW w:w="992"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pPr>
            <w:r>
              <w:rPr>
                <w:rFonts w:hint="eastAsia"/>
              </w:rPr>
              <w:t>2</w:t>
            </w:r>
            <w:r>
              <w:t>0</w:t>
            </w:r>
          </w:p>
        </w:tc>
        <w:tc>
          <w:tcPr>
            <w:tcW w:w="730" w:type="dxa"/>
            <w:vMerge w:val="restart"/>
            <w:vAlign w:val="center"/>
          </w:tcPr>
          <w:p>
            <w:pPr>
              <w:pStyle w:val="107"/>
            </w:pPr>
            <w:r>
              <w:rPr>
                <w:rFonts w:hint="eastAsia"/>
              </w:rPr>
              <w:t>总大肠菌群</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rPr>
                <w:rFonts w:hint="eastAsia"/>
              </w:rPr>
              <w:t>2</w:t>
            </w:r>
            <w:r>
              <w:t>0L</w:t>
            </w:r>
          </w:p>
        </w:tc>
        <w:tc>
          <w:tcPr>
            <w:tcW w:w="992" w:type="dxa"/>
            <w:shd w:val="clear" w:color="auto" w:fill="auto"/>
          </w:tcPr>
          <w:p>
            <w:pPr>
              <w:pStyle w:val="107"/>
            </w:pPr>
            <w:r>
              <w:rPr>
                <w:rFonts w:hint="eastAsia"/>
              </w:rPr>
              <w:t>2</w:t>
            </w:r>
            <w:r>
              <w:t>0L</w:t>
            </w:r>
          </w:p>
        </w:tc>
        <w:tc>
          <w:tcPr>
            <w:tcW w:w="851" w:type="dxa"/>
            <w:shd w:val="clear" w:color="auto" w:fill="auto"/>
          </w:tcPr>
          <w:p>
            <w:pPr>
              <w:pStyle w:val="107"/>
            </w:pPr>
            <w:r>
              <w:rPr>
                <w:rFonts w:hint="eastAsia"/>
              </w:rPr>
              <w:t>2</w:t>
            </w:r>
            <w:r>
              <w:t>0L</w:t>
            </w:r>
          </w:p>
        </w:tc>
        <w:tc>
          <w:tcPr>
            <w:tcW w:w="850" w:type="dxa"/>
            <w:shd w:val="clear" w:color="auto" w:fill="auto"/>
          </w:tcPr>
          <w:p>
            <w:pPr>
              <w:pStyle w:val="107"/>
            </w:pPr>
            <w:r>
              <w:rPr>
                <w:rFonts w:hint="eastAsia"/>
              </w:rPr>
              <w:t>2</w:t>
            </w:r>
            <w:r>
              <w:t>0L</w:t>
            </w:r>
          </w:p>
        </w:tc>
        <w:tc>
          <w:tcPr>
            <w:tcW w:w="851" w:type="dxa"/>
            <w:shd w:val="clear" w:color="auto" w:fill="auto"/>
          </w:tcPr>
          <w:p>
            <w:pPr>
              <w:pStyle w:val="107"/>
            </w:pPr>
            <w:r>
              <w:rPr>
                <w:rFonts w:hint="eastAsia"/>
              </w:rPr>
              <w:t>2</w:t>
            </w:r>
            <w:r>
              <w:t>0L</w:t>
            </w:r>
          </w:p>
        </w:tc>
        <w:tc>
          <w:tcPr>
            <w:tcW w:w="850" w:type="dxa"/>
            <w:shd w:val="clear" w:color="auto" w:fill="auto"/>
          </w:tcPr>
          <w:p>
            <w:pPr>
              <w:pStyle w:val="107"/>
            </w:pPr>
            <w:r>
              <w:rPr>
                <w:rFonts w:hint="eastAsia"/>
              </w:rPr>
              <w:t>2</w:t>
            </w:r>
            <w:r>
              <w:t>0L</w:t>
            </w:r>
          </w:p>
        </w:tc>
        <w:tc>
          <w:tcPr>
            <w:tcW w:w="985" w:type="dxa"/>
            <w:vMerge w:val="restart"/>
            <w:vAlign w:val="center"/>
          </w:tcPr>
          <w:p>
            <w:pPr>
              <w:pStyle w:val="107"/>
              <w:rPr>
                <w:rFonts w:cs="Arial"/>
              </w:rPr>
            </w:pPr>
            <w:r>
              <w:rPr>
                <w:rFonts w:ascii="Times New Roman" w:hAnsi="Times New Roma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ascii="Times New Roman" w:hAnsi="Times New Roman"/>
              </w:rPr>
              <w:t>/</w:t>
            </w:r>
          </w:p>
        </w:tc>
        <w:tc>
          <w:tcPr>
            <w:tcW w:w="992"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985" w:type="dxa"/>
            <w:vMerge w:val="continue"/>
            <w:vAlign w:val="center"/>
          </w:tcPr>
          <w:p>
            <w:pPr>
              <w:pStyle w:val="107"/>
              <w:rPr>
                <w:rFonts w:cs="Arial"/>
              </w:rPr>
            </w:pPr>
          </w:p>
        </w:tc>
      </w:tr>
      <w:tr>
        <w:tblPrEx>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pPr>
            <w:r>
              <w:rPr>
                <w:rFonts w:hint="eastAsia"/>
              </w:rPr>
              <w:t>2</w:t>
            </w:r>
            <w:r>
              <w:t>1</w:t>
            </w:r>
          </w:p>
        </w:tc>
        <w:tc>
          <w:tcPr>
            <w:tcW w:w="730" w:type="dxa"/>
            <w:vMerge w:val="restart"/>
            <w:vAlign w:val="center"/>
          </w:tcPr>
          <w:p>
            <w:pPr>
              <w:pStyle w:val="107"/>
            </w:pPr>
            <w:r>
              <w:rPr>
                <w:rFonts w:hint="eastAsia"/>
              </w:rPr>
              <w:t>细菌总数</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rPr>
                <w:rFonts w:hint="eastAsia"/>
              </w:rPr>
              <w:t>2</w:t>
            </w:r>
            <w:r>
              <w:t>0L</w:t>
            </w:r>
          </w:p>
        </w:tc>
        <w:tc>
          <w:tcPr>
            <w:tcW w:w="992" w:type="dxa"/>
            <w:shd w:val="clear" w:color="auto" w:fill="auto"/>
          </w:tcPr>
          <w:p>
            <w:pPr>
              <w:pStyle w:val="107"/>
            </w:pPr>
            <w:r>
              <w:rPr>
                <w:rFonts w:hint="eastAsia"/>
              </w:rPr>
              <w:t>2</w:t>
            </w:r>
            <w:r>
              <w:t>0L</w:t>
            </w:r>
          </w:p>
        </w:tc>
        <w:tc>
          <w:tcPr>
            <w:tcW w:w="851" w:type="dxa"/>
            <w:shd w:val="clear" w:color="auto" w:fill="auto"/>
          </w:tcPr>
          <w:p>
            <w:pPr>
              <w:pStyle w:val="107"/>
            </w:pPr>
            <w:r>
              <w:rPr>
                <w:rFonts w:hint="eastAsia"/>
              </w:rPr>
              <w:t>2</w:t>
            </w:r>
            <w:r>
              <w:t>0L</w:t>
            </w:r>
          </w:p>
        </w:tc>
        <w:tc>
          <w:tcPr>
            <w:tcW w:w="850" w:type="dxa"/>
            <w:shd w:val="clear" w:color="auto" w:fill="auto"/>
          </w:tcPr>
          <w:p>
            <w:pPr>
              <w:pStyle w:val="107"/>
            </w:pPr>
            <w:r>
              <w:rPr>
                <w:rFonts w:hint="eastAsia"/>
              </w:rPr>
              <w:t>2</w:t>
            </w:r>
            <w:r>
              <w:t>0L</w:t>
            </w:r>
          </w:p>
        </w:tc>
        <w:tc>
          <w:tcPr>
            <w:tcW w:w="851" w:type="dxa"/>
            <w:shd w:val="clear" w:color="auto" w:fill="auto"/>
          </w:tcPr>
          <w:p>
            <w:pPr>
              <w:pStyle w:val="107"/>
            </w:pPr>
            <w:r>
              <w:rPr>
                <w:rFonts w:hint="eastAsia"/>
              </w:rPr>
              <w:t>2</w:t>
            </w:r>
            <w:r>
              <w:t>0L</w:t>
            </w:r>
          </w:p>
        </w:tc>
        <w:tc>
          <w:tcPr>
            <w:tcW w:w="850" w:type="dxa"/>
            <w:shd w:val="clear" w:color="auto" w:fill="auto"/>
          </w:tcPr>
          <w:p>
            <w:pPr>
              <w:pStyle w:val="107"/>
            </w:pPr>
            <w:r>
              <w:rPr>
                <w:rFonts w:hint="eastAsia"/>
              </w:rPr>
              <w:t>2</w:t>
            </w:r>
            <w:r>
              <w:t>0L</w:t>
            </w:r>
          </w:p>
        </w:tc>
        <w:tc>
          <w:tcPr>
            <w:tcW w:w="985" w:type="dxa"/>
            <w:vMerge w:val="restart"/>
            <w:vAlign w:val="center"/>
          </w:tcPr>
          <w:p>
            <w:pPr>
              <w:pStyle w:val="107"/>
              <w:rPr>
                <w:rFonts w:cs="Arial"/>
              </w:rPr>
            </w:pPr>
            <w:r>
              <w:rPr>
                <w:rFonts w:ascii="Times New Roman" w:hAnsi="Times New Roma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ascii="Times New Roman" w:hAnsi="Times New Roman"/>
              </w:rPr>
              <w:t>/</w:t>
            </w:r>
          </w:p>
        </w:tc>
        <w:tc>
          <w:tcPr>
            <w:tcW w:w="992"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pPr>
            <w:r>
              <w:rPr>
                <w:rFonts w:hint="eastAsia"/>
              </w:rPr>
              <w:t>2</w:t>
            </w:r>
            <w:r>
              <w:t>2</w:t>
            </w:r>
          </w:p>
        </w:tc>
        <w:tc>
          <w:tcPr>
            <w:tcW w:w="730" w:type="dxa"/>
            <w:vMerge w:val="restart"/>
            <w:vAlign w:val="center"/>
          </w:tcPr>
          <w:p>
            <w:pPr>
              <w:pStyle w:val="107"/>
            </w:pPr>
            <w:r>
              <w:rPr>
                <w:rFonts w:hint="eastAsia"/>
              </w:rPr>
              <w:t>C</w:t>
            </w:r>
            <w:r>
              <w:t>l</w:t>
            </w:r>
            <w:r>
              <w:rPr>
                <w:rFonts w:hint="eastAsia"/>
                <w:vertAlign w:val="superscript"/>
              </w:rPr>
              <w:t>-</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rPr>
                <w:rFonts w:hint="eastAsia"/>
              </w:rPr>
              <w:t>6</w:t>
            </w:r>
            <w:r>
              <w:t>.4</w:t>
            </w:r>
          </w:p>
        </w:tc>
        <w:tc>
          <w:tcPr>
            <w:tcW w:w="992" w:type="dxa"/>
            <w:shd w:val="clear" w:color="auto" w:fill="auto"/>
            <w:vAlign w:val="center"/>
          </w:tcPr>
          <w:p>
            <w:pPr>
              <w:pStyle w:val="107"/>
            </w:pPr>
            <w:r>
              <w:rPr>
                <w:rFonts w:hint="eastAsia"/>
              </w:rPr>
              <w:t>7</w:t>
            </w:r>
            <w:r>
              <w:t>.0</w:t>
            </w:r>
          </w:p>
        </w:tc>
        <w:tc>
          <w:tcPr>
            <w:tcW w:w="851" w:type="dxa"/>
            <w:shd w:val="clear" w:color="auto" w:fill="auto"/>
            <w:vAlign w:val="center"/>
          </w:tcPr>
          <w:p>
            <w:pPr>
              <w:pStyle w:val="107"/>
            </w:pPr>
            <w:r>
              <w:rPr>
                <w:rFonts w:hint="eastAsia"/>
              </w:rPr>
              <w:t>6</w:t>
            </w:r>
            <w:r>
              <w:t>.3</w:t>
            </w:r>
          </w:p>
        </w:tc>
        <w:tc>
          <w:tcPr>
            <w:tcW w:w="850" w:type="dxa"/>
            <w:shd w:val="clear" w:color="auto" w:fill="auto"/>
            <w:vAlign w:val="center"/>
          </w:tcPr>
          <w:p>
            <w:pPr>
              <w:pStyle w:val="107"/>
            </w:pPr>
            <w:r>
              <w:rPr>
                <w:rFonts w:hint="eastAsia"/>
              </w:rPr>
              <w:t>5</w:t>
            </w:r>
            <w:r>
              <w:t>.1</w:t>
            </w:r>
          </w:p>
        </w:tc>
        <w:tc>
          <w:tcPr>
            <w:tcW w:w="851" w:type="dxa"/>
            <w:shd w:val="clear" w:color="auto" w:fill="auto"/>
            <w:vAlign w:val="center"/>
          </w:tcPr>
          <w:p>
            <w:pPr>
              <w:pStyle w:val="107"/>
            </w:pPr>
            <w:r>
              <w:rPr>
                <w:rFonts w:hint="eastAsia"/>
              </w:rPr>
              <w:t>5</w:t>
            </w:r>
            <w:r>
              <w:t>.6</w:t>
            </w:r>
          </w:p>
        </w:tc>
        <w:tc>
          <w:tcPr>
            <w:tcW w:w="850" w:type="dxa"/>
            <w:shd w:val="clear" w:color="auto" w:fill="auto"/>
            <w:vAlign w:val="center"/>
          </w:tcPr>
          <w:p>
            <w:pPr>
              <w:pStyle w:val="107"/>
            </w:pPr>
            <w:r>
              <w:rPr>
                <w:rFonts w:hint="eastAsia"/>
              </w:rPr>
              <w:t>5</w:t>
            </w:r>
            <w:r>
              <w:t>.0</w:t>
            </w:r>
          </w:p>
        </w:tc>
        <w:tc>
          <w:tcPr>
            <w:tcW w:w="985" w:type="dxa"/>
            <w:vMerge w:val="restart"/>
            <w:vAlign w:val="center"/>
          </w:tcPr>
          <w:p>
            <w:pPr>
              <w:pStyle w:val="107"/>
              <w:rPr>
                <w:rFonts w:cs="Arial"/>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ascii="Times New Roman" w:hAnsi="Times New Roman"/>
              </w:rPr>
              <w:t>/</w:t>
            </w:r>
          </w:p>
        </w:tc>
        <w:tc>
          <w:tcPr>
            <w:tcW w:w="992"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pPr>
            <w:r>
              <w:rPr>
                <w:rFonts w:hint="eastAsia"/>
              </w:rPr>
              <w:t>2</w:t>
            </w:r>
            <w:r>
              <w:t>3</w:t>
            </w:r>
          </w:p>
        </w:tc>
        <w:tc>
          <w:tcPr>
            <w:tcW w:w="730" w:type="dxa"/>
            <w:vMerge w:val="restart"/>
            <w:vAlign w:val="center"/>
          </w:tcPr>
          <w:p>
            <w:pPr>
              <w:pStyle w:val="107"/>
            </w:pPr>
            <w:r>
              <w:rPr>
                <w:rFonts w:hint="eastAsia"/>
              </w:rPr>
              <w:t>钴</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rPr>
                <w:rFonts w:hint="eastAsia"/>
              </w:rPr>
              <w:t>0</w:t>
            </w:r>
            <w:r>
              <w:t>.00003L</w:t>
            </w:r>
          </w:p>
        </w:tc>
        <w:tc>
          <w:tcPr>
            <w:tcW w:w="992" w:type="dxa"/>
            <w:shd w:val="clear" w:color="auto" w:fill="auto"/>
          </w:tcPr>
          <w:p>
            <w:pPr>
              <w:pStyle w:val="107"/>
            </w:pPr>
            <w:r>
              <w:rPr>
                <w:rFonts w:hint="eastAsia"/>
              </w:rPr>
              <w:t>0</w:t>
            </w:r>
            <w:r>
              <w:t>.00003L</w:t>
            </w:r>
          </w:p>
        </w:tc>
        <w:tc>
          <w:tcPr>
            <w:tcW w:w="851" w:type="dxa"/>
            <w:shd w:val="clear" w:color="auto" w:fill="auto"/>
          </w:tcPr>
          <w:p>
            <w:pPr>
              <w:pStyle w:val="107"/>
            </w:pPr>
            <w:r>
              <w:rPr>
                <w:rFonts w:hint="eastAsia"/>
              </w:rPr>
              <w:t>0</w:t>
            </w:r>
            <w:r>
              <w:t>.00003L</w:t>
            </w:r>
          </w:p>
        </w:tc>
        <w:tc>
          <w:tcPr>
            <w:tcW w:w="850" w:type="dxa"/>
            <w:shd w:val="clear" w:color="auto" w:fill="auto"/>
          </w:tcPr>
          <w:p>
            <w:pPr>
              <w:pStyle w:val="107"/>
            </w:pPr>
            <w:r>
              <w:rPr>
                <w:rFonts w:hint="eastAsia"/>
              </w:rPr>
              <w:t>0</w:t>
            </w:r>
            <w:r>
              <w:t>.00003L</w:t>
            </w:r>
          </w:p>
        </w:tc>
        <w:tc>
          <w:tcPr>
            <w:tcW w:w="851" w:type="dxa"/>
            <w:shd w:val="clear" w:color="auto" w:fill="auto"/>
          </w:tcPr>
          <w:p>
            <w:pPr>
              <w:pStyle w:val="107"/>
            </w:pPr>
            <w:r>
              <w:rPr>
                <w:rFonts w:hint="eastAsia"/>
              </w:rPr>
              <w:t>0</w:t>
            </w:r>
            <w:r>
              <w:t>.00003L</w:t>
            </w:r>
          </w:p>
        </w:tc>
        <w:tc>
          <w:tcPr>
            <w:tcW w:w="850" w:type="dxa"/>
            <w:shd w:val="clear" w:color="auto" w:fill="auto"/>
          </w:tcPr>
          <w:p>
            <w:pPr>
              <w:pStyle w:val="107"/>
            </w:pPr>
            <w:r>
              <w:rPr>
                <w:rFonts w:hint="eastAsia"/>
              </w:rPr>
              <w:t>0</w:t>
            </w:r>
            <w:r>
              <w:t>.00003L</w:t>
            </w:r>
          </w:p>
        </w:tc>
        <w:tc>
          <w:tcPr>
            <w:tcW w:w="985" w:type="dxa"/>
            <w:vMerge w:val="restart"/>
            <w:vAlign w:val="center"/>
          </w:tcPr>
          <w:p>
            <w:pPr>
              <w:pStyle w:val="107"/>
              <w:rPr>
                <w:rFonts w:cs="Arial"/>
              </w:rPr>
            </w:pPr>
            <w:r>
              <w:rPr>
                <w:rFonts w:ascii="Times New Roman" w:hAnsi="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ascii="Times New Roman" w:hAnsi="Times New Roman"/>
              </w:rPr>
              <w:t>/</w:t>
            </w:r>
          </w:p>
        </w:tc>
        <w:tc>
          <w:tcPr>
            <w:tcW w:w="992"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985" w:type="dxa"/>
            <w:vMerge w:val="continue"/>
            <w:vAlign w:val="center"/>
          </w:tcPr>
          <w:p>
            <w:pPr>
              <w:pStyle w:val="107"/>
              <w:rPr>
                <w:rFonts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restart"/>
            <w:vAlign w:val="center"/>
          </w:tcPr>
          <w:p>
            <w:pPr>
              <w:pStyle w:val="107"/>
            </w:pPr>
            <w:r>
              <w:rPr>
                <w:rFonts w:hint="eastAsia"/>
              </w:rPr>
              <w:t>2</w:t>
            </w:r>
            <w:r>
              <w:t>4</w:t>
            </w:r>
          </w:p>
        </w:tc>
        <w:tc>
          <w:tcPr>
            <w:tcW w:w="730" w:type="dxa"/>
            <w:vMerge w:val="restart"/>
            <w:vAlign w:val="center"/>
          </w:tcPr>
          <w:p>
            <w:pPr>
              <w:pStyle w:val="107"/>
            </w:pPr>
            <w:r>
              <w:rPr>
                <w:rFonts w:hint="eastAsia"/>
              </w:rPr>
              <w:t>钼</w:t>
            </w:r>
          </w:p>
        </w:tc>
        <w:tc>
          <w:tcPr>
            <w:tcW w:w="1510" w:type="dxa"/>
            <w:shd w:val="clear" w:color="auto" w:fill="auto"/>
            <w:vAlign w:val="center"/>
          </w:tcPr>
          <w:p>
            <w:pPr>
              <w:pStyle w:val="107"/>
            </w:pPr>
            <w:r>
              <w:rPr>
                <w:rFonts w:hint="eastAsia"/>
              </w:rPr>
              <w:t>监测值</w:t>
            </w:r>
          </w:p>
        </w:tc>
        <w:tc>
          <w:tcPr>
            <w:tcW w:w="851" w:type="dxa"/>
            <w:shd w:val="clear" w:color="auto" w:fill="auto"/>
            <w:vAlign w:val="center"/>
          </w:tcPr>
          <w:p>
            <w:pPr>
              <w:pStyle w:val="107"/>
            </w:pPr>
            <w:r>
              <w:rPr>
                <w:rFonts w:hint="eastAsia"/>
              </w:rPr>
              <w:t>0</w:t>
            </w:r>
            <w:r>
              <w:t>.00006L</w:t>
            </w:r>
          </w:p>
        </w:tc>
        <w:tc>
          <w:tcPr>
            <w:tcW w:w="992" w:type="dxa"/>
            <w:shd w:val="clear" w:color="auto" w:fill="auto"/>
            <w:vAlign w:val="center"/>
          </w:tcPr>
          <w:p>
            <w:pPr>
              <w:pStyle w:val="107"/>
            </w:pPr>
            <w:r>
              <w:rPr>
                <w:rFonts w:hint="eastAsia"/>
              </w:rPr>
              <w:t>0</w:t>
            </w:r>
            <w:r>
              <w:t>.00006L</w:t>
            </w:r>
          </w:p>
        </w:tc>
        <w:tc>
          <w:tcPr>
            <w:tcW w:w="851" w:type="dxa"/>
            <w:shd w:val="clear" w:color="auto" w:fill="auto"/>
            <w:vAlign w:val="center"/>
          </w:tcPr>
          <w:p>
            <w:pPr>
              <w:pStyle w:val="107"/>
            </w:pPr>
            <w:r>
              <w:rPr>
                <w:rFonts w:hint="eastAsia"/>
              </w:rPr>
              <w:t>0</w:t>
            </w:r>
            <w:r>
              <w:t>.00006L</w:t>
            </w:r>
          </w:p>
        </w:tc>
        <w:tc>
          <w:tcPr>
            <w:tcW w:w="850" w:type="dxa"/>
            <w:shd w:val="clear" w:color="auto" w:fill="auto"/>
            <w:vAlign w:val="center"/>
          </w:tcPr>
          <w:p>
            <w:pPr>
              <w:pStyle w:val="107"/>
            </w:pPr>
            <w:r>
              <w:rPr>
                <w:rFonts w:hint="eastAsia"/>
              </w:rPr>
              <w:t>0</w:t>
            </w:r>
            <w:r>
              <w:t>.00006L</w:t>
            </w:r>
          </w:p>
        </w:tc>
        <w:tc>
          <w:tcPr>
            <w:tcW w:w="851" w:type="dxa"/>
            <w:shd w:val="clear" w:color="auto" w:fill="auto"/>
            <w:vAlign w:val="center"/>
          </w:tcPr>
          <w:p>
            <w:pPr>
              <w:pStyle w:val="107"/>
            </w:pPr>
            <w:r>
              <w:rPr>
                <w:rFonts w:hint="eastAsia"/>
              </w:rPr>
              <w:t>0</w:t>
            </w:r>
            <w:r>
              <w:t>.00006L</w:t>
            </w:r>
          </w:p>
        </w:tc>
        <w:tc>
          <w:tcPr>
            <w:tcW w:w="850" w:type="dxa"/>
            <w:shd w:val="clear" w:color="auto" w:fill="auto"/>
            <w:vAlign w:val="center"/>
          </w:tcPr>
          <w:p>
            <w:pPr>
              <w:pStyle w:val="107"/>
            </w:pPr>
            <w:r>
              <w:rPr>
                <w:rFonts w:hint="eastAsia"/>
              </w:rPr>
              <w:t>0</w:t>
            </w:r>
            <w:r>
              <w:t>.00006L</w:t>
            </w:r>
          </w:p>
        </w:tc>
        <w:tc>
          <w:tcPr>
            <w:tcW w:w="985" w:type="dxa"/>
            <w:vMerge w:val="restart"/>
            <w:vAlign w:val="center"/>
          </w:tcPr>
          <w:p>
            <w:pPr>
              <w:pStyle w:val="107"/>
              <w:rPr>
                <w:rFonts w:cs="Arial"/>
              </w:rPr>
            </w:pPr>
            <w:r>
              <w:rPr>
                <w:rFonts w:ascii="Times New Roman" w:hAnsi="Times New Roma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590" w:type="dxa"/>
            <w:vMerge w:val="continue"/>
            <w:vAlign w:val="center"/>
          </w:tcPr>
          <w:p>
            <w:pPr>
              <w:pStyle w:val="107"/>
            </w:pPr>
          </w:p>
        </w:tc>
        <w:tc>
          <w:tcPr>
            <w:tcW w:w="730" w:type="dxa"/>
            <w:vMerge w:val="continue"/>
            <w:vAlign w:val="center"/>
          </w:tcPr>
          <w:p>
            <w:pPr>
              <w:pStyle w:val="107"/>
            </w:pPr>
          </w:p>
        </w:tc>
        <w:tc>
          <w:tcPr>
            <w:tcW w:w="1510" w:type="dxa"/>
            <w:shd w:val="clear" w:color="auto" w:fill="auto"/>
            <w:vAlign w:val="center"/>
          </w:tcPr>
          <w:p>
            <w:pPr>
              <w:pStyle w:val="107"/>
            </w:pPr>
            <w:r>
              <w:rPr>
                <w:rFonts w:hint="eastAsia"/>
              </w:rPr>
              <w:t>标准指数</w:t>
            </w:r>
          </w:p>
        </w:tc>
        <w:tc>
          <w:tcPr>
            <w:tcW w:w="851" w:type="dxa"/>
            <w:shd w:val="clear" w:color="auto" w:fill="auto"/>
            <w:vAlign w:val="center"/>
          </w:tcPr>
          <w:p>
            <w:pPr>
              <w:pStyle w:val="107"/>
            </w:pPr>
            <w:r>
              <w:rPr>
                <w:rFonts w:ascii="Times New Roman" w:hAnsi="Times New Roman"/>
              </w:rPr>
              <w:t>/</w:t>
            </w:r>
          </w:p>
        </w:tc>
        <w:tc>
          <w:tcPr>
            <w:tcW w:w="992"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851" w:type="dxa"/>
            <w:shd w:val="clear" w:color="auto" w:fill="auto"/>
            <w:vAlign w:val="center"/>
          </w:tcPr>
          <w:p>
            <w:pPr>
              <w:pStyle w:val="107"/>
            </w:pPr>
            <w:r>
              <w:rPr>
                <w:rFonts w:ascii="Times New Roman" w:hAnsi="Times New Roman"/>
              </w:rPr>
              <w:t>/</w:t>
            </w:r>
          </w:p>
        </w:tc>
        <w:tc>
          <w:tcPr>
            <w:tcW w:w="850" w:type="dxa"/>
            <w:shd w:val="clear" w:color="auto" w:fill="auto"/>
            <w:vAlign w:val="center"/>
          </w:tcPr>
          <w:p>
            <w:pPr>
              <w:pStyle w:val="107"/>
            </w:pPr>
            <w:r>
              <w:rPr>
                <w:rFonts w:ascii="Times New Roman" w:hAnsi="Times New Roman"/>
              </w:rPr>
              <w:t>/</w:t>
            </w:r>
          </w:p>
        </w:tc>
        <w:tc>
          <w:tcPr>
            <w:tcW w:w="985" w:type="dxa"/>
            <w:vMerge w:val="continue"/>
            <w:vAlign w:val="center"/>
          </w:tcPr>
          <w:p>
            <w:pPr>
              <w:pStyle w:val="107"/>
              <w:rPr>
                <w:rFonts w:cs="Arial"/>
              </w:rPr>
            </w:pPr>
          </w:p>
        </w:tc>
      </w:tr>
    </w:tbl>
    <w:p>
      <w:pPr>
        <w:pStyle w:val="107"/>
        <w:jc w:val="left"/>
        <w:rPr>
          <w:lang w:bidi="ar"/>
        </w:rPr>
      </w:pPr>
      <w:r>
        <w:rPr>
          <w:rFonts w:hint="eastAsia"/>
          <w:lang w:bidi="ar"/>
        </w:rPr>
        <w:t>注：当测定结果低于方法检出限时，检测结果出示所使用方法的检出限值，并加标志 L，按照检测限的一半值计算标准指数。</w:t>
      </w:r>
    </w:p>
    <w:p>
      <w:pPr>
        <w:ind w:firstLine="480"/>
        <w:rPr>
          <w:rFonts w:eastAsiaTheme="minorEastAsia"/>
        </w:rPr>
      </w:pPr>
      <w:r>
        <w:rPr>
          <w:rFonts w:eastAsiaTheme="minorEastAsia"/>
        </w:rPr>
        <w:t>监测结果</w:t>
      </w:r>
      <w:r>
        <w:rPr>
          <w:rFonts w:hint="eastAsia" w:eastAsiaTheme="minorEastAsia"/>
        </w:rPr>
        <w:t>表明</w:t>
      </w:r>
      <w:r>
        <w:rPr>
          <w:rFonts w:eastAsiaTheme="minorEastAsia"/>
        </w:rPr>
        <w:t>，项目所在区域地下水全部测点</w:t>
      </w:r>
      <w:r>
        <w:rPr>
          <w:rFonts w:hint="eastAsia" w:eastAsiaTheme="minorEastAsia"/>
        </w:rPr>
        <w:t>各</w:t>
      </w:r>
      <w:r>
        <w:rPr>
          <w:rFonts w:eastAsiaTheme="minorEastAsia"/>
        </w:rPr>
        <w:t>水质</w:t>
      </w:r>
      <w:r>
        <w:rPr>
          <w:rFonts w:hint="eastAsia" w:eastAsiaTheme="minorEastAsia"/>
        </w:rPr>
        <w:t>监测指标</w:t>
      </w:r>
      <w:r>
        <w:rPr>
          <w:rFonts w:eastAsiaTheme="minorEastAsia"/>
        </w:rPr>
        <w:t>均在</w:t>
      </w:r>
      <w:r>
        <w:rPr>
          <w:rFonts w:hint="eastAsia" w:cs="Times New Roman" w:eastAsiaTheme="minorEastAsia"/>
        </w:rPr>
        <w:t>《地下水质量标准》（</w:t>
      </w:r>
      <w:r>
        <w:rPr>
          <w:rFonts w:cs="Times New Roman" w:eastAsiaTheme="minorEastAsia"/>
        </w:rPr>
        <w:t>GB/T 14848-2017</w:t>
      </w:r>
      <w:r>
        <w:rPr>
          <w:rFonts w:hint="eastAsia" w:cs="Times New Roman" w:eastAsiaTheme="minorEastAsia"/>
        </w:rPr>
        <w:t>）</w:t>
      </w:r>
      <w:r>
        <w:rPr>
          <w:rFonts w:hint="eastAsia" w:eastAsiaTheme="minorEastAsia"/>
        </w:rPr>
        <w:t>III</w:t>
      </w:r>
      <w:r>
        <w:rPr>
          <w:rFonts w:eastAsiaTheme="minorEastAsia"/>
        </w:rPr>
        <w:t>类水质标准限值内</w:t>
      </w:r>
      <w:r>
        <w:rPr>
          <w:rFonts w:hint="eastAsia" w:eastAsiaTheme="minorEastAsia"/>
        </w:rPr>
        <w:t>，评价区域地下水环境质量良好</w:t>
      </w:r>
      <w:r>
        <w:rPr>
          <w:rFonts w:eastAsiaTheme="minorEastAsia"/>
        </w:rPr>
        <w:t>；评价区</w:t>
      </w:r>
      <w:r>
        <w:rPr>
          <w:rFonts w:hint="eastAsia" w:eastAsiaTheme="minorEastAsia"/>
        </w:rPr>
        <w:t>域</w:t>
      </w:r>
      <w:r>
        <w:rPr>
          <w:rFonts w:eastAsiaTheme="minorEastAsia"/>
        </w:rPr>
        <w:t>2个采样点的地下水</w:t>
      </w:r>
      <w:r>
        <w:rPr>
          <w:rFonts w:hint="eastAsia" w:eastAsiaTheme="minorEastAsia"/>
        </w:rPr>
        <w:t>水位</w:t>
      </w:r>
      <w:r>
        <w:rPr>
          <w:rFonts w:eastAsiaTheme="minorEastAsia"/>
        </w:rPr>
        <w:t>在3.8~4.2</w:t>
      </w:r>
      <w:r>
        <w:rPr>
          <w:rFonts w:hint="eastAsia" w:eastAsiaTheme="minorEastAsia"/>
        </w:rPr>
        <w:t>m</w:t>
      </w:r>
      <w:r>
        <w:rPr>
          <w:rFonts w:eastAsiaTheme="minorEastAsia"/>
        </w:rPr>
        <w:t>之间。</w:t>
      </w:r>
    </w:p>
    <w:p>
      <w:pPr>
        <w:pStyle w:val="5"/>
      </w:pPr>
      <w:bookmarkStart w:id="322" w:name="_Toc307847891"/>
      <w:bookmarkStart w:id="323" w:name="_Toc329784208"/>
      <w:bookmarkStart w:id="324" w:name="_Toc331536168"/>
      <w:bookmarkStart w:id="325" w:name="_Toc19835"/>
      <w:bookmarkStart w:id="326" w:name="_Toc11744"/>
      <w:r>
        <w:t>环境空气质量现状调查与评价</w:t>
      </w:r>
      <w:bookmarkEnd w:id="322"/>
      <w:bookmarkEnd w:id="323"/>
      <w:bookmarkEnd w:id="324"/>
      <w:bookmarkEnd w:id="325"/>
      <w:bookmarkEnd w:id="326"/>
    </w:p>
    <w:p>
      <w:pPr>
        <w:pStyle w:val="6"/>
      </w:pPr>
      <w:r>
        <w:rPr>
          <w:rFonts w:hint="eastAsia"/>
        </w:rPr>
        <w:t>区域环境空气质量达标情况</w:t>
      </w:r>
    </w:p>
    <w:p>
      <w:pPr>
        <w:ind w:firstLine="480"/>
        <w:rPr>
          <w:rFonts w:eastAsiaTheme="minorEastAsia"/>
        </w:rPr>
      </w:pPr>
      <w:r>
        <w:rPr>
          <w:rFonts w:hint="eastAsia" w:eastAsiaTheme="minorEastAsia"/>
        </w:rPr>
        <w:t>根据企业所在地环境空气质量现状、气象资料等数据的可获得性、数据质量、代表性等因素，本次评价选择201</w:t>
      </w:r>
      <w:r>
        <w:rPr>
          <w:rFonts w:eastAsiaTheme="minorEastAsia"/>
        </w:rPr>
        <w:t>8</w:t>
      </w:r>
      <w:r>
        <w:rPr>
          <w:rFonts w:hint="eastAsia" w:eastAsiaTheme="minorEastAsia"/>
        </w:rPr>
        <w:t>年作为评价基准年。</w:t>
      </w:r>
    </w:p>
    <w:p>
      <w:pPr>
        <w:ind w:firstLine="480"/>
        <w:rPr>
          <w:rFonts w:eastAsiaTheme="minorEastAsia"/>
        </w:rPr>
      </w:pPr>
      <w:bookmarkStart w:id="327" w:name="_Hlk11701499"/>
      <w:r>
        <w:rPr>
          <w:rFonts w:hint="eastAsia" w:eastAsiaTheme="minorEastAsia"/>
        </w:rPr>
        <w:t>根据《201</w:t>
      </w:r>
      <w:r>
        <w:rPr>
          <w:rFonts w:eastAsiaTheme="minorEastAsia"/>
        </w:rPr>
        <w:t>8</w:t>
      </w:r>
      <w:r>
        <w:rPr>
          <w:rFonts w:hint="eastAsia" w:eastAsiaTheme="minorEastAsia"/>
        </w:rPr>
        <w:t>年江门市环境质量状况（公报）》</w:t>
      </w:r>
      <w:bookmarkStart w:id="328" w:name="_Hlk11701483"/>
      <w:r>
        <w:rPr>
          <w:rFonts w:hint="eastAsia" w:eastAsiaTheme="minorEastAsia"/>
        </w:rPr>
        <w:t>（来源：江门市生态环境局官网，链接：</w:t>
      </w:r>
      <w:r>
        <w:rPr>
          <w:rFonts w:ascii="Times New Roman" w:hAnsi="Times New Roman" w:cs="Times New Roman"/>
        </w:rPr>
        <w:fldChar w:fldCharType="begin"/>
      </w:r>
      <w:r>
        <w:rPr>
          <w:rFonts w:ascii="Times New Roman" w:hAnsi="Times New Roman" w:cs="Times New Roman"/>
        </w:rPr>
        <w:instrText xml:space="preserve"> HYPERLINK "</w:instrText>
      </w:r>
      <w:r>
        <w:rPr>
          <w:rFonts w:hint="eastAsia" w:ascii="Times New Roman" w:hAnsi="Times New Roman" w:cs="Times New Roman"/>
        </w:rPr>
        <w:instrText xml:space="preserve">http://hbj.jiangmen.gov.cn/hjzl/ndhjzkgb/201903/t20190306_1841107.html</w:instrText>
      </w:r>
      <w:r>
        <w:rPr>
          <w:rFonts w:ascii="Times New Roman" w:hAnsi="Times New Roman" w:cs="Times New Roman"/>
        </w:rPr>
        <w:instrText xml:space="preserve">" </w:instrText>
      </w:r>
      <w:r>
        <w:rPr>
          <w:rFonts w:ascii="Times New Roman" w:hAnsi="Times New Roman" w:cs="Times New Roman"/>
        </w:rPr>
        <w:fldChar w:fldCharType="separate"/>
      </w:r>
      <w:r>
        <w:rPr>
          <w:rStyle w:val="64"/>
          <w:rFonts w:hint="eastAsia" w:ascii="Times New Roman" w:hAnsi="Times New Roman" w:cs="Times New Roman"/>
        </w:rPr>
        <w:t>http://hbj.jiangmen.gov.cn/hjzl/ndhjzkgb/201903/t20190306_1841107.html</w:t>
      </w:r>
      <w:r>
        <w:rPr>
          <w:rFonts w:ascii="Times New Roman" w:hAnsi="Times New Roman" w:cs="Times New Roman"/>
        </w:rPr>
        <w:fldChar w:fldCharType="end"/>
      </w:r>
      <w:bookmarkEnd w:id="328"/>
      <w:r>
        <w:rPr>
          <w:rFonts w:hint="eastAsia" w:eastAsiaTheme="minorEastAsia"/>
        </w:rPr>
        <w:t>）</w:t>
      </w:r>
      <w:bookmarkEnd w:id="327"/>
      <w:r>
        <w:rPr>
          <w:snapToGrid w:val="0"/>
        </w:rPr>
        <w:t>。</w:t>
      </w:r>
      <w:r>
        <w:rPr>
          <w:rFonts w:eastAsiaTheme="minorEastAsia"/>
        </w:rPr>
        <w:t>2018</w:t>
      </w:r>
      <w:r>
        <w:rPr>
          <w:rFonts w:hint="eastAsia" w:eastAsiaTheme="minorEastAsia"/>
        </w:rPr>
        <w:t>年度江门市国家直管监测站点空气质量优良天数比例为</w:t>
      </w:r>
      <w:r>
        <w:rPr>
          <w:rFonts w:eastAsiaTheme="minorEastAsia"/>
        </w:rPr>
        <w:t>80.8%</w:t>
      </w:r>
      <w:r>
        <w:rPr>
          <w:rFonts w:hint="eastAsia" w:eastAsiaTheme="minorEastAsia"/>
        </w:rPr>
        <w:t>，同比上升</w:t>
      </w:r>
      <w:r>
        <w:rPr>
          <w:rFonts w:eastAsiaTheme="minorEastAsia"/>
        </w:rPr>
        <w:t>3.5</w:t>
      </w:r>
      <w:r>
        <w:rPr>
          <w:rFonts w:hint="eastAsia" w:eastAsiaTheme="minorEastAsia"/>
        </w:rPr>
        <w:t>个百分点。在全年有效监测天数中，优占</w:t>
      </w:r>
      <w:r>
        <w:rPr>
          <w:rFonts w:eastAsiaTheme="minorEastAsia"/>
        </w:rPr>
        <w:t>35.9%</w:t>
      </w:r>
      <w:r>
        <w:rPr>
          <w:rFonts w:hint="eastAsia" w:eastAsiaTheme="minorEastAsia"/>
        </w:rPr>
        <w:t>（</w:t>
      </w:r>
      <w:r>
        <w:rPr>
          <w:rFonts w:eastAsiaTheme="minorEastAsia"/>
        </w:rPr>
        <w:t>131</w:t>
      </w:r>
      <w:r>
        <w:rPr>
          <w:rFonts w:hint="eastAsia" w:eastAsiaTheme="minorEastAsia"/>
        </w:rPr>
        <w:t>天），良占</w:t>
      </w:r>
      <w:r>
        <w:rPr>
          <w:rFonts w:eastAsiaTheme="minorEastAsia"/>
        </w:rPr>
        <w:t>44.9%</w:t>
      </w:r>
      <w:r>
        <w:rPr>
          <w:rFonts w:hint="eastAsia" w:eastAsiaTheme="minorEastAsia"/>
        </w:rPr>
        <w:t>（</w:t>
      </w:r>
      <w:r>
        <w:rPr>
          <w:rFonts w:eastAsiaTheme="minorEastAsia"/>
        </w:rPr>
        <w:t>164</w:t>
      </w:r>
      <w:r>
        <w:rPr>
          <w:rFonts w:hint="eastAsia" w:eastAsiaTheme="minorEastAsia"/>
        </w:rPr>
        <w:t>天），轻度污染占</w:t>
      </w:r>
      <w:r>
        <w:rPr>
          <w:rFonts w:eastAsiaTheme="minorEastAsia"/>
        </w:rPr>
        <w:t>14.2%</w:t>
      </w:r>
      <w:r>
        <w:rPr>
          <w:rFonts w:hint="eastAsia" w:eastAsiaTheme="minorEastAsia"/>
        </w:rPr>
        <w:t>（</w:t>
      </w:r>
      <w:r>
        <w:rPr>
          <w:rFonts w:eastAsiaTheme="minorEastAsia"/>
        </w:rPr>
        <w:t>52</w:t>
      </w:r>
      <w:r>
        <w:rPr>
          <w:rFonts w:hint="eastAsia" w:eastAsiaTheme="minorEastAsia"/>
        </w:rPr>
        <w:t>天），中度污染占</w:t>
      </w:r>
      <w:r>
        <w:rPr>
          <w:rFonts w:eastAsiaTheme="minorEastAsia"/>
        </w:rPr>
        <w:t>4.1%</w:t>
      </w:r>
      <w:r>
        <w:rPr>
          <w:rFonts w:hint="eastAsia" w:eastAsiaTheme="minorEastAsia"/>
        </w:rPr>
        <w:t>（</w:t>
      </w:r>
      <w:r>
        <w:rPr>
          <w:rFonts w:eastAsiaTheme="minorEastAsia"/>
        </w:rPr>
        <w:t>15</w:t>
      </w:r>
      <w:r>
        <w:rPr>
          <w:rFonts w:hint="eastAsia" w:eastAsiaTheme="minorEastAsia"/>
        </w:rPr>
        <w:t>天），重度污染占</w:t>
      </w:r>
      <w:r>
        <w:rPr>
          <w:rFonts w:eastAsiaTheme="minorEastAsia"/>
        </w:rPr>
        <w:t>0.8%</w:t>
      </w:r>
      <w:r>
        <w:rPr>
          <w:rFonts w:hint="eastAsia" w:eastAsiaTheme="minorEastAsia"/>
        </w:rPr>
        <w:t>（</w:t>
      </w:r>
      <w:r>
        <w:rPr>
          <w:rFonts w:eastAsiaTheme="minorEastAsia"/>
        </w:rPr>
        <w:t>3</w:t>
      </w:r>
      <w:r>
        <w:rPr>
          <w:rFonts w:hint="eastAsia" w:eastAsiaTheme="minorEastAsia"/>
        </w:rPr>
        <w:t>天），无严重污染天气，首要污染物为臭氧，其作为每日首要污染物的天数比例为</w:t>
      </w:r>
      <w:r>
        <w:rPr>
          <w:rFonts w:eastAsiaTheme="minorEastAsia"/>
        </w:rPr>
        <w:t>52.1%</w:t>
      </w:r>
      <w:r>
        <w:rPr>
          <w:rFonts w:hint="eastAsia" w:eastAsiaTheme="minorEastAsia"/>
        </w:rPr>
        <w:t>（良及以上等级天数共计</w:t>
      </w:r>
      <w:r>
        <w:rPr>
          <w:rFonts w:eastAsiaTheme="minorEastAsia"/>
        </w:rPr>
        <w:t>234</w:t>
      </w:r>
      <w:r>
        <w:rPr>
          <w:rFonts w:hint="eastAsia" w:eastAsiaTheme="minorEastAsia"/>
        </w:rPr>
        <w:t>天），二氧化氮及</w:t>
      </w:r>
      <w:r>
        <w:rPr>
          <w:rFonts w:eastAsiaTheme="minorEastAsia"/>
        </w:rPr>
        <w:t>PM</w:t>
      </w:r>
      <w:r>
        <w:rPr>
          <w:rFonts w:eastAsiaTheme="minorEastAsia"/>
          <w:vertAlign w:val="subscript"/>
        </w:rPr>
        <w:t>10</w:t>
      </w:r>
      <w:r>
        <w:rPr>
          <w:rFonts w:hint="eastAsia" w:eastAsiaTheme="minorEastAsia"/>
        </w:rPr>
        <w:t>作为首要污染物的天数比例分别为</w:t>
      </w:r>
      <w:r>
        <w:rPr>
          <w:rFonts w:eastAsiaTheme="minorEastAsia"/>
        </w:rPr>
        <w:t>26.1%</w:t>
      </w:r>
      <w:r>
        <w:rPr>
          <w:rFonts w:hint="eastAsia" w:eastAsiaTheme="minorEastAsia"/>
        </w:rPr>
        <w:t>、</w:t>
      </w:r>
      <w:r>
        <w:rPr>
          <w:rFonts w:eastAsiaTheme="minorEastAsia"/>
        </w:rPr>
        <w:t>11.1%</w:t>
      </w:r>
      <w:r>
        <w:rPr>
          <w:rFonts w:hint="eastAsia" w:eastAsiaTheme="minorEastAsia"/>
        </w:rPr>
        <w:t>。</w:t>
      </w:r>
    </w:p>
    <w:p>
      <w:pPr>
        <w:ind w:firstLine="480"/>
        <w:rPr>
          <w:rFonts w:eastAsiaTheme="minorEastAsia"/>
        </w:rPr>
      </w:pPr>
      <w:r>
        <w:rPr>
          <w:rFonts w:eastAsiaTheme="minorEastAsia"/>
        </w:rPr>
        <w:t>2018</w:t>
      </w:r>
      <w:r>
        <w:rPr>
          <w:rFonts w:hint="eastAsia" w:eastAsiaTheme="minorEastAsia"/>
        </w:rPr>
        <w:t>年江门市国家直管监测站点二氧化硫年均浓度为</w:t>
      </w:r>
      <w:r>
        <w:rPr>
          <w:rFonts w:eastAsiaTheme="minorEastAsia"/>
        </w:rPr>
        <w:t>9</w:t>
      </w:r>
      <w:r>
        <w:rPr>
          <w:rFonts w:hint="eastAsia" w:eastAsiaTheme="minorEastAsia"/>
        </w:rPr>
        <w:t>微克</w:t>
      </w:r>
      <w:r>
        <w:rPr>
          <w:rFonts w:eastAsiaTheme="minorEastAsia"/>
        </w:rPr>
        <w:t>/</w:t>
      </w:r>
      <w:r>
        <w:rPr>
          <w:rFonts w:hint="eastAsia" w:eastAsiaTheme="minorEastAsia"/>
        </w:rPr>
        <w:t>立方米，同比下降</w:t>
      </w:r>
      <w:r>
        <w:rPr>
          <w:rFonts w:eastAsiaTheme="minorEastAsia"/>
        </w:rPr>
        <w:t>25.0%</w:t>
      </w:r>
      <w:r>
        <w:rPr>
          <w:rFonts w:hint="eastAsia" w:eastAsiaTheme="minorEastAsia"/>
        </w:rPr>
        <w:t>；二氧化氮年均浓度为</w:t>
      </w:r>
      <w:r>
        <w:rPr>
          <w:rFonts w:eastAsiaTheme="minorEastAsia"/>
        </w:rPr>
        <w:t>35</w:t>
      </w:r>
      <w:r>
        <w:rPr>
          <w:rFonts w:hint="eastAsia" w:eastAsiaTheme="minorEastAsia"/>
        </w:rPr>
        <w:t>微克</w:t>
      </w:r>
      <w:r>
        <w:rPr>
          <w:rFonts w:eastAsiaTheme="minorEastAsia"/>
        </w:rPr>
        <w:t>/</w:t>
      </w:r>
      <w:r>
        <w:rPr>
          <w:rFonts w:hint="eastAsia" w:eastAsiaTheme="minorEastAsia"/>
        </w:rPr>
        <w:t>立方米，同比下降</w:t>
      </w:r>
      <w:r>
        <w:rPr>
          <w:rFonts w:eastAsiaTheme="minorEastAsia"/>
        </w:rPr>
        <w:t>7.9%</w:t>
      </w:r>
      <w:r>
        <w:rPr>
          <w:rFonts w:hint="eastAsia" w:eastAsiaTheme="minorEastAsia"/>
        </w:rPr>
        <w:t>；可吸入颗粒物（</w:t>
      </w:r>
      <w:r>
        <w:rPr>
          <w:rFonts w:eastAsiaTheme="minorEastAsia"/>
        </w:rPr>
        <w:t>PM10</w:t>
      </w:r>
      <w:r>
        <w:rPr>
          <w:rFonts w:hint="eastAsia" w:eastAsiaTheme="minorEastAsia"/>
        </w:rPr>
        <w:t>）年均浓度为</w:t>
      </w:r>
      <w:r>
        <w:rPr>
          <w:rFonts w:eastAsiaTheme="minorEastAsia"/>
        </w:rPr>
        <w:t>56</w:t>
      </w:r>
      <w:r>
        <w:rPr>
          <w:rFonts w:hint="eastAsia" w:eastAsiaTheme="minorEastAsia"/>
        </w:rPr>
        <w:t>微克</w:t>
      </w:r>
      <w:r>
        <w:rPr>
          <w:rFonts w:eastAsiaTheme="minorEastAsia"/>
        </w:rPr>
        <w:t>/</w:t>
      </w:r>
      <w:r>
        <w:rPr>
          <w:rFonts w:hint="eastAsia" w:eastAsiaTheme="minorEastAsia"/>
        </w:rPr>
        <w:t>立方米，同比下降</w:t>
      </w:r>
      <w:r>
        <w:rPr>
          <w:rFonts w:eastAsiaTheme="minorEastAsia"/>
        </w:rPr>
        <w:t>6.7%</w:t>
      </w:r>
      <w:r>
        <w:rPr>
          <w:rFonts w:hint="eastAsia" w:eastAsiaTheme="minorEastAsia"/>
        </w:rPr>
        <w:t>；一氧化碳日均值第</w:t>
      </w:r>
      <w:r>
        <w:rPr>
          <w:rFonts w:eastAsiaTheme="minorEastAsia"/>
        </w:rPr>
        <w:t>95</w:t>
      </w:r>
      <w:r>
        <w:rPr>
          <w:rFonts w:hint="eastAsia" w:eastAsiaTheme="minorEastAsia"/>
        </w:rPr>
        <w:t>百分位数浓度（</w:t>
      </w:r>
      <w:r>
        <w:rPr>
          <w:rFonts w:eastAsiaTheme="minorEastAsia"/>
        </w:rPr>
        <w:t>CO-95per</w:t>
      </w:r>
      <w:r>
        <w:rPr>
          <w:rFonts w:hint="eastAsia" w:eastAsiaTheme="minorEastAsia"/>
        </w:rPr>
        <w:t>）为</w:t>
      </w:r>
      <w:r>
        <w:rPr>
          <w:rFonts w:eastAsiaTheme="minorEastAsia"/>
        </w:rPr>
        <w:t>1.2</w:t>
      </w:r>
      <w:r>
        <w:rPr>
          <w:rFonts w:hint="eastAsia" w:eastAsiaTheme="minorEastAsia"/>
        </w:rPr>
        <w:t>毫克</w:t>
      </w:r>
      <w:r>
        <w:rPr>
          <w:rFonts w:eastAsiaTheme="minorEastAsia"/>
        </w:rPr>
        <w:t>/</w:t>
      </w:r>
      <w:r>
        <w:rPr>
          <w:rFonts w:hint="eastAsia" w:eastAsiaTheme="minorEastAsia"/>
        </w:rPr>
        <w:t>立方米，同比下降</w:t>
      </w:r>
      <w:r>
        <w:rPr>
          <w:rFonts w:eastAsiaTheme="minorEastAsia"/>
        </w:rPr>
        <w:t>7.7%</w:t>
      </w:r>
      <w:r>
        <w:rPr>
          <w:rFonts w:hint="eastAsia" w:eastAsiaTheme="minorEastAsia"/>
        </w:rPr>
        <w:t>；臭氧日最大</w:t>
      </w:r>
      <w:r>
        <w:rPr>
          <w:rFonts w:eastAsiaTheme="minorEastAsia"/>
        </w:rPr>
        <w:t>8</w:t>
      </w:r>
      <w:r>
        <w:rPr>
          <w:rFonts w:hint="eastAsia" w:eastAsiaTheme="minorEastAsia"/>
        </w:rPr>
        <w:t>小时平均第</w:t>
      </w:r>
      <w:r>
        <w:rPr>
          <w:rFonts w:eastAsiaTheme="minorEastAsia"/>
        </w:rPr>
        <w:t>90</w:t>
      </w:r>
      <w:r>
        <w:rPr>
          <w:rFonts w:hint="eastAsia" w:eastAsiaTheme="minorEastAsia"/>
        </w:rPr>
        <w:t>百分位数浓度（</w:t>
      </w:r>
      <w:r>
        <w:rPr>
          <w:rFonts w:eastAsiaTheme="minorEastAsia"/>
        </w:rPr>
        <w:t>O3-8h-90per</w:t>
      </w:r>
      <w:r>
        <w:rPr>
          <w:rFonts w:hint="eastAsia" w:eastAsiaTheme="minorEastAsia"/>
        </w:rPr>
        <w:t>）为</w:t>
      </w:r>
      <w:r>
        <w:rPr>
          <w:rFonts w:eastAsiaTheme="minorEastAsia"/>
        </w:rPr>
        <w:t>184</w:t>
      </w:r>
      <w:r>
        <w:rPr>
          <w:rFonts w:hint="eastAsia" w:eastAsiaTheme="minorEastAsia"/>
        </w:rPr>
        <w:t>微克</w:t>
      </w:r>
      <w:r>
        <w:rPr>
          <w:rFonts w:eastAsiaTheme="minorEastAsia"/>
        </w:rPr>
        <w:t>/</w:t>
      </w:r>
      <w:r>
        <w:rPr>
          <w:rFonts w:hint="eastAsia" w:eastAsiaTheme="minorEastAsia"/>
        </w:rPr>
        <w:t>立方米，同比下降</w:t>
      </w:r>
      <w:r>
        <w:rPr>
          <w:rFonts w:eastAsiaTheme="minorEastAsia"/>
        </w:rPr>
        <w:t>4.7%</w:t>
      </w:r>
      <w:r>
        <w:rPr>
          <w:rFonts w:hint="eastAsia" w:eastAsiaTheme="minorEastAsia"/>
        </w:rPr>
        <w:t>；细颗粒物（</w:t>
      </w:r>
      <w:r>
        <w:rPr>
          <w:rFonts w:eastAsiaTheme="minorEastAsia"/>
        </w:rPr>
        <w:t>PM2.5</w:t>
      </w:r>
      <w:r>
        <w:rPr>
          <w:rFonts w:hint="eastAsia" w:eastAsiaTheme="minorEastAsia"/>
        </w:rPr>
        <w:t>）年均浓度为</w:t>
      </w:r>
      <w:r>
        <w:rPr>
          <w:rFonts w:eastAsiaTheme="minorEastAsia"/>
        </w:rPr>
        <w:t>31</w:t>
      </w:r>
      <w:r>
        <w:rPr>
          <w:rFonts w:hint="eastAsia" w:eastAsiaTheme="minorEastAsia"/>
        </w:rPr>
        <w:t>微克</w:t>
      </w:r>
      <w:r>
        <w:rPr>
          <w:rFonts w:eastAsiaTheme="minorEastAsia"/>
        </w:rPr>
        <w:t>/</w:t>
      </w:r>
      <w:r>
        <w:rPr>
          <w:rFonts w:hint="eastAsia" w:eastAsiaTheme="minorEastAsia"/>
        </w:rPr>
        <w:t>立方米，同比下降</w:t>
      </w:r>
      <w:r>
        <w:rPr>
          <w:rFonts w:eastAsiaTheme="minorEastAsia"/>
        </w:rPr>
        <w:t>16.2%</w:t>
      </w:r>
      <w:r>
        <w:rPr>
          <w:rFonts w:hint="eastAsia" w:eastAsiaTheme="minorEastAsia"/>
        </w:rPr>
        <w:t>。除臭氧外，其余五项环境空气污染物年均浓度均达到国家二级标准限值要求。具体数据见下表：</w:t>
      </w:r>
    </w:p>
    <w:p>
      <w:pPr>
        <w:topLinePunct/>
        <w:ind w:firstLine="0" w:firstLineChars="0"/>
        <w:jc w:val="center"/>
        <w:textAlignment w:val="baseline"/>
        <w:rPr>
          <w:b/>
          <w:snapToGrid w:val="0"/>
        </w:rPr>
      </w:pPr>
      <w:r>
        <w:rPr>
          <w:b/>
          <w:snapToGrid w:val="0"/>
        </w:rPr>
        <w:t xml:space="preserve">表3.3-1 </w:t>
      </w:r>
      <w:r>
        <w:rPr>
          <w:rFonts w:hint="eastAsia"/>
          <w:b/>
          <w:snapToGrid w:val="0"/>
        </w:rPr>
        <w:t>开平市</w:t>
      </w:r>
      <w:r>
        <w:rPr>
          <w:b/>
          <w:snapToGrid w:val="0"/>
        </w:rPr>
        <w:t>空气质量现状评价表</w:t>
      </w:r>
    </w:p>
    <w:tbl>
      <w:tblPr>
        <w:tblStyle w:val="56"/>
        <w:tblW w:w="9050" w:type="dxa"/>
        <w:tblInd w:w="0" w:type="dxa"/>
        <w:tblLayout w:type="fixed"/>
        <w:tblCellMar>
          <w:top w:w="0" w:type="dxa"/>
          <w:left w:w="108" w:type="dxa"/>
          <w:bottom w:w="0" w:type="dxa"/>
          <w:right w:w="108" w:type="dxa"/>
        </w:tblCellMar>
      </w:tblPr>
      <w:tblGrid>
        <w:gridCol w:w="700"/>
        <w:gridCol w:w="1417"/>
        <w:gridCol w:w="1700"/>
        <w:gridCol w:w="851"/>
        <w:gridCol w:w="1135"/>
        <w:gridCol w:w="853"/>
        <w:gridCol w:w="1274"/>
        <w:gridCol w:w="1120"/>
      </w:tblGrid>
      <w:tr>
        <w:tblPrEx>
          <w:tblLayout w:type="fixed"/>
          <w:tblCellMar>
            <w:top w:w="0" w:type="dxa"/>
            <w:left w:w="108" w:type="dxa"/>
            <w:bottom w:w="0" w:type="dxa"/>
            <w:right w:w="108" w:type="dxa"/>
          </w:tblCellMar>
        </w:tblPrEx>
        <w:trPr>
          <w:trHeight w:val="585" w:hRule="atLeast"/>
        </w:trPr>
        <w:tc>
          <w:tcPr>
            <w:tcW w:w="700" w:type="dxa"/>
            <w:tcBorders>
              <w:top w:val="single" w:color="000000" w:sz="8" w:space="0"/>
              <w:left w:val="single" w:color="000000" w:sz="8" w:space="0"/>
              <w:bottom w:val="single" w:color="000000" w:sz="8" w:space="0"/>
              <w:right w:val="single" w:color="000000" w:sz="8" w:space="0"/>
            </w:tcBorders>
            <w:shd w:val="clear" w:color="auto" w:fill="auto"/>
            <w:vAlign w:val="center"/>
          </w:tcPr>
          <w:p>
            <w:pPr>
              <w:pStyle w:val="151"/>
              <w:rPr>
                <w:b/>
              </w:rPr>
            </w:pPr>
            <w:r>
              <w:rPr>
                <w:rFonts w:hint="eastAsia"/>
                <w:b/>
              </w:rPr>
              <w:t>序号</w:t>
            </w:r>
          </w:p>
        </w:tc>
        <w:tc>
          <w:tcPr>
            <w:tcW w:w="1417" w:type="dxa"/>
            <w:tcBorders>
              <w:top w:val="single" w:color="000000" w:sz="8" w:space="0"/>
              <w:left w:val="nil"/>
              <w:bottom w:val="single" w:color="000000" w:sz="8" w:space="0"/>
              <w:right w:val="single" w:color="000000" w:sz="8" w:space="0"/>
            </w:tcBorders>
            <w:shd w:val="clear" w:color="auto" w:fill="auto"/>
            <w:vAlign w:val="center"/>
          </w:tcPr>
          <w:p>
            <w:pPr>
              <w:pStyle w:val="151"/>
              <w:rPr>
                <w:b/>
              </w:rPr>
            </w:pPr>
            <w:r>
              <w:rPr>
                <w:rFonts w:hint="eastAsia"/>
                <w:b/>
              </w:rPr>
              <w:t>污染物</w:t>
            </w:r>
          </w:p>
        </w:tc>
        <w:tc>
          <w:tcPr>
            <w:tcW w:w="1700" w:type="dxa"/>
            <w:tcBorders>
              <w:top w:val="single" w:color="000000" w:sz="8" w:space="0"/>
              <w:left w:val="nil"/>
              <w:bottom w:val="single" w:color="000000" w:sz="8" w:space="0"/>
              <w:right w:val="single" w:color="000000" w:sz="8" w:space="0"/>
            </w:tcBorders>
            <w:shd w:val="clear" w:color="auto" w:fill="auto"/>
            <w:vAlign w:val="center"/>
          </w:tcPr>
          <w:p>
            <w:pPr>
              <w:pStyle w:val="151"/>
              <w:rPr>
                <w:b/>
              </w:rPr>
            </w:pPr>
            <w:r>
              <w:rPr>
                <w:rFonts w:hint="eastAsia"/>
                <w:b/>
              </w:rPr>
              <w:t>年评价指标</w:t>
            </w:r>
          </w:p>
        </w:tc>
        <w:tc>
          <w:tcPr>
            <w:tcW w:w="851" w:type="dxa"/>
            <w:tcBorders>
              <w:top w:val="single" w:color="000000" w:sz="8" w:space="0"/>
              <w:left w:val="nil"/>
              <w:bottom w:val="single" w:color="000000" w:sz="8" w:space="0"/>
              <w:right w:val="single" w:color="000000" w:sz="8" w:space="0"/>
            </w:tcBorders>
            <w:shd w:val="clear" w:color="auto" w:fill="auto"/>
            <w:vAlign w:val="center"/>
          </w:tcPr>
          <w:p>
            <w:pPr>
              <w:pStyle w:val="151"/>
              <w:rPr>
                <w:b/>
              </w:rPr>
            </w:pPr>
            <w:r>
              <w:rPr>
                <w:rFonts w:hint="eastAsia"/>
                <w:b/>
              </w:rPr>
              <w:t>单位</w:t>
            </w:r>
          </w:p>
        </w:tc>
        <w:tc>
          <w:tcPr>
            <w:tcW w:w="1135" w:type="dxa"/>
            <w:tcBorders>
              <w:top w:val="single" w:color="000000" w:sz="8" w:space="0"/>
              <w:left w:val="nil"/>
              <w:bottom w:val="single" w:color="000000" w:sz="8" w:space="0"/>
              <w:right w:val="single" w:color="000000" w:sz="8" w:space="0"/>
            </w:tcBorders>
            <w:shd w:val="clear" w:color="auto" w:fill="auto"/>
            <w:vAlign w:val="center"/>
          </w:tcPr>
          <w:p>
            <w:pPr>
              <w:pStyle w:val="151"/>
              <w:rPr>
                <w:b/>
              </w:rPr>
            </w:pPr>
            <w:r>
              <w:rPr>
                <w:rFonts w:hint="eastAsia"/>
                <w:b/>
              </w:rPr>
              <w:t>现状浓度</w:t>
            </w:r>
          </w:p>
        </w:tc>
        <w:tc>
          <w:tcPr>
            <w:tcW w:w="853" w:type="dxa"/>
            <w:tcBorders>
              <w:top w:val="single" w:color="000000" w:sz="8" w:space="0"/>
              <w:left w:val="nil"/>
              <w:bottom w:val="single" w:color="000000" w:sz="8" w:space="0"/>
              <w:right w:val="single" w:color="000000" w:sz="8" w:space="0"/>
            </w:tcBorders>
            <w:shd w:val="clear" w:color="auto" w:fill="auto"/>
            <w:vAlign w:val="center"/>
          </w:tcPr>
          <w:p>
            <w:pPr>
              <w:pStyle w:val="151"/>
              <w:rPr>
                <w:b/>
              </w:rPr>
            </w:pPr>
            <w:r>
              <w:rPr>
                <w:rFonts w:hint="eastAsia"/>
                <w:b/>
              </w:rPr>
              <w:t>标准值</w:t>
            </w:r>
          </w:p>
        </w:tc>
        <w:tc>
          <w:tcPr>
            <w:tcW w:w="1274" w:type="dxa"/>
            <w:tcBorders>
              <w:top w:val="single" w:color="000000" w:sz="8" w:space="0"/>
              <w:left w:val="nil"/>
              <w:bottom w:val="single" w:color="000000" w:sz="8" w:space="0"/>
              <w:right w:val="single" w:color="000000" w:sz="8" w:space="0"/>
            </w:tcBorders>
            <w:shd w:val="clear" w:color="auto" w:fill="auto"/>
            <w:vAlign w:val="center"/>
          </w:tcPr>
          <w:p>
            <w:pPr>
              <w:pStyle w:val="151"/>
              <w:rPr>
                <w:b/>
              </w:rPr>
            </w:pPr>
            <w:r>
              <w:rPr>
                <w:rFonts w:hint="eastAsia"/>
                <w:b/>
              </w:rPr>
              <w:t>占标率/</w:t>
            </w:r>
            <w:r>
              <w:rPr>
                <w:b/>
              </w:rPr>
              <w:t>%</w:t>
            </w:r>
            <w:r>
              <w:rPr>
                <w:rFonts w:hint="eastAsia"/>
                <w:b/>
              </w:rPr>
              <w:t>/</w:t>
            </w:r>
          </w:p>
        </w:tc>
        <w:tc>
          <w:tcPr>
            <w:tcW w:w="1120" w:type="dxa"/>
            <w:tcBorders>
              <w:top w:val="single" w:color="000000" w:sz="8" w:space="0"/>
              <w:left w:val="nil"/>
              <w:bottom w:val="single" w:color="000000" w:sz="8" w:space="0"/>
              <w:right w:val="single" w:color="000000" w:sz="8" w:space="0"/>
            </w:tcBorders>
            <w:shd w:val="clear" w:color="auto" w:fill="auto"/>
            <w:vAlign w:val="center"/>
          </w:tcPr>
          <w:p>
            <w:pPr>
              <w:pStyle w:val="151"/>
              <w:rPr>
                <w:b/>
              </w:rPr>
            </w:pPr>
            <w:r>
              <w:rPr>
                <w:rFonts w:hint="eastAsia"/>
                <w:b/>
              </w:rPr>
              <w:t>达标情况</w:t>
            </w:r>
          </w:p>
        </w:tc>
      </w:tr>
      <w:tr>
        <w:tblPrEx>
          <w:tblLayout w:type="fixed"/>
          <w:tblCellMar>
            <w:top w:w="0" w:type="dxa"/>
            <w:left w:w="108" w:type="dxa"/>
            <w:bottom w:w="0" w:type="dxa"/>
            <w:right w:w="108" w:type="dxa"/>
          </w:tblCellMar>
        </w:tblPrEx>
        <w:trPr>
          <w:trHeight w:val="570" w:hRule="atLeast"/>
        </w:trPr>
        <w:tc>
          <w:tcPr>
            <w:tcW w:w="700" w:type="dxa"/>
            <w:tcBorders>
              <w:top w:val="nil"/>
              <w:left w:val="single" w:color="000000" w:sz="8" w:space="0"/>
              <w:bottom w:val="single" w:color="000000" w:sz="8" w:space="0"/>
              <w:right w:val="single" w:color="000000" w:sz="8" w:space="0"/>
            </w:tcBorders>
            <w:shd w:val="clear" w:color="auto" w:fill="auto"/>
            <w:vAlign w:val="center"/>
          </w:tcPr>
          <w:p>
            <w:pPr>
              <w:pStyle w:val="151"/>
              <w:rPr>
                <w:rFonts w:eastAsia="等线"/>
              </w:rPr>
            </w:pPr>
            <w:r>
              <w:rPr>
                <w:rFonts w:eastAsia="等线"/>
              </w:rPr>
              <w:t>1</w:t>
            </w:r>
          </w:p>
        </w:tc>
        <w:tc>
          <w:tcPr>
            <w:tcW w:w="1417"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二氧化硫（</w:t>
            </w:r>
            <w:r>
              <w:t>SO</w:t>
            </w:r>
            <w:r>
              <w:rPr>
                <w:vertAlign w:val="subscript"/>
              </w:rPr>
              <w:t>2</w:t>
            </w:r>
            <w:r>
              <w:rPr>
                <w:rFonts w:hint="eastAsia" w:ascii="宋体" w:hAnsi="宋体"/>
              </w:rPr>
              <w:t>）</w:t>
            </w:r>
          </w:p>
        </w:tc>
        <w:tc>
          <w:tcPr>
            <w:tcW w:w="1700"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年平均质量浓度</w:t>
            </w:r>
          </w:p>
        </w:tc>
        <w:tc>
          <w:tcPr>
            <w:tcW w:w="851"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eastAsia="等线"/>
              </w:rPr>
              <w:t>μg/m</w:t>
            </w:r>
            <w:r>
              <w:rPr>
                <w:rFonts w:eastAsia="等线"/>
                <w:vertAlign w:val="superscript"/>
              </w:rPr>
              <w:t>3</w:t>
            </w:r>
          </w:p>
        </w:tc>
        <w:tc>
          <w:tcPr>
            <w:tcW w:w="1135"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hint="eastAsia"/>
                <w:snapToGrid w:val="0"/>
              </w:rPr>
              <w:t>1</w:t>
            </w:r>
            <w:r>
              <w:rPr>
                <w:snapToGrid w:val="0"/>
              </w:rPr>
              <w:t>1</w:t>
            </w:r>
          </w:p>
        </w:tc>
        <w:tc>
          <w:tcPr>
            <w:tcW w:w="853"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eastAsia="等线"/>
              </w:rPr>
              <w:t>60</w:t>
            </w:r>
          </w:p>
        </w:tc>
        <w:tc>
          <w:tcPr>
            <w:tcW w:w="1274"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snapToGrid w:val="0"/>
              </w:rPr>
              <w:t>18</w:t>
            </w:r>
          </w:p>
        </w:tc>
        <w:tc>
          <w:tcPr>
            <w:tcW w:w="1120"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达标</w:t>
            </w:r>
          </w:p>
        </w:tc>
      </w:tr>
      <w:tr>
        <w:tblPrEx>
          <w:tblLayout w:type="fixed"/>
          <w:tblCellMar>
            <w:top w:w="0" w:type="dxa"/>
            <w:left w:w="108" w:type="dxa"/>
            <w:bottom w:w="0" w:type="dxa"/>
            <w:right w:w="108" w:type="dxa"/>
          </w:tblCellMar>
        </w:tblPrEx>
        <w:trPr>
          <w:trHeight w:val="570" w:hRule="atLeast"/>
        </w:trPr>
        <w:tc>
          <w:tcPr>
            <w:tcW w:w="700" w:type="dxa"/>
            <w:tcBorders>
              <w:top w:val="nil"/>
              <w:left w:val="single" w:color="000000" w:sz="8" w:space="0"/>
              <w:bottom w:val="single" w:color="000000" w:sz="8" w:space="0"/>
              <w:right w:val="single" w:color="000000" w:sz="8" w:space="0"/>
            </w:tcBorders>
            <w:shd w:val="clear" w:color="auto" w:fill="auto"/>
            <w:vAlign w:val="center"/>
          </w:tcPr>
          <w:p>
            <w:pPr>
              <w:pStyle w:val="151"/>
              <w:rPr>
                <w:rFonts w:eastAsia="等线"/>
              </w:rPr>
            </w:pPr>
            <w:r>
              <w:rPr>
                <w:rFonts w:eastAsia="等线"/>
              </w:rPr>
              <w:t>2</w:t>
            </w:r>
          </w:p>
        </w:tc>
        <w:tc>
          <w:tcPr>
            <w:tcW w:w="1417"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二氧化氮（</w:t>
            </w:r>
            <w:r>
              <w:t>NO</w:t>
            </w:r>
            <w:r>
              <w:rPr>
                <w:vertAlign w:val="subscript"/>
              </w:rPr>
              <w:t>2</w:t>
            </w:r>
            <w:r>
              <w:rPr>
                <w:rFonts w:hint="eastAsia" w:ascii="宋体" w:hAnsi="宋体"/>
              </w:rPr>
              <w:t>）</w:t>
            </w:r>
          </w:p>
        </w:tc>
        <w:tc>
          <w:tcPr>
            <w:tcW w:w="1700"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年平均质量浓度</w:t>
            </w:r>
          </w:p>
        </w:tc>
        <w:tc>
          <w:tcPr>
            <w:tcW w:w="851"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eastAsia="等线"/>
              </w:rPr>
              <w:t>μg/m</w:t>
            </w:r>
            <w:r>
              <w:rPr>
                <w:rFonts w:eastAsia="等线"/>
                <w:vertAlign w:val="superscript"/>
              </w:rPr>
              <w:t>3</w:t>
            </w:r>
          </w:p>
        </w:tc>
        <w:tc>
          <w:tcPr>
            <w:tcW w:w="1135"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snapToGrid w:val="0"/>
              </w:rPr>
              <w:t>25</w:t>
            </w:r>
          </w:p>
        </w:tc>
        <w:tc>
          <w:tcPr>
            <w:tcW w:w="853"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eastAsia="等线"/>
              </w:rPr>
              <w:t>40</w:t>
            </w:r>
          </w:p>
        </w:tc>
        <w:tc>
          <w:tcPr>
            <w:tcW w:w="1274"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snapToGrid w:val="0"/>
              </w:rPr>
              <w:t>62.5</w:t>
            </w:r>
          </w:p>
        </w:tc>
        <w:tc>
          <w:tcPr>
            <w:tcW w:w="1120"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达标</w:t>
            </w:r>
          </w:p>
        </w:tc>
      </w:tr>
      <w:tr>
        <w:tblPrEx>
          <w:tblLayout w:type="fixed"/>
          <w:tblCellMar>
            <w:top w:w="0" w:type="dxa"/>
            <w:left w:w="108" w:type="dxa"/>
            <w:bottom w:w="0" w:type="dxa"/>
            <w:right w:w="108" w:type="dxa"/>
          </w:tblCellMar>
        </w:tblPrEx>
        <w:trPr>
          <w:trHeight w:val="825" w:hRule="atLeast"/>
        </w:trPr>
        <w:tc>
          <w:tcPr>
            <w:tcW w:w="700" w:type="dxa"/>
            <w:tcBorders>
              <w:top w:val="nil"/>
              <w:left w:val="single" w:color="000000" w:sz="8" w:space="0"/>
              <w:bottom w:val="single" w:color="000000" w:sz="8" w:space="0"/>
              <w:right w:val="single" w:color="000000" w:sz="8" w:space="0"/>
            </w:tcBorders>
            <w:shd w:val="clear" w:color="auto" w:fill="auto"/>
            <w:vAlign w:val="center"/>
          </w:tcPr>
          <w:p>
            <w:pPr>
              <w:pStyle w:val="151"/>
              <w:rPr>
                <w:rFonts w:eastAsia="等线"/>
              </w:rPr>
            </w:pPr>
            <w:r>
              <w:rPr>
                <w:rFonts w:eastAsia="等线"/>
              </w:rPr>
              <w:t>3</w:t>
            </w:r>
          </w:p>
        </w:tc>
        <w:tc>
          <w:tcPr>
            <w:tcW w:w="1417"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可吸入颗粒物（</w:t>
            </w:r>
            <w:r>
              <w:t>PM</w:t>
            </w:r>
            <w:r>
              <w:rPr>
                <w:vertAlign w:val="subscript"/>
              </w:rPr>
              <w:t>10</w:t>
            </w:r>
            <w:r>
              <w:rPr>
                <w:rFonts w:hint="eastAsia" w:ascii="宋体" w:hAnsi="宋体"/>
              </w:rPr>
              <w:t>）</w:t>
            </w:r>
          </w:p>
        </w:tc>
        <w:tc>
          <w:tcPr>
            <w:tcW w:w="1700"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年平均质量浓度</w:t>
            </w:r>
          </w:p>
        </w:tc>
        <w:tc>
          <w:tcPr>
            <w:tcW w:w="851"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eastAsia="等线"/>
              </w:rPr>
              <w:t>μg/m</w:t>
            </w:r>
            <w:r>
              <w:rPr>
                <w:rFonts w:eastAsia="等线"/>
                <w:vertAlign w:val="superscript"/>
              </w:rPr>
              <w:t>3</w:t>
            </w:r>
          </w:p>
        </w:tc>
        <w:tc>
          <w:tcPr>
            <w:tcW w:w="1135"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hint="eastAsia"/>
                <w:snapToGrid w:val="0"/>
              </w:rPr>
              <w:t>56</w:t>
            </w:r>
          </w:p>
        </w:tc>
        <w:tc>
          <w:tcPr>
            <w:tcW w:w="853"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eastAsia="等线"/>
              </w:rPr>
              <w:t>70</w:t>
            </w:r>
          </w:p>
        </w:tc>
        <w:tc>
          <w:tcPr>
            <w:tcW w:w="1274"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hint="eastAsia"/>
                <w:snapToGrid w:val="0"/>
              </w:rPr>
              <w:t>80</w:t>
            </w:r>
          </w:p>
        </w:tc>
        <w:tc>
          <w:tcPr>
            <w:tcW w:w="1120"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达标</w:t>
            </w:r>
          </w:p>
        </w:tc>
      </w:tr>
      <w:tr>
        <w:tblPrEx>
          <w:tblLayout w:type="fixed"/>
          <w:tblCellMar>
            <w:top w:w="0" w:type="dxa"/>
            <w:left w:w="108" w:type="dxa"/>
            <w:bottom w:w="0" w:type="dxa"/>
            <w:right w:w="108" w:type="dxa"/>
          </w:tblCellMar>
        </w:tblPrEx>
        <w:trPr>
          <w:trHeight w:val="570" w:hRule="atLeast"/>
        </w:trPr>
        <w:tc>
          <w:tcPr>
            <w:tcW w:w="700" w:type="dxa"/>
            <w:tcBorders>
              <w:top w:val="nil"/>
              <w:left w:val="single" w:color="000000" w:sz="8" w:space="0"/>
              <w:bottom w:val="single" w:color="000000" w:sz="8" w:space="0"/>
              <w:right w:val="single" w:color="000000" w:sz="8" w:space="0"/>
            </w:tcBorders>
            <w:shd w:val="clear" w:color="auto" w:fill="auto"/>
            <w:vAlign w:val="center"/>
          </w:tcPr>
          <w:p>
            <w:pPr>
              <w:pStyle w:val="151"/>
              <w:rPr>
                <w:rFonts w:eastAsia="等线"/>
              </w:rPr>
            </w:pPr>
            <w:r>
              <w:rPr>
                <w:rFonts w:eastAsia="等线"/>
              </w:rPr>
              <w:t>4</w:t>
            </w:r>
          </w:p>
        </w:tc>
        <w:tc>
          <w:tcPr>
            <w:tcW w:w="1417"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细颗粒物（</w:t>
            </w:r>
            <w:r>
              <w:t>PM</w:t>
            </w:r>
            <w:r>
              <w:rPr>
                <w:vertAlign w:val="subscript"/>
              </w:rPr>
              <w:t>2.5</w:t>
            </w:r>
            <w:r>
              <w:rPr>
                <w:rFonts w:hint="eastAsia" w:ascii="宋体" w:hAnsi="宋体"/>
              </w:rPr>
              <w:t>）</w:t>
            </w:r>
          </w:p>
        </w:tc>
        <w:tc>
          <w:tcPr>
            <w:tcW w:w="1700"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年平均质量浓度</w:t>
            </w:r>
          </w:p>
        </w:tc>
        <w:tc>
          <w:tcPr>
            <w:tcW w:w="851"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eastAsia="等线"/>
              </w:rPr>
              <w:t>μg/m</w:t>
            </w:r>
            <w:r>
              <w:rPr>
                <w:rFonts w:eastAsia="等线"/>
                <w:vertAlign w:val="superscript"/>
              </w:rPr>
              <w:t>3</w:t>
            </w:r>
          </w:p>
        </w:tc>
        <w:tc>
          <w:tcPr>
            <w:tcW w:w="1135"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hint="eastAsia"/>
                <w:snapToGrid w:val="0"/>
              </w:rPr>
              <w:t>3</w:t>
            </w:r>
            <w:r>
              <w:rPr>
                <w:snapToGrid w:val="0"/>
              </w:rPr>
              <w:t>0</w:t>
            </w:r>
          </w:p>
        </w:tc>
        <w:tc>
          <w:tcPr>
            <w:tcW w:w="853"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eastAsia="等线"/>
              </w:rPr>
              <w:t>35</w:t>
            </w:r>
          </w:p>
        </w:tc>
        <w:tc>
          <w:tcPr>
            <w:tcW w:w="1274"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hint="eastAsia"/>
                <w:snapToGrid w:val="0"/>
              </w:rPr>
              <w:t>9</w:t>
            </w:r>
            <w:r>
              <w:rPr>
                <w:snapToGrid w:val="0"/>
              </w:rPr>
              <w:t>5.7</w:t>
            </w:r>
          </w:p>
        </w:tc>
        <w:tc>
          <w:tcPr>
            <w:tcW w:w="1120"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达标</w:t>
            </w:r>
          </w:p>
        </w:tc>
      </w:tr>
      <w:tr>
        <w:tblPrEx>
          <w:tblLayout w:type="fixed"/>
          <w:tblCellMar>
            <w:top w:w="0" w:type="dxa"/>
            <w:left w:w="108" w:type="dxa"/>
            <w:bottom w:w="0" w:type="dxa"/>
            <w:right w:w="108" w:type="dxa"/>
          </w:tblCellMar>
        </w:tblPrEx>
        <w:trPr>
          <w:trHeight w:val="810" w:hRule="atLeast"/>
        </w:trPr>
        <w:tc>
          <w:tcPr>
            <w:tcW w:w="700" w:type="dxa"/>
            <w:tcBorders>
              <w:top w:val="nil"/>
              <w:left w:val="single" w:color="000000" w:sz="8" w:space="0"/>
              <w:bottom w:val="single" w:color="000000" w:sz="8" w:space="0"/>
              <w:right w:val="single" w:color="000000" w:sz="8" w:space="0"/>
            </w:tcBorders>
            <w:shd w:val="clear" w:color="auto" w:fill="auto"/>
            <w:vAlign w:val="center"/>
          </w:tcPr>
          <w:p>
            <w:pPr>
              <w:pStyle w:val="151"/>
              <w:rPr>
                <w:rFonts w:eastAsia="等线"/>
              </w:rPr>
            </w:pPr>
            <w:r>
              <w:rPr>
                <w:rFonts w:eastAsia="等线"/>
              </w:rPr>
              <w:t>5</w:t>
            </w:r>
          </w:p>
        </w:tc>
        <w:tc>
          <w:tcPr>
            <w:tcW w:w="1417"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一氧化碳（</w:t>
            </w:r>
            <w:r>
              <w:t>CO</w:t>
            </w:r>
            <w:r>
              <w:rPr>
                <w:rFonts w:hint="eastAsia" w:ascii="宋体" w:hAnsi="宋体"/>
              </w:rPr>
              <w:t>）</w:t>
            </w:r>
          </w:p>
        </w:tc>
        <w:tc>
          <w:tcPr>
            <w:tcW w:w="1700"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eastAsia="等线"/>
              </w:rPr>
              <w:t>24</w:t>
            </w:r>
            <w:r>
              <w:rPr>
                <w:rFonts w:hint="eastAsia" w:ascii="宋体" w:hAnsi="宋体"/>
              </w:rPr>
              <w:t>小时平均的第</w:t>
            </w:r>
            <w:r>
              <w:rPr>
                <w:rFonts w:eastAsia="等线"/>
              </w:rPr>
              <w:t>95</w:t>
            </w:r>
            <w:r>
              <w:rPr>
                <w:rFonts w:hint="eastAsia" w:ascii="宋体" w:hAnsi="宋体"/>
              </w:rPr>
              <w:t>百分位数</w:t>
            </w:r>
          </w:p>
        </w:tc>
        <w:tc>
          <w:tcPr>
            <w:tcW w:w="851"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eastAsia="等线"/>
              </w:rPr>
              <w:t>mg/m</w:t>
            </w:r>
            <w:r>
              <w:rPr>
                <w:rFonts w:eastAsia="等线"/>
                <w:vertAlign w:val="superscript"/>
              </w:rPr>
              <w:t>3</w:t>
            </w:r>
          </w:p>
        </w:tc>
        <w:tc>
          <w:tcPr>
            <w:tcW w:w="1135"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hint="eastAsia"/>
                <w:snapToGrid w:val="0"/>
              </w:rPr>
              <w:t>1</w:t>
            </w:r>
            <w:r>
              <w:rPr>
                <w:snapToGrid w:val="0"/>
              </w:rPr>
              <w:t>2</w:t>
            </w:r>
            <w:r>
              <w:rPr>
                <w:rFonts w:hint="eastAsia"/>
                <w:snapToGrid w:val="0"/>
              </w:rPr>
              <w:t>00</w:t>
            </w:r>
          </w:p>
        </w:tc>
        <w:tc>
          <w:tcPr>
            <w:tcW w:w="853"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eastAsia="等线"/>
              </w:rPr>
              <w:t>4</w:t>
            </w:r>
          </w:p>
        </w:tc>
        <w:tc>
          <w:tcPr>
            <w:tcW w:w="1274"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hint="eastAsia"/>
                <w:snapToGrid w:val="0"/>
              </w:rPr>
              <w:t>3</w:t>
            </w:r>
            <w:r>
              <w:rPr>
                <w:snapToGrid w:val="0"/>
              </w:rPr>
              <w:t>0</w:t>
            </w:r>
          </w:p>
        </w:tc>
        <w:tc>
          <w:tcPr>
            <w:tcW w:w="1120"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达标</w:t>
            </w:r>
          </w:p>
        </w:tc>
      </w:tr>
      <w:tr>
        <w:tblPrEx>
          <w:tblLayout w:type="fixed"/>
          <w:tblCellMar>
            <w:top w:w="0" w:type="dxa"/>
            <w:left w:w="108" w:type="dxa"/>
            <w:bottom w:w="0" w:type="dxa"/>
            <w:right w:w="108" w:type="dxa"/>
          </w:tblCellMar>
        </w:tblPrEx>
        <w:trPr>
          <w:trHeight w:val="1320" w:hRule="atLeast"/>
        </w:trPr>
        <w:tc>
          <w:tcPr>
            <w:tcW w:w="700" w:type="dxa"/>
            <w:tcBorders>
              <w:top w:val="nil"/>
              <w:left w:val="single" w:color="000000" w:sz="8" w:space="0"/>
              <w:bottom w:val="single" w:color="000000" w:sz="8" w:space="0"/>
              <w:right w:val="single" w:color="000000" w:sz="8" w:space="0"/>
            </w:tcBorders>
            <w:shd w:val="clear" w:color="auto" w:fill="auto"/>
            <w:vAlign w:val="center"/>
          </w:tcPr>
          <w:p>
            <w:pPr>
              <w:pStyle w:val="151"/>
              <w:rPr>
                <w:rFonts w:eastAsia="等线"/>
              </w:rPr>
            </w:pPr>
            <w:r>
              <w:rPr>
                <w:rFonts w:eastAsia="等线"/>
              </w:rPr>
              <w:t>6</w:t>
            </w:r>
          </w:p>
        </w:tc>
        <w:tc>
          <w:tcPr>
            <w:tcW w:w="1417"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臭氧（</w:t>
            </w:r>
            <w:r>
              <w:t>O</w:t>
            </w:r>
            <w:r>
              <w:rPr>
                <w:vertAlign w:val="subscript"/>
              </w:rPr>
              <w:t>3</w:t>
            </w:r>
            <w:r>
              <w:rPr>
                <w:rFonts w:hint="eastAsia" w:ascii="宋体" w:hAnsi="宋体"/>
              </w:rPr>
              <w:t>）</w:t>
            </w:r>
          </w:p>
        </w:tc>
        <w:tc>
          <w:tcPr>
            <w:tcW w:w="1700"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日最大</w:t>
            </w:r>
            <w:r>
              <w:t>8</w:t>
            </w:r>
            <w:r>
              <w:rPr>
                <w:rFonts w:hint="eastAsia" w:ascii="宋体" w:hAnsi="宋体"/>
              </w:rPr>
              <w:t>小时滑动平均浓度的第</w:t>
            </w:r>
            <w:r>
              <w:t>90</w:t>
            </w:r>
            <w:r>
              <w:rPr>
                <w:rFonts w:hint="eastAsia" w:ascii="宋体" w:hAnsi="宋体"/>
              </w:rPr>
              <w:t>百分位数</w:t>
            </w:r>
          </w:p>
        </w:tc>
        <w:tc>
          <w:tcPr>
            <w:tcW w:w="851"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eastAsia="等线"/>
              </w:rPr>
              <w:t>μg/m</w:t>
            </w:r>
            <w:r>
              <w:rPr>
                <w:rFonts w:eastAsia="等线"/>
                <w:vertAlign w:val="superscript"/>
              </w:rPr>
              <w:t>3</w:t>
            </w:r>
          </w:p>
        </w:tc>
        <w:tc>
          <w:tcPr>
            <w:tcW w:w="1135"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hint="eastAsia"/>
                <w:snapToGrid w:val="0"/>
              </w:rPr>
              <w:t>1</w:t>
            </w:r>
            <w:r>
              <w:rPr>
                <w:snapToGrid w:val="0"/>
              </w:rPr>
              <w:t>69</w:t>
            </w:r>
          </w:p>
        </w:tc>
        <w:tc>
          <w:tcPr>
            <w:tcW w:w="853"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eastAsia="等线"/>
              </w:rPr>
              <w:t>160</w:t>
            </w:r>
          </w:p>
        </w:tc>
        <w:tc>
          <w:tcPr>
            <w:tcW w:w="1274" w:type="dxa"/>
            <w:tcBorders>
              <w:top w:val="nil"/>
              <w:left w:val="nil"/>
              <w:bottom w:val="single" w:color="000000" w:sz="8" w:space="0"/>
              <w:right w:val="single" w:color="000000" w:sz="8" w:space="0"/>
            </w:tcBorders>
            <w:shd w:val="clear" w:color="auto" w:fill="auto"/>
            <w:vAlign w:val="center"/>
          </w:tcPr>
          <w:p>
            <w:pPr>
              <w:pStyle w:val="151"/>
              <w:rPr>
                <w:rFonts w:eastAsia="等线"/>
              </w:rPr>
            </w:pPr>
            <w:r>
              <w:rPr>
                <w:rFonts w:hint="eastAsia"/>
                <w:snapToGrid w:val="0"/>
              </w:rPr>
              <w:t>1</w:t>
            </w:r>
            <w:r>
              <w:rPr>
                <w:snapToGrid w:val="0"/>
              </w:rPr>
              <w:t>06</w:t>
            </w:r>
          </w:p>
        </w:tc>
        <w:tc>
          <w:tcPr>
            <w:tcW w:w="1120" w:type="dxa"/>
            <w:tcBorders>
              <w:top w:val="nil"/>
              <w:left w:val="nil"/>
              <w:bottom w:val="single" w:color="000000" w:sz="8" w:space="0"/>
              <w:right w:val="single" w:color="000000" w:sz="8" w:space="0"/>
            </w:tcBorders>
            <w:shd w:val="clear" w:color="auto" w:fill="auto"/>
            <w:vAlign w:val="center"/>
          </w:tcPr>
          <w:p>
            <w:pPr>
              <w:pStyle w:val="151"/>
              <w:rPr>
                <w:rFonts w:ascii="宋体" w:hAnsi="宋体"/>
              </w:rPr>
            </w:pPr>
            <w:r>
              <w:rPr>
                <w:rFonts w:hint="eastAsia" w:ascii="宋体" w:hAnsi="宋体"/>
              </w:rPr>
              <w:t>不达标</w:t>
            </w:r>
          </w:p>
        </w:tc>
      </w:tr>
    </w:tbl>
    <w:p>
      <w:pPr>
        <w:pStyle w:val="2"/>
      </w:pPr>
    </w:p>
    <w:p>
      <w:pPr>
        <w:ind w:firstLine="480"/>
      </w:pPr>
      <w:r>
        <w:rPr>
          <w:snapToGrid w:val="0"/>
        </w:rPr>
        <w:t>由上表可知，SO</w:t>
      </w:r>
      <w:r>
        <w:rPr>
          <w:snapToGrid w:val="0"/>
          <w:vertAlign w:val="subscript"/>
        </w:rPr>
        <w:t>2</w:t>
      </w:r>
      <w:r>
        <w:rPr>
          <w:snapToGrid w:val="0"/>
        </w:rPr>
        <w:t>、NO</w:t>
      </w:r>
      <w:r>
        <w:rPr>
          <w:snapToGrid w:val="0"/>
          <w:vertAlign w:val="subscript"/>
        </w:rPr>
        <w:t>2</w:t>
      </w:r>
      <w:r>
        <w:rPr>
          <w:snapToGrid w:val="0"/>
        </w:rPr>
        <w:t>、PM</w:t>
      </w:r>
      <w:r>
        <w:rPr>
          <w:snapToGrid w:val="0"/>
          <w:vertAlign w:val="subscript"/>
        </w:rPr>
        <w:t>2.5</w:t>
      </w:r>
      <w:r>
        <w:rPr>
          <w:rFonts w:hint="eastAsia"/>
          <w:snapToGrid w:val="0"/>
        </w:rPr>
        <w:t>、</w:t>
      </w:r>
      <w:r>
        <w:rPr>
          <w:snapToGrid w:val="0"/>
        </w:rPr>
        <w:t>PM</w:t>
      </w:r>
      <w:r>
        <w:rPr>
          <w:snapToGrid w:val="0"/>
          <w:vertAlign w:val="subscript"/>
        </w:rPr>
        <w:t>10</w:t>
      </w:r>
      <w:r>
        <w:rPr>
          <w:snapToGrid w:val="0"/>
        </w:rPr>
        <w:t>和CO等</w:t>
      </w:r>
      <w:r>
        <w:rPr>
          <w:rFonts w:hint="eastAsia"/>
          <w:snapToGrid w:val="0"/>
        </w:rPr>
        <w:t>五</w:t>
      </w:r>
      <w:r>
        <w:rPr>
          <w:snapToGrid w:val="0"/>
        </w:rPr>
        <w:t>项污染物监测数据达到《环境空气质量标准》（GB3095-2012）及其修改单中二级标准要求，O</w:t>
      </w:r>
      <w:r>
        <w:rPr>
          <w:snapToGrid w:val="0"/>
          <w:vertAlign w:val="subscript"/>
        </w:rPr>
        <w:t>3</w:t>
      </w:r>
      <w:r>
        <w:rPr>
          <w:snapToGrid w:val="0"/>
        </w:rPr>
        <w:t>等监测数据不能达到二级标准要求，</w:t>
      </w:r>
      <w:r>
        <w:rPr>
          <w:rFonts w:hint="eastAsia"/>
        </w:rPr>
        <w:t>综上，根据</w:t>
      </w:r>
      <w:r>
        <w:t>《环境影响评价技术导则 大气环境》（HJ2.2-2018）</w:t>
      </w:r>
      <w:r>
        <w:rPr>
          <w:rFonts w:hint="eastAsia"/>
        </w:rPr>
        <w:t>6.4评价内容与方法，判定项目所在评价区域为不达标区</w:t>
      </w:r>
      <w:r>
        <w:t>。</w:t>
      </w:r>
    </w:p>
    <w:p>
      <w:pPr>
        <w:pStyle w:val="6"/>
      </w:pPr>
      <w:bookmarkStart w:id="329" w:name="_Toc147119951"/>
      <w:bookmarkStart w:id="330" w:name="_Toc92651384"/>
      <w:bookmarkStart w:id="331" w:name="_Toc79213501"/>
      <w:bookmarkStart w:id="332" w:name="_Toc82771218"/>
      <w:bookmarkStart w:id="333" w:name="_Toc331536169"/>
      <w:bookmarkStart w:id="334" w:name="_Toc79812531"/>
      <w:r>
        <w:rPr>
          <w:rFonts w:hint="eastAsia"/>
        </w:rPr>
        <w:t>环境空气质量现状补充监测</w:t>
      </w:r>
    </w:p>
    <w:p>
      <w:pPr>
        <w:ind w:firstLine="480"/>
        <w:rPr>
          <w:rFonts w:eastAsiaTheme="minorEastAsia"/>
        </w:rPr>
      </w:pPr>
      <w:r>
        <w:rPr>
          <w:rFonts w:hint="eastAsia" w:eastAsiaTheme="minorEastAsia"/>
        </w:rPr>
        <w:t>为了解项目建设区域环境空气质量现状，本次评价委托广州市二轻系统环境监测站于201</w:t>
      </w:r>
      <w:r>
        <w:rPr>
          <w:rFonts w:eastAsiaTheme="minorEastAsia"/>
        </w:rPr>
        <w:t>9</w:t>
      </w:r>
      <w:r>
        <w:rPr>
          <w:rFonts w:hint="eastAsia" w:eastAsiaTheme="minorEastAsia"/>
        </w:rPr>
        <w:t>年</w:t>
      </w:r>
      <w:r>
        <w:rPr>
          <w:rFonts w:eastAsiaTheme="minorEastAsia"/>
        </w:rPr>
        <w:t>4</w:t>
      </w:r>
      <w:r>
        <w:rPr>
          <w:rFonts w:hint="eastAsia" w:eastAsiaTheme="minorEastAsia"/>
        </w:rPr>
        <w:t>月2</w:t>
      </w:r>
      <w:r>
        <w:rPr>
          <w:rFonts w:eastAsiaTheme="minorEastAsia"/>
        </w:rPr>
        <w:t>1</w:t>
      </w:r>
      <w:r>
        <w:rPr>
          <w:rFonts w:hint="eastAsia" w:eastAsiaTheme="minorEastAsia"/>
        </w:rPr>
        <w:t>日至201</w:t>
      </w:r>
      <w:r>
        <w:rPr>
          <w:rFonts w:eastAsiaTheme="minorEastAsia"/>
        </w:rPr>
        <w:t>9</w:t>
      </w:r>
      <w:r>
        <w:rPr>
          <w:rFonts w:hint="eastAsia" w:eastAsiaTheme="minorEastAsia"/>
        </w:rPr>
        <w:t>年</w:t>
      </w:r>
      <w:r>
        <w:rPr>
          <w:rFonts w:eastAsiaTheme="minorEastAsia"/>
        </w:rPr>
        <w:t>4</w:t>
      </w:r>
      <w:r>
        <w:rPr>
          <w:rFonts w:hint="eastAsia" w:eastAsiaTheme="minorEastAsia"/>
        </w:rPr>
        <w:t>月2</w:t>
      </w:r>
      <w:r>
        <w:rPr>
          <w:rFonts w:eastAsiaTheme="minorEastAsia"/>
        </w:rPr>
        <w:t>7</w:t>
      </w:r>
      <w:r>
        <w:rPr>
          <w:rFonts w:hint="eastAsia" w:eastAsiaTheme="minorEastAsia"/>
        </w:rPr>
        <w:t>日期间对项目所在区域进行了环境空气质量补充监测。</w:t>
      </w:r>
      <w:r>
        <w:rPr>
          <w:rFonts w:eastAsiaTheme="minorEastAsia"/>
        </w:rPr>
        <w:t xml:space="preserve"> </w:t>
      </w:r>
    </w:p>
    <w:p>
      <w:pPr>
        <w:pStyle w:val="126"/>
        <w:numPr>
          <w:ilvl w:val="0"/>
          <w:numId w:val="43"/>
        </w:numPr>
        <w:ind w:firstLine="482"/>
        <w:rPr>
          <w:rFonts w:eastAsiaTheme="minorEastAsia"/>
        </w:rPr>
      </w:pPr>
      <w:r>
        <w:rPr>
          <w:rFonts w:hint="eastAsia" w:eastAsiaTheme="minorEastAsia"/>
        </w:rPr>
        <w:t>监测项目</w:t>
      </w:r>
    </w:p>
    <w:p>
      <w:pPr>
        <w:ind w:firstLine="480"/>
        <w:rPr>
          <w:rFonts w:eastAsiaTheme="minorEastAsia"/>
        </w:rPr>
      </w:pPr>
      <w:r>
        <w:rPr>
          <w:rFonts w:hint="eastAsia" w:eastAsiaTheme="minorEastAsia"/>
        </w:rPr>
        <w:t>根据建设项目排放大气污染物的种类及所在地区的环境质量状况调查，本评价选择硫化氢、非甲烷总烃作为调查项目和环境质量现状评价因子。监测期间同时观测地面风向、风速、气温、气压等气象要素。</w:t>
      </w:r>
    </w:p>
    <w:p>
      <w:pPr>
        <w:ind w:firstLine="480"/>
        <w:rPr>
          <w:rFonts w:eastAsiaTheme="minorEastAsia"/>
        </w:rPr>
      </w:pPr>
      <w:r>
        <w:rPr>
          <w:rFonts w:hint="eastAsia" w:eastAsiaTheme="minorEastAsia"/>
        </w:rPr>
        <w:t>特征因子：硫化氢、非甲烷总烃。</w:t>
      </w:r>
    </w:p>
    <w:p>
      <w:pPr>
        <w:pStyle w:val="126"/>
        <w:numPr>
          <w:ilvl w:val="0"/>
          <w:numId w:val="41"/>
        </w:numPr>
        <w:ind w:firstLine="482"/>
        <w:rPr>
          <w:rFonts w:eastAsiaTheme="minorEastAsia"/>
        </w:rPr>
      </w:pPr>
      <w:r>
        <w:rPr>
          <w:rFonts w:eastAsiaTheme="minorEastAsia"/>
        </w:rPr>
        <w:t>监测布点</w:t>
      </w:r>
      <w:bookmarkEnd w:id="329"/>
      <w:bookmarkEnd w:id="330"/>
      <w:bookmarkEnd w:id="331"/>
      <w:bookmarkEnd w:id="332"/>
      <w:bookmarkEnd w:id="333"/>
      <w:bookmarkEnd w:id="334"/>
    </w:p>
    <w:p>
      <w:pPr>
        <w:ind w:firstLine="480"/>
        <w:rPr>
          <w:rFonts w:eastAsiaTheme="minorEastAsia"/>
        </w:rPr>
      </w:pPr>
      <w:r>
        <w:rPr>
          <w:rFonts w:hint="eastAsia" w:eastAsiaTheme="minorEastAsia"/>
        </w:rPr>
        <w:t>根据项目所在地的自然环境、社会环境、人群分布及主导风向，结合《环境影响评价技术导则 大气环境》（HJ 2.2-2018）对二级评价的要求和实际功能区划，以及大气环境敏感点的位置，本次调查在评价范围内</w:t>
      </w:r>
      <w:r>
        <w:rPr>
          <w:rFonts w:eastAsiaTheme="minorEastAsia"/>
        </w:rPr>
        <w:t>布设</w:t>
      </w:r>
      <w:r>
        <w:rPr>
          <w:rFonts w:hint="eastAsia" w:eastAsiaTheme="minorEastAsia"/>
        </w:rPr>
        <w:t>了</w:t>
      </w:r>
      <w:r>
        <w:rPr>
          <w:rFonts w:eastAsiaTheme="minorEastAsia"/>
        </w:rPr>
        <w:t>3个监测点</w:t>
      </w:r>
      <w:r>
        <w:rPr>
          <w:rFonts w:hint="eastAsia" w:eastAsiaTheme="minorEastAsia"/>
        </w:rPr>
        <w:t>，详见</w:t>
      </w:r>
      <w:r>
        <w:rPr>
          <w:rFonts w:eastAsiaTheme="minorEastAsia"/>
        </w:rPr>
        <w:fldChar w:fldCharType="begin"/>
      </w:r>
      <w:r>
        <w:rPr>
          <w:rFonts w:eastAsiaTheme="minorEastAsia"/>
        </w:rPr>
        <w:instrText xml:space="preserve"> </w:instrText>
      </w:r>
      <w:r>
        <w:rPr>
          <w:rFonts w:hint="eastAsia" w:eastAsiaTheme="minorEastAsia"/>
        </w:rPr>
        <w:instrText xml:space="preserve">REF _Ref531364334 \h</w:instrText>
      </w:r>
      <w:r>
        <w:rPr>
          <w:rFonts w:eastAsiaTheme="minorEastAsia"/>
        </w:rPr>
        <w:instrText xml:space="preserve"> </w:instrText>
      </w:r>
      <w:r>
        <w:rPr>
          <w:rFonts w:eastAsiaTheme="minorEastAsia"/>
        </w:rPr>
        <w:fldChar w:fldCharType="separate"/>
      </w:r>
      <w:r>
        <w:rPr>
          <w:rFonts w:hint="eastAsia"/>
        </w:rPr>
        <w:t xml:space="preserve">表 </w:t>
      </w:r>
      <w:r>
        <w:t>3.3</w:t>
      </w:r>
      <w:r>
        <w:noBreakHyphen/>
      </w:r>
      <w:r>
        <w:t>9</w:t>
      </w:r>
      <w:r>
        <w:rPr>
          <w:rFonts w:eastAsiaTheme="minorEastAsia"/>
        </w:rPr>
        <w:fldChar w:fldCharType="end"/>
      </w:r>
      <w:r>
        <w:rPr>
          <w:rFonts w:hint="eastAsia" w:eastAsiaTheme="minorEastAsia"/>
        </w:rPr>
        <w:t>及</w:t>
      </w:r>
      <w:r>
        <w:rPr>
          <w:rFonts w:eastAsiaTheme="minorEastAsia"/>
        </w:rPr>
        <w:fldChar w:fldCharType="begin"/>
      </w:r>
      <w:r>
        <w:rPr>
          <w:rFonts w:eastAsiaTheme="minorEastAsia"/>
        </w:rPr>
        <w:instrText xml:space="preserve"> </w:instrText>
      </w:r>
      <w:r>
        <w:rPr>
          <w:rFonts w:hint="eastAsia" w:eastAsiaTheme="minorEastAsia"/>
        </w:rPr>
        <w:instrText xml:space="preserve">REF _Ref527924383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3.3</w:t>
      </w:r>
      <w:r>
        <w:rPr>
          <w:rFonts w:eastAsiaTheme="minorEastAsia"/>
        </w:rPr>
        <w:noBreakHyphen/>
      </w:r>
      <w:r>
        <w:rPr>
          <w:rFonts w:eastAsiaTheme="minorEastAsia"/>
        </w:rPr>
        <w:t>2</w:t>
      </w:r>
      <w:r>
        <w:rPr>
          <w:rFonts w:eastAsiaTheme="minorEastAsia"/>
        </w:rPr>
        <w:fldChar w:fldCharType="end"/>
      </w:r>
      <w:r>
        <w:rPr>
          <w:rFonts w:hint="eastAsia" w:eastAsiaTheme="minorEastAsia"/>
        </w:rPr>
        <w:t>。</w:t>
      </w:r>
    </w:p>
    <w:p>
      <w:pPr>
        <w:pStyle w:val="126"/>
        <w:numPr>
          <w:ilvl w:val="0"/>
          <w:numId w:val="41"/>
        </w:numPr>
        <w:ind w:firstLine="482"/>
        <w:rPr>
          <w:rFonts w:eastAsiaTheme="minorEastAsia"/>
        </w:rPr>
      </w:pPr>
      <w:bookmarkStart w:id="335" w:name="_Toc331536170"/>
      <w:bookmarkStart w:id="336" w:name="_Toc92651385"/>
      <w:bookmarkStart w:id="337" w:name="_Toc147119952"/>
      <w:r>
        <w:rPr>
          <w:rFonts w:eastAsiaTheme="minorEastAsia"/>
        </w:rPr>
        <w:t>监测项目</w:t>
      </w:r>
      <w:bookmarkEnd w:id="335"/>
      <w:bookmarkEnd w:id="336"/>
      <w:bookmarkEnd w:id="337"/>
      <w:r>
        <w:rPr>
          <w:rFonts w:hint="eastAsia" w:eastAsiaTheme="minorEastAsia"/>
        </w:rPr>
        <w:t>、</w:t>
      </w:r>
      <w:r>
        <w:rPr>
          <w:rFonts w:eastAsiaTheme="minorEastAsia"/>
        </w:rPr>
        <w:t>监测时间及频率</w:t>
      </w:r>
    </w:p>
    <w:p>
      <w:pPr>
        <w:ind w:firstLine="480"/>
        <w:rPr>
          <w:rFonts w:eastAsiaTheme="minorEastAsia"/>
        </w:rPr>
      </w:pPr>
      <w:r>
        <w:rPr>
          <w:rFonts w:hint="eastAsia" w:eastAsiaTheme="minorEastAsia"/>
        </w:rPr>
        <w:t>特征因子：监测项目、监测频率及监测时间详见</w:t>
      </w:r>
      <w:r>
        <w:rPr>
          <w:rFonts w:eastAsiaTheme="minorEastAsia"/>
        </w:rPr>
        <w:fldChar w:fldCharType="begin"/>
      </w:r>
      <w:r>
        <w:rPr>
          <w:rFonts w:eastAsiaTheme="minorEastAsia"/>
        </w:rPr>
        <w:instrText xml:space="preserve"> </w:instrText>
      </w:r>
      <w:r>
        <w:rPr>
          <w:rFonts w:hint="eastAsia" w:eastAsiaTheme="minorEastAsia"/>
        </w:rPr>
        <w:instrText xml:space="preserve">REF _Ref527969544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3.3</w:t>
      </w:r>
      <w:r>
        <w:rPr>
          <w:rFonts w:eastAsiaTheme="minorEastAsia"/>
        </w:rPr>
        <w:noBreakHyphen/>
      </w:r>
      <w:r>
        <w:rPr>
          <w:rFonts w:eastAsiaTheme="minorEastAsia"/>
        </w:rPr>
        <w:t>10</w:t>
      </w:r>
      <w:r>
        <w:rPr>
          <w:rFonts w:eastAsiaTheme="minorEastAsia"/>
        </w:rPr>
        <w:fldChar w:fldCharType="end"/>
      </w:r>
      <w:r>
        <w:rPr>
          <w:rFonts w:hint="eastAsia" w:eastAsiaTheme="minorEastAsia"/>
        </w:rPr>
        <w:t>。</w:t>
      </w:r>
    </w:p>
    <w:p>
      <w:pPr>
        <w:pStyle w:val="18"/>
      </w:pPr>
      <w:bookmarkStart w:id="338" w:name="_Ref531364334"/>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9</w:t>
      </w:r>
      <w:r>
        <w:fldChar w:fldCharType="end"/>
      </w:r>
      <w:bookmarkEnd w:id="338"/>
      <w:r>
        <w:t xml:space="preserve"> </w:t>
      </w:r>
      <w:r>
        <w:rPr>
          <w:rFonts w:hint="eastAsia"/>
        </w:rPr>
        <w:t>环境空气监测点位</w:t>
      </w:r>
    </w:p>
    <w:tbl>
      <w:tblPr>
        <w:tblStyle w:val="56"/>
        <w:tblW w:w="9060" w:type="dxa"/>
        <w:tblInd w:w="0" w:type="dxa"/>
        <w:tblLayout w:type="fixed"/>
        <w:tblCellMar>
          <w:top w:w="0" w:type="dxa"/>
          <w:left w:w="108" w:type="dxa"/>
          <w:bottom w:w="0" w:type="dxa"/>
          <w:right w:w="108" w:type="dxa"/>
        </w:tblCellMar>
      </w:tblPr>
      <w:tblGrid>
        <w:gridCol w:w="732"/>
        <w:gridCol w:w="2209"/>
        <w:gridCol w:w="1625"/>
        <w:gridCol w:w="1767"/>
        <w:gridCol w:w="2727"/>
      </w:tblGrid>
      <w:tr>
        <w:tblPrEx>
          <w:tblLayout w:type="fixed"/>
          <w:tblCellMar>
            <w:top w:w="0" w:type="dxa"/>
            <w:left w:w="108" w:type="dxa"/>
            <w:bottom w:w="0" w:type="dxa"/>
            <w:right w:w="108" w:type="dxa"/>
          </w:tblCellMar>
        </w:tblPrEx>
        <w:trPr>
          <w:trHeight w:val="430" w:hRule="atLeast"/>
        </w:trPr>
        <w:tc>
          <w:tcPr>
            <w:tcW w:w="73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b/>
              </w:rPr>
            </w:pPr>
            <w:r>
              <w:rPr>
                <w:rFonts w:hint="eastAsia"/>
                <w:b/>
              </w:rPr>
              <w:t>编号</w:t>
            </w:r>
          </w:p>
        </w:tc>
        <w:tc>
          <w:tcPr>
            <w:tcW w:w="2209" w:type="dxa"/>
            <w:tcBorders>
              <w:top w:val="single" w:color="auto" w:sz="4" w:space="0"/>
              <w:left w:val="nil"/>
              <w:bottom w:val="single" w:color="auto" w:sz="4" w:space="0"/>
              <w:right w:val="single" w:color="auto" w:sz="4" w:space="0"/>
            </w:tcBorders>
            <w:shd w:val="clear" w:color="auto" w:fill="auto"/>
            <w:vAlign w:val="center"/>
          </w:tcPr>
          <w:p>
            <w:pPr>
              <w:pStyle w:val="107"/>
              <w:rPr>
                <w:b/>
              </w:rPr>
            </w:pPr>
            <w:r>
              <w:rPr>
                <w:rFonts w:hint="eastAsia"/>
                <w:b/>
              </w:rPr>
              <w:t>监测点名称</w:t>
            </w:r>
          </w:p>
        </w:tc>
        <w:tc>
          <w:tcPr>
            <w:tcW w:w="1625" w:type="dxa"/>
            <w:tcBorders>
              <w:top w:val="single" w:color="auto" w:sz="4" w:space="0"/>
              <w:left w:val="nil"/>
              <w:bottom w:val="single" w:color="auto" w:sz="4" w:space="0"/>
              <w:right w:val="single" w:color="auto" w:sz="4" w:space="0"/>
            </w:tcBorders>
            <w:shd w:val="clear" w:color="auto" w:fill="auto"/>
            <w:vAlign w:val="center"/>
          </w:tcPr>
          <w:p>
            <w:pPr>
              <w:pStyle w:val="107"/>
              <w:rPr>
                <w:b/>
              </w:rPr>
            </w:pPr>
            <w:r>
              <w:rPr>
                <w:rFonts w:hint="eastAsia"/>
                <w:b/>
              </w:rPr>
              <w:t>相对厂址方位</w:t>
            </w:r>
          </w:p>
        </w:tc>
        <w:tc>
          <w:tcPr>
            <w:tcW w:w="1767" w:type="dxa"/>
            <w:tcBorders>
              <w:top w:val="single" w:color="auto" w:sz="4" w:space="0"/>
              <w:left w:val="nil"/>
              <w:bottom w:val="single" w:color="auto" w:sz="4" w:space="0"/>
              <w:right w:val="single" w:color="auto" w:sz="4" w:space="0"/>
            </w:tcBorders>
            <w:shd w:val="clear" w:color="auto" w:fill="auto"/>
            <w:vAlign w:val="center"/>
          </w:tcPr>
          <w:p>
            <w:pPr>
              <w:pStyle w:val="107"/>
              <w:rPr>
                <w:b/>
              </w:rPr>
            </w:pPr>
            <w:r>
              <w:rPr>
                <w:rFonts w:hint="eastAsia"/>
                <w:b/>
              </w:rPr>
              <w:t>距厂界最近距离</w:t>
            </w:r>
          </w:p>
        </w:tc>
        <w:tc>
          <w:tcPr>
            <w:tcW w:w="2727"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b/>
              </w:rPr>
              <w:t>环境特征</w:t>
            </w:r>
          </w:p>
        </w:tc>
      </w:tr>
      <w:tr>
        <w:tblPrEx>
          <w:tblLayout w:type="fixed"/>
          <w:tblCellMar>
            <w:top w:w="0" w:type="dxa"/>
            <w:left w:w="108" w:type="dxa"/>
            <w:bottom w:w="0" w:type="dxa"/>
            <w:right w:w="108" w:type="dxa"/>
          </w:tblCellMar>
        </w:tblPrEx>
        <w:trPr>
          <w:trHeight w:val="270" w:hRule="atLeast"/>
        </w:trPr>
        <w:tc>
          <w:tcPr>
            <w:tcW w:w="732" w:type="dxa"/>
            <w:tcBorders>
              <w:top w:val="nil"/>
              <w:left w:val="single" w:color="auto" w:sz="4" w:space="0"/>
              <w:bottom w:val="single" w:color="auto" w:sz="4" w:space="0"/>
              <w:right w:val="single" w:color="auto" w:sz="4" w:space="0"/>
            </w:tcBorders>
            <w:shd w:val="clear" w:color="auto" w:fill="auto"/>
            <w:vAlign w:val="center"/>
          </w:tcPr>
          <w:p>
            <w:pPr>
              <w:pStyle w:val="107"/>
            </w:pPr>
            <w:r>
              <w:t>G1</w:t>
            </w:r>
          </w:p>
        </w:tc>
        <w:tc>
          <w:tcPr>
            <w:tcW w:w="2209" w:type="dxa"/>
            <w:tcBorders>
              <w:top w:val="nil"/>
              <w:left w:val="nil"/>
              <w:bottom w:val="single" w:color="auto" w:sz="4" w:space="0"/>
              <w:right w:val="single" w:color="auto" w:sz="4" w:space="0"/>
            </w:tcBorders>
            <w:shd w:val="clear" w:color="auto" w:fill="auto"/>
            <w:vAlign w:val="center"/>
          </w:tcPr>
          <w:p>
            <w:pPr>
              <w:pStyle w:val="107"/>
            </w:pPr>
            <w:r>
              <w:rPr>
                <w:rFonts w:hint="eastAsia"/>
              </w:rPr>
              <w:t>项目上风向</w:t>
            </w:r>
          </w:p>
        </w:tc>
        <w:tc>
          <w:tcPr>
            <w:tcW w:w="1625" w:type="dxa"/>
            <w:tcBorders>
              <w:top w:val="nil"/>
              <w:left w:val="nil"/>
              <w:bottom w:val="single" w:color="auto" w:sz="4" w:space="0"/>
              <w:right w:val="single" w:color="auto" w:sz="4" w:space="0"/>
            </w:tcBorders>
            <w:shd w:val="clear" w:color="auto" w:fill="auto"/>
            <w:vAlign w:val="center"/>
          </w:tcPr>
          <w:p>
            <w:pPr>
              <w:pStyle w:val="107"/>
            </w:pPr>
            <w:r>
              <w:t>/</w:t>
            </w:r>
          </w:p>
        </w:tc>
        <w:tc>
          <w:tcPr>
            <w:tcW w:w="1767" w:type="dxa"/>
            <w:tcBorders>
              <w:top w:val="nil"/>
              <w:left w:val="nil"/>
              <w:bottom w:val="single" w:color="auto" w:sz="4" w:space="0"/>
              <w:right w:val="single" w:color="auto" w:sz="4" w:space="0"/>
            </w:tcBorders>
            <w:shd w:val="clear" w:color="auto" w:fill="auto"/>
            <w:vAlign w:val="center"/>
          </w:tcPr>
          <w:p>
            <w:pPr>
              <w:pStyle w:val="107"/>
            </w:pPr>
            <w:r>
              <w:t>/</w:t>
            </w:r>
          </w:p>
        </w:tc>
        <w:tc>
          <w:tcPr>
            <w:tcW w:w="2727" w:type="dxa"/>
            <w:tcBorders>
              <w:top w:val="nil"/>
              <w:left w:val="nil"/>
              <w:bottom w:val="single" w:color="auto" w:sz="4" w:space="0"/>
              <w:right w:val="single" w:color="auto" w:sz="4" w:space="0"/>
            </w:tcBorders>
            <w:shd w:val="clear" w:color="auto" w:fill="auto"/>
            <w:vAlign w:val="center"/>
          </w:tcPr>
          <w:p>
            <w:pPr>
              <w:pStyle w:val="107"/>
            </w:pPr>
            <w:r>
              <w:rPr>
                <w:rFonts w:hint="eastAsia"/>
              </w:rPr>
              <w:t>工业区</w:t>
            </w:r>
          </w:p>
        </w:tc>
      </w:tr>
      <w:tr>
        <w:tblPrEx>
          <w:tblLayout w:type="fixed"/>
          <w:tblCellMar>
            <w:top w:w="0" w:type="dxa"/>
            <w:left w:w="108" w:type="dxa"/>
            <w:bottom w:w="0" w:type="dxa"/>
            <w:right w:w="108" w:type="dxa"/>
          </w:tblCellMar>
        </w:tblPrEx>
        <w:trPr>
          <w:trHeight w:val="270" w:hRule="atLeast"/>
        </w:trPr>
        <w:tc>
          <w:tcPr>
            <w:tcW w:w="732" w:type="dxa"/>
            <w:tcBorders>
              <w:top w:val="nil"/>
              <w:left w:val="single" w:color="auto" w:sz="4" w:space="0"/>
              <w:bottom w:val="single" w:color="auto" w:sz="4" w:space="0"/>
              <w:right w:val="single" w:color="auto" w:sz="4" w:space="0"/>
            </w:tcBorders>
            <w:shd w:val="clear" w:color="auto" w:fill="auto"/>
            <w:vAlign w:val="center"/>
          </w:tcPr>
          <w:p>
            <w:pPr>
              <w:pStyle w:val="107"/>
            </w:pPr>
            <w:r>
              <w:t>G2</w:t>
            </w:r>
          </w:p>
        </w:tc>
        <w:tc>
          <w:tcPr>
            <w:tcW w:w="2209" w:type="dxa"/>
            <w:tcBorders>
              <w:top w:val="nil"/>
              <w:left w:val="nil"/>
              <w:bottom w:val="single" w:color="auto" w:sz="4" w:space="0"/>
              <w:right w:val="single" w:color="auto" w:sz="4" w:space="0"/>
            </w:tcBorders>
            <w:shd w:val="clear" w:color="auto" w:fill="auto"/>
            <w:vAlign w:val="center"/>
          </w:tcPr>
          <w:p>
            <w:pPr>
              <w:pStyle w:val="107"/>
            </w:pPr>
            <w:r>
              <w:rPr>
                <w:rFonts w:hint="eastAsia"/>
              </w:rPr>
              <w:t>项目下风向</w:t>
            </w:r>
          </w:p>
        </w:tc>
        <w:tc>
          <w:tcPr>
            <w:tcW w:w="1625" w:type="dxa"/>
            <w:tcBorders>
              <w:top w:val="nil"/>
              <w:left w:val="nil"/>
              <w:bottom w:val="single" w:color="auto" w:sz="4" w:space="0"/>
              <w:right w:val="single" w:color="auto" w:sz="4" w:space="0"/>
            </w:tcBorders>
            <w:shd w:val="clear" w:color="auto" w:fill="auto"/>
            <w:vAlign w:val="center"/>
          </w:tcPr>
          <w:p>
            <w:pPr>
              <w:pStyle w:val="107"/>
            </w:pPr>
            <w:r>
              <w:t>/</w:t>
            </w:r>
          </w:p>
        </w:tc>
        <w:tc>
          <w:tcPr>
            <w:tcW w:w="176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w:t>
            </w:r>
          </w:p>
        </w:tc>
        <w:tc>
          <w:tcPr>
            <w:tcW w:w="272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工业区</w:t>
            </w:r>
          </w:p>
        </w:tc>
      </w:tr>
      <w:tr>
        <w:tblPrEx>
          <w:tblLayout w:type="fixed"/>
          <w:tblCellMar>
            <w:top w:w="0" w:type="dxa"/>
            <w:left w:w="108" w:type="dxa"/>
            <w:bottom w:w="0" w:type="dxa"/>
            <w:right w:w="108" w:type="dxa"/>
          </w:tblCellMar>
        </w:tblPrEx>
        <w:trPr>
          <w:trHeight w:val="315" w:hRule="atLeast"/>
        </w:trPr>
        <w:tc>
          <w:tcPr>
            <w:tcW w:w="732" w:type="dxa"/>
            <w:tcBorders>
              <w:top w:val="nil"/>
              <w:left w:val="single" w:color="auto" w:sz="4" w:space="0"/>
              <w:bottom w:val="single" w:color="auto" w:sz="4" w:space="0"/>
              <w:right w:val="single" w:color="auto" w:sz="4" w:space="0"/>
            </w:tcBorders>
            <w:shd w:val="clear" w:color="auto" w:fill="auto"/>
            <w:vAlign w:val="center"/>
          </w:tcPr>
          <w:p>
            <w:pPr>
              <w:pStyle w:val="107"/>
            </w:pPr>
            <w:r>
              <w:t>G3</w:t>
            </w:r>
          </w:p>
        </w:tc>
        <w:tc>
          <w:tcPr>
            <w:tcW w:w="2209" w:type="dxa"/>
            <w:tcBorders>
              <w:top w:val="nil"/>
              <w:left w:val="nil"/>
              <w:bottom w:val="single" w:color="auto" w:sz="4" w:space="0"/>
              <w:right w:val="single" w:color="auto" w:sz="4" w:space="0"/>
            </w:tcBorders>
            <w:shd w:val="clear" w:color="auto" w:fill="auto"/>
            <w:vAlign w:val="center"/>
          </w:tcPr>
          <w:tbl>
            <w:tblPr>
              <w:tblStyle w:val="57"/>
              <w:tblW w:w="198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983" w:type="dxa"/>
                </w:tcPr>
                <w:p>
                  <w:pPr>
                    <w:pStyle w:val="107"/>
                  </w:pPr>
                  <w:r>
                    <w:rPr>
                      <w:rFonts w:hint="eastAsia"/>
                    </w:rPr>
                    <w:t>下莲塘</w:t>
                  </w:r>
                </w:p>
              </w:tc>
            </w:tr>
          </w:tbl>
          <w:p>
            <w:pPr>
              <w:pStyle w:val="107"/>
            </w:pPr>
          </w:p>
        </w:tc>
        <w:tc>
          <w:tcPr>
            <w:tcW w:w="1625" w:type="dxa"/>
            <w:tcBorders>
              <w:top w:val="nil"/>
              <w:left w:val="nil"/>
              <w:bottom w:val="single" w:color="auto" w:sz="4" w:space="0"/>
              <w:right w:val="single" w:color="auto" w:sz="4" w:space="0"/>
            </w:tcBorders>
            <w:shd w:val="clear" w:color="auto" w:fill="auto"/>
          </w:tcPr>
          <w:p>
            <w:pPr>
              <w:pStyle w:val="107"/>
            </w:pPr>
            <w:r>
              <w:t>SW</w:t>
            </w:r>
          </w:p>
        </w:tc>
        <w:tc>
          <w:tcPr>
            <w:tcW w:w="1767" w:type="dxa"/>
            <w:tcBorders>
              <w:top w:val="nil"/>
              <w:left w:val="single" w:color="auto" w:sz="4" w:space="0"/>
              <w:bottom w:val="single" w:color="auto" w:sz="4" w:space="0"/>
              <w:right w:val="single" w:color="auto" w:sz="4" w:space="0"/>
            </w:tcBorders>
            <w:shd w:val="clear" w:color="auto" w:fill="auto"/>
            <w:vAlign w:val="center"/>
          </w:tcPr>
          <w:p>
            <w:pPr>
              <w:pStyle w:val="107"/>
            </w:pPr>
            <w:r>
              <w:t>220m</w:t>
            </w:r>
          </w:p>
        </w:tc>
        <w:tc>
          <w:tcPr>
            <w:tcW w:w="2727" w:type="dxa"/>
            <w:tcBorders>
              <w:top w:val="nil"/>
              <w:left w:val="single" w:color="auto" w:sz="4" w:space="0"/>
              <w:bottom w:val="single" w:color="auto" w:sz="4" w:space="0"/>
              <w:right w:val="single" w:color="auto" w:sz="4" w:space="0"/>
            </w:tcBorders>
            <w:shd w:val="clear" w:color="auto" w:fill="auto"/>
            <w:vAlign w:val="center"/>
          </w:tcPr>
          <w:p>
            <w:pPr>
              <w:pStyle w:val="107"/>
            </w:pPr>
            <w:r>
              <w:rPr>
                <w:rFonts w:hint="eastAsia"/>
              </w:rPr>
              <w:t>居民区</w:t>
            </w:r>
          </w:p>
        </w:tc>
      </w:tr>
    </w:tbl>
    <w:p>
      <w:pPr>
        <w:pStyle w:val="18"/>
      </w:pPr>
      <w:bookmarkStart w:id="339" w:name="_Ref527969544"/>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10</w:t>
      </w:r>
      <w:r>
        <w:fldChar w:fldCharType="end"/>
      </w:r>
      <w:bookmarkEnd w:id="339"/>
      <w:r>
        <w:t xml:space="preserve"> </w:t>
      </w:r>
      <w:r>
        <w:rPr>
          <w:rFonts w:hint="eastAsia"/>
        </w:rPr>
        <w:t>监测项目和监测时间及频次</w:t>
      </w:r>
    </w:p>
    <w:tbl>
      <w:tblPr>
        <w:tblStyle w:val="56"/>
        <w:tblW w:w="9060" w:type="dxa"/>
        <w:tblInd w:w="0" w:type="dxa"/>
        <w:tblLayout w:type="fixed"/>
        <w:tblCellMar>
          <w:top w:w="0" w:type="dxa"/>
          <w:left w:w="108" w:type="dxa"/>
          <w:bottom w:w="0" w:type="dxa"/>
          <w:right w:w="108" w:type="dxa"/>
        </w:tblCellMar>
      </w:tblPr>
      <w:tblGrid>
        <w:gridCol w:w="1113"/>
        <w:gridCol w:w="1828"/>
        <w:gridCol w:w="1413"/>
        <w:gridCol w:w="4706"/>
      </w:tblGrid>
      <w:tr>
        <w:tblPrEx>
          <w:tblLayout w:type="fixed"/>
          <w:tblCellMar>
            <w:top w:w="0" w:type="dxa"/>
            <w:left w:w="108" w:type="dxa"/>
            <w:bottom w:w="0" w:type="dxa"/>
            <w:right w:w="108" w:type="dxa"/>
          </w:tblCellMar>
        </w:tblPrEx>
        <w:trPr>
          <w:trHeight w:val="443" w:hRule="atLeast"/>
        </w:trPr>
        <w:tc>
          <w:tcPr>
            <w:tcW w:w="111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b/>
                <w:color w:val="000000"/>
                <w:sz w:val="20"/>
                <w:szCs w:val="20"/>
              </w:rPr>
            </w:pPr>
            <w:r>
              <w:rPr>
                <w:rFonts w:hint="eastAsia"/>
                <w:b/>
              </w:rPr>
              <w:t>监测项目</w:t>
            </w:r>
          </w:p>
        </w:tc>
        <w:tc>
          <w:tcPr>
            <w:tcW w:w="1828" w:type="dxa"/>
            <w:tcBorders>
              <w:top w:val="single" w:color="000000" w:sz="4" w:space="0"/>
              <w:left w:val="nil"/>
              <w:bottom w:val="single" w:color="000000" w:sz="4" w:space="0"/>
              <w:right w:val="single" w:color="000000" w:sz="4" w:space="0"/>
            </w:tcBorders>
            <w:shd w:val="clear" w:color="auto" w:fill="auto"/>
            <w:vAlign w:val="center"/>
          </w:tcPr>
          <w:p>
            <w:pPr>
              <w:pStyle w:val="107"/>
              <w:rPr>
                <w:b/>
              </w:rPr>
            </w:pPr>
            <w:r>
              <w:rPr>
                <w:rFonts w:hint="eastAsia"/>
                <w:b/>
              </w:rPr>
              <w:t>监测因子</w:t>
            </w:r>
          </w:p>
        </w:tc>
        <w:tc>
          <w:tcPr>
            <w:tcW w:w="6119"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color w:val="000000"/>
                <w:sz w:val="20"/>
                <w:szCs w:val="20"/>
              </w:rPr>
            </w:pPr>
            <w:r>
              <w:rPr>
                <w:rFonts w:hint="eastAsia"/>
              </w:rPr>
              <w:t>臭气浓度、硫化氢、非甲烷总烃、</w:t>
            </w:r>
            <w:r>
              <w:t>TVOC</w:t>
            </w:r>
          </w:p>
        </w:tc>
      </w:tr>
      <w:tr>
        <w:tblPrEx>
          <w:tblLayout w:type="fixed"/>
          <w:tblCellMar>
            <w:top w:w="0" w:type="dxa"/>
            <w:left w:w="108" w:type="dxa"/>
            <w:bottom w:w="0" w:type="dxa"/>
            <w:right w:w="108" w:type="dxa"/>
          </w:tblCellMar>
        </w:tblPrEx>
        <w:trPr>
          <w:trHeight w:val="645" w:hRule="atLeast"/>
        </w:trPr>
        <w:tc>
          <w:tcPr>
            <w:tcW w:w="11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b/>
              </w:rPr>
            </w:pPr>
            <w:r>
              <w:rPr>
                <w:rFonts w:hint="eastAsia"/>
                <w:b/>
              </w:rPr>
              <w:t>监测频率</w:t>
            </w:r>
          </w:p>
        </w:tc>
        <w:tc>
          <w:tcPr>
            <w:tcW w:w="1828" w:type="dxa"/>
            <w:tcBorders>
              <w:top w:val="single" w:color="000000" w:sz="4" w:space="0"/>
              <w:left w:val="nil"/>
              <w:bottom w:val="single" w:color="000000" w:sz="4" w:space="0"/>
              <w:right w:val="single" w:color="000000" w:sz="4" w:space="0"/>
            </w:tcBorders>
            <w:shd w:val="clear" w:color="auto" w:fill="auto"/>
            <w:vAlign w:val="center"/>
          </w:tcPr>
          <w:p>
            <w:pPr>
              <w:pStyle w:val="107"/>
              <w:rPr>
                <w:b/>
              </w:rPr>
            </w:pPr>
            <w:r>
              <w:rPr>
                <w:rFonts w:hint="eastAsia"/>
                <w:b/>
              </w:rPr>
              <w:t>小时浓度</w:t>
            </w:r>
          </w:p>
        </w:tc>
        <w:tc>
          <w:tcPr>
            <w:tcW w:w="1413"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硫化氢</w:t>
            </w:r>
          </w:p>
        </w:tc>
        <w:tc>
          <w:tcPr>
            <w:tcW w:w="4706"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每天采样</w:t>
            </w:r>
            <w:r>
              <w:t>4</w:t>
            </w:r>
            <w:r>
              <w:rPr>
                <w:rFonts w:hint="eastAsia"/>
              </w:rPr>
              <w:t>次，每次采样</w:t>
            </w:r>
            <w:r>
              <w:t>60</w:t>
            </w:r>
            <w:r>
              <w:rPr>
                <w:rFonts w:hint="eastAsia"/>
              </w:rPr>
              <w:t>分钟</w:t>
            </w:r>
          </w:p>
          <w:p>
            <w:pPr>
              <w:pStyle w:val="107"/>
              <w:rPr>
                <w:color w:val="000000"/>
                <w:sz w:val="20"/>
                <w:szCs w:val="20"/>
              </w:rPr>
            </w:pPr>
            <w:r>
              <w:rPr>
                <w:rFonts w:hint="eastAsia"/>
              </w:rPr>
              <w:t>采样时间为：</w:t>
            </w:r>
            <w:r>
              <w:t>02:00</w:t>
            </w:r>
            <w:r>
              <w:rPr>
                <w:rFonts w:hint="eastAsia"/>
              </w:rPr>
              <w:t>、</w:t>
            </w:r>
            <w:r>
              <w:t>08:00</w:t>
            </w:r>
            <w:r>
              <w:rPr>
                <w:rFonts w:hint="eastAsia"/>
              </w:rPr>
              <w:t>、</w:t>
            </w:r>
            <w:r>
              <w:t>14:00</w:t>
            </w:r>
            <w:r>
              <w:rPr>
                <w:rFonts w:hint="eastAsia"/>
              </w:rPr>
              <w:t>、</w:t>
            </w:r>
            <w:r>
              <w:t>20:00</w:t>
            </w:r>
          </w:p>
        </w:tc>
      </w:tr>
      <w:tr>
        <w:tblPrEx>
          <w:tblLayout w:type="fixed"/>
          <w:tblCellMar>
            <w:top w:w="0" w:type="dxa"/>
            <w:left w:w="108" w:type="dxa"/>
            <w:bottom w:w="0" w:type="dxa"/>
            <w:right w:w="108" w:type="dxa"/>
          </w:tblCellMar>
        </w:tblPrEx>
        <w:trPr>
          <w:trHeight w:val="972" w:hRule="atLeast"/>
        </w:trPr>
        <w:tc>
          <w:tcPr>
            <w:tcW w:w="1113"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b/>
              </w:rPr>
            </w:pPr>
          </w:p>
        </w:tc>
        <w:tc>
          <w:tcPr>
            <w:tcW w:w="1828" w:type="dxa"/>
            <w:tcBorders>
              <w:top w:val="single" w:color="000000" w:sz="4" w:space="0"/>
              <w:left w:val="nil"/>
              <w:bottom w:val="single" w:color="000000" w:sz="4" w:space="0"/>
              <w:right w:val="single" w:color="000000" w:sz="4" w:space="0"/>
            </w:tcBorders>
            <w:shd w:val="clear" w:color="auto" w:fill="auto"/>
            <w:vAlign w:val="center"/>
          </w:tcPr>
          <w:p>
            <w:pPr>
              <w:pStyle w:val="107"/>
              <w:rPr>
                <w:b/>
              </w:rPr>
            </w:pPr>
            <w:r>
              <w:rPr>
                <w:rFonts w:hint="eastAsia"/>
                <w:b/>
              </w:rPr>
              <w:t>一次测定值</w:t>
            </w:r>
          </w:p>
        </w:tc>
        <w:tc>
          <w:tcPr>
            <w:tcW w:w="1413"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非甲烷总烃</w:t>
            </w:r>
          </w:p>
        </w:tc>
        <w:tc>
          <w:tcPr>
            <w:tcW w:w="4706"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每天采样</w:t>
            </w:r>
            <w:r>
              <w:t>4</w:t>
            </w:r>
            <w:r>
              <w:rPr>
                <w:rFonts w:hint="eastAsia"/>
              </w:rPr>
              <w:t>次</w:t>
            </w:r>
          </w:p>
          <w:p>
            <w:pPr>
              <w:pStyle w:val="107"/>
              <w:rPr>
                <w:color w:val="000000"/>
                <w:sz w:val="20"/>
                <w:szCs w:val="20"/>
              </w:rPr>
            </w:pPr>
            <w:r>
              <w:rPr>
                <w:rFonts w:hint="eastAsia"/>
              </w:rPr>
              <w:t>采样时间段为：</w:t>
            </w:r>
            <w:r>
              <w:t>02:00</w:t>
            </w:r>
            <w:r>
              <w:rPr>
                <w:rFonts w:hint="eastAsia"/>
              </w:rPr>
              <w:t>～</w:t>
            </w:r>
            <w:r>
              <w:t>03:00</w:t>
            </w:r>
            <w:r>
              <w:rPr>
                <w:rFonts w:hint="eastAsia"/>
              </w:rPr>
              <w:t>、</w:t>
            </w:r>
            <w:r>
              <w:t>08:00</w:t>
            </w:r>
            <w:r>
              <w:rPr>
                <w:rFonts w:hint="eastAsia"/>
              </w:rPr>
              <w:t>～</w:t>
            </w:r>
            <w:r>
              <w:t>09:00</w:t>
            </w:r>
            <w:r>
              <w:rPr>
                <w:rFonts w:hint="eastAsia"/>
              </w:rPr>
              <w:t>、</w:t>
            </w:r>
            <w:r>
              <w:t>14:00</w:t>
            </w:r>
            <w:r>
              <w:rPr>
                <w:rFonts w:hint="eastAsia"/>
              </w:rPr>
              <w:t>～</w:t>
            </w:r>
            <w:r>
              <w:t>15:00</w:t>
            </w:r>
            <w:r>
              <w:rPr>
                <w:rFonts w:hint="eastAsia"/>
              </w:rPr>
              <w:t>、</w:t>
            </w:r>
            <w:r>
              <w:t>20:00</w:t>
            </w:r>
            <w:r>
              <w:rPr>
                <w:rFonts w:hint="eastAsia"/>
              </w:rPr>
              <w:t>～</w:t>
            </w:r>
            <w:r>
              <w:t>21:00</w:t>
            </w:r>
          </w:p>
        </w:tc>
      </w:tr>
      <w:tr>
        <w:tblPrEx>
          <w:tblLayout w:type="fixed"/>
          <w:tblCellMar>
            <w:top w:w="0" w:type="dxa"/>
            <w:left w:w="108" w:type="dxa"/>
            <w:bottom w:w="0" w:type="dxa"/>
            <w:right w:w="108" w:type="dxa"/>
          </w:tblCellMar>
        </w:tblPrEx>
        <w:trPr>
          <w:trHeight w:val="342" w:hRule="atLeast"/>
        </w:trPr>
        <w:tc>
          <w:tcPr>
            <w:tcW w:w="1113"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b/>
              </w:rPr>
            </w:pPr>
          </w:p>
        </w:tc>
        <w:tc>
          <w:tcPr>
            <w:tcW w:w="1828" w:type="dxa"/>
            <w:tcBorders>
              <w:top w:val="single" w:color="000000" w:sz="4" w:space="0"/>
              <w:left w:val="nil"/>
              <w:bottom w:val="single" w:color="000000" w:sz="4" w:space="0"/>
              <w:right w:val="single" w:color="000000" w:sz="4" w:space="0"/>
            </w:tcBorders>
            <w:shd w:val="clear" w:color="auto" w:fill="auto"/>
            <w:vAlign w:val="center"/>
          </w:tcPr>
          <w:p>
            <w:pPr>
              <w:pStyle w:val="107"/>
              <w:rPr>
                <w:b/>
              </w:rPr>
            </w:pPr>
            <w:r>
              <w:rPr>
                <w:rFonts w:hint="eastAsia"/>
                <w:b/>
              </w:rPr>
              <w:t>同步观察记录</w:t>
            </w:r>
          </w:p>
        </w:tc>
        <w:tc>
          <w:tcPr>
            <w:tcW w:w="6119" w:type="dxa"/>
            <w:gridSpan w:val="2"/>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气温、气压、风向、风速等气象参数</w:t>
            </w:r>
          </w:p>
        </w:tc>
      </w:tr>
      <w:tr>
        <w:tblPrEx>
          <w:tblLayout w:type="fixed"/>
          <w:tblCellMar>
            <w:top w:w="0" w:type="dxa"/>
            <w:left w:w="108" w:type="dxa"/>
            <w:bottom w:w="0" w:type="dxa"/>
            <w:right w:w="108" w:type="dxa"/>
          </w:tblCellMar>
        </w:tblPrEx>
        <w:trPr>
          <w:trHeight w:val="342" w:hRule="atLeast"/>
        </w:trPr>
        <w:tc>
          <w:tcPr>
            <w:tcW w:w="1113"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b/>
              </w:rPr>
            </w:pPr>
          </w:p>
        </w:tc>
        <w:tc>
          <w:tcPr>
            <w:tcW w:w="1828" w:type="dxa"/>
            <w:tcBorders>
              <w:top w:val="single" w:color="000000" w:sz="4" w:space="0"/>
              <w:left w:val="nil"/>
              <w:bottom w:val="single" w:color="000000" w:sz="4" w:space="0"/>
              <w:right w:val="single" w:color="000000" w:sz="4" w:space="0"/>
            </w:tcBorders>
            <w:shd w:val="clear" w:color="auto" w:fill="auto"/>
            <w:vAlign w:val="center"/>
          </w:tcPr>
          <w:p>
            <w:pPr>
              <w:pStyle w:val="107"/>
              <w:rPr>
                <w:b/>
              </w:rPr>
            </w:pPr>
            <w:r>
              <w:rPr>
                <w:rFonts w:hint="eastAsia"/>
                <w:b/>
              </w:rPr>
              <w:t>监测天数</w:t>
            </w:r>
          </w:p>
        </w:tc>
        <w:tc>
          <w:tcPr>
            <w:tcW w:w="6119"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color w:val="000000"/>
                <w:sz w:val="20"/>
                <w:szCs w:val="20"/>
              </w:rPr>
            </w:pPr>
            <w:r>
              <w:rPr>
                <w:rFonts w:hint="eastAsia"/>
              </w:rPr>
              <w:t>连续监测</w:t>
            </w:r>
            <w:r>
              <w:t>7</w:t>
            </w:r>
            <w:r>
              <w:rPr>
                <w:rFonts w:hint="eastAsia"/>
              </w:rPr>
              <w:t>天</w:t>
            </w:r>
          </w:p>
        </w:tc>
      </w:tr>
      <w:tr>
        <w:tblPrEx>
          <w:tblLayout w:type="fixed"/>
          <w:tblCellMar>
            <w:top w:w="0" w:type="dxa"/>
            <w:left w:w="108" w:type="dxa"/>
            <w:bottom w:w="0" w:type="dxa"/>
            <w:right w:w="108" w:type="dxa"/>
          </w:tblCellMar>
        </w:tblPrEx>
        <w:trPr>
          <w:trHeight w:val="342" w:hRule="atLeast"/>
        </w:trPr>
        <w:tc>
          <w:tcPr>
            <w:tcW w:w="29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b/>
              </w:rPr>
            </w:pPr>
            <w:r>
              <w:rPr>
                <w:rFonts w:hint="eastAsia"/>
                <w:b/>
              </w:rPr>
              <w:t>采样日期</w:t>
            </w:r>
          </w:p>
        </w:tc>
        <w:tc>
          <w:tcPr>
            <w:tcW w:w="6119"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color w:val="000000"/>
                <w:sz w:val="20"/>
                <w:szCs w:val="20"/>
              </w:rPr>
            </w:pPr>
            <w:r>
              <w:t>2019</w:t>
            </w:r>
            <w:r>
              <w:rPr>
                <w:rFonts w:hint="eastAsia"/>
              </w:rPr>
              <w:t>年</w:t>
            </w:r>
            <w:r>
              <w:t>4</w:t>
            </w:r>
            <w:r>
              <w:rPr>
                <w:rFonts w:hint="eastAsia"/>
              </w:rPr>
              <w:t>月</w:t>
            </w:r>
            <w:r>
              <w:t>21</w:t>
            </w:r>
            <w:r>
              <w:rPr>
                <w:rFonts w:hint="eastAsia"/>
              </w:rPr>
              <w:t>日</w:t>
            </w:r>
            <w:r>
              <w:t>~4</w:t>
            </w:r>
            <w:r>
              <w:rPr>
                <w:rFonts w:hint="eastAsia"/>
              </w:rPr>
              <w:t>月</w:t>
            </w:r>
            <w:r>
              <w:t>27</w:t>
            </w:r>
            <w:r>
              <w:rPr>
                <w:rFonts w:hint="eastAsia"/>
              </w:rPr>
              <w:t>日</w:t>
            </w:r>
          </w:p>
        </w:tc>
      </w:tr>
      <w:tr>
        <w:tblPrEx>
          <w:tblLayout w:type="fixed"/>
          <w:tblCellMar>
            <w:top w:w="0" w:type="dxa"/>
            <w:left w:w="108" w:type="dxa"/>
            <w:bottom w:w="0" w:type="dxa"/>
            <w:right w:w="108" w:type="dxa"/>
          </w:tblCellMar>
        </w:tblPrEx>
        <w:trPr>
          <w:trHeight w:val="342" w:hRule="atLeast"/>
        </w:trPr>
        <w:tc>
          <w:tcPr>
            <w:tcW w:w="294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b/>
              </w:rPr>
            </w:pPr>
            <w:r>
              <w:rPr>
                <w:rFonts w:hint="eastAsia"/>
                <w:b/>
              </w:rPr>
              <w:t>监测单位</w:t>
            </w:r>
          </w:p>
        </w:tc>
        <w:tc>
          <w:tcPr>
            <w:tcW w:w="6119" w:type="dxa"/>
            <w:gridSpan w:val="2"/>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广州市二轻系统环境监测站</w:t>
            </w:r>
          </w:p>
        </w:tc>
      </w:tr>
    </w:tbl>
    <w:p>
      <w:pPr>
        <w:pStyle w:val="126"/>
        <w:numPr>
          <w:ilvl w:val="0"/>
          <w:numId w:val="41"/>
        </w:numPr>
        <w:ind w:firstLine="482"/>
        <w:rPr>
          <w:rFonts w:eastAsiaTheme="minorEastAsia"/>
        </w:rPr>
      </w:pPr>
      <w:bookmarkStart w:id="340" w:name="_Toc331536172"/>
      <w:bookmarkStart w:id="341" w:name="_Toc79213503"/>
      <w:bookmarkStart w:id="342" w:name="_Toc92651387"/>
      <w:bookmarkStart w:id="343" w:name="_Toc82771220"/>
      <w:bookmarkStart w:id="344" w:name="_Toc79812533"/>
      <w:bookmarkStart w:id="345" w:name="_Toc147119954"/>
      <w:r>
        <w:rPr>
          <w:rFonts w:hint="eastAsia" w:eastAsiaTheme="minorEastAsia"/>
        </w:rPr>
        <w:t>监测</w:t>
      </w:r>
      <w:r>
        <w:rPr>
          <w:rFonts w:eastAsiaTheme="minorEastAsia"/>
        </w:rPr>
        <w:t>分析方法</w:t>
      </w:r>
    </w:p>
    <w:p>
      <w:pPr>
        <w:ind w:firstLine="480"/>
      </w:pPr>
      <w:r>
        <w:rPr>
          <w:rFonts w:hint="eastAsia"/>
        </w:rPr>
        <w:t>监测方法及分析方法均按照原国家环保总局</w:t>
      </w:r>
      <w:r>
        <w:t>编制的</w:t>
      </w:r>
      <w:r>
        <w:rPr>
          <w:rFonts w:hint="eastAsia"/>
        </w:rPr>
        <w:t>《环境监测分析方法》</w:t>
      </w:r>
      <w:r>
        <w:t>、《环境监测技术规范》（大气部分）</w:t>
      </w:r>
      <w:r>
        <w:rPr>
          <w:rFonts w:hint="eastAsia"/>
        </w:rPr>
        <w:t>和《环境空气质量标准》（GB 3095－2012）的要求进行。分析方法和最低检出限</w:t>
      </w:r>
      <w:r>
        <w:t>详见</w:t>
      </w:r>
      <w:r>
        <w:fldChar w:fldCharType="begin"/>
      </w:r>
      <w:r>
        <w:instrText xml:space="preserve"> REF _Ref527924337 \h  \* MERGEFORMAT </w:instrText>
      </w:r>
      <w:r>
        <w:fldChar w:fldCharType="separate"/>
      </w:r>
      <w:r>
        <w:rPr>
          <w:rFonts w:hint="eastAsia"/>
        </w:rPr>
        <w:t xml:space="preserve">表 </w:t>
      </w:r>
      <w:r>
        <w:t>3.3</w:t>
      </w:r>
      <w:r>
        <w:noBreakHyphen/>
      </w:r>
      <w:r>
        <w:t>11</w:t>
      </w:r>
      <w:r>
        <w:fldChar w:fldCharType="end"/>
      </w:r>
      <w:r>
        <w:rPr>
          <w:rFonts w:hint="eastAsia"/>
        </w:rPr>
        <w:t>。</w:t>
      </w:r>
    </w:p>
    <w:p>
      <w:pPr>
        <w:pStyle w:val="18"/>
      </w:pPr>
      <w:bookmarkStart w:id="346" w:name="_Ref527924337"/>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11</w:t>
      </w:r>
      <w:r>
        <w:fldChar w:fldCharType="end"/>
      </w:r>
      <w:bookmarkEnd w:id="346"/>
      <w:r>
        <w:rPr>
          <w:rFonts w:hint="eastAsia"/>
        </w:rPr>
        <w:t>环境空气监测分析方法及检出下限</w:t>
      </w:r>
    </w:p>
    <w:tbl>
      <w:tblPr>
        <w:tblStyle w:val="56"/>
        <w:tblW w:w="892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2977"/>
        <w:gridCol w:w="3402"/>
        <w:gridCol w:w="1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29" w:type="dxa"/>
            <w:tcBorders>
              <w:bottom w:val="single" w:color="auto" w:sz="4" w:space="0"/>
            </w:tcBorders>
            <w:shd w:val="clear" w:color="auto" w:fill="auto"/>
            <w:vAlign w:val="center"/>
          </w:tcPr>
          <w:p>
            <w:pPr>
              <w:pStyle w:val="107"/>
              <w:rPr>
                <w:b/>
              </w:rPr>
            </w:pPr>
            <w:r>
              <w:rPr>
                <w:b/>
              </w:rPr>
              <w:t>监测项目</w:t>
            </w:r>
          </w:p>
        </w:tc>
        <w:tc>
          <w:tcPr>
            <w:tcW w:w="2977"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b/>
              </w:rPr>
            </w:pPr>
            <w:r>
              <w:rPr>
                <w:rFonts w:hint="eastAsia"/>
                <w:b/>
              </w:rPr>
              <w:t>方法标准号</w:t>
            </w:r>
          </w:p>
        </w:tc>
        <w:tc>
          <w:tcPr>
            <w:tcW w:w="3402" w:type="dxa"/>
            <w:tcBorders>
              <w:top w:val="single" w:color="000000" w:sz="4" w:space="0"/>
              <w:left w:val="nil"/>
              <w:bottom w:val="single" w:color="000000" w:sz="4" w:space="0"/>
              <w:right w:val="single" w:color="000000" w:sz="4" w:space="0"/>
            </w:tcBorders>
            <w:shd w:val="clear" w:color="auto" w:fill="auto"/>
            <w:vAlign w:val="center"/>
          </w:tcPr>
          <w:p>
            <w:pPr>
              <w:pStyle w:val="107"/>
              <w:rPr>
                <w:b/>
              </w:rPr>
            </w:pPr>
            <w:r>
              <w:rPr>
                <w:rFonts w:hint="eastAsia"/>
                <w:b/>
              </w:rPr>
              <w:t>分析方法</w:t>
            </w:r>
          </w:p>
        </w:tc>
        <w:tc>
          <w:tcPr>
            <w:tcW w:w="1417" w:type="dxa"/>
            <w:tcBorders>
              <w:top w:val="single" w:color="000000" w:sz="4" w:space="0"/>
              <w:left w:val="nil"/>
              <w:bottom w:val="single" w:color="000000" w:sz="4" w:space="0"/>
              <w:right w:val="single" w:color="000000" w:sz="4" w:space="0"/>
            </w:tcBorders>
            <w:shd w:val="clear" w:color="auto" w:fill="auto"/>
            <w:vAlign w:val="center"/>
          </w:tcPr>
          <w:p>
            <w:pPr>
              <w:pStyle w:val="107"/>
              <w:rPr>
                <w:b/>
              </w:rPr>
            </w:pPr>
            <w:r>
              <w:rPr>
                <w:rFonts w:hint="eastAsia"/>
                <w:b/>
              </w:rPr>
              <w:t>最低检出限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12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pPr>
            <w:r>
              <w:rPr>
                <w:rFonts w:hint="eastAsia"/>
              </w:rPr>
              <w:t>硫化氢</w:t>
            </w:r>
          </w:p>
        </w:tc>
        <w:tc>
          <w:tcPr>
            <w:tcW w:w="2977"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《空气和废气监测分析方法》第四版增补版（</w:t>
            </w:r>
            <w:r>
              <w:t>5.4.10.3</w:t>
            </w:r>
            <w:r>
              <w:rPr>
                <w:rFonts w:hint="eastAsia"/>
              </w:rPr>
              <w:t>）</w:t>
            </w:r>
          </w:p>
        </w:tc>
        <w:tc>
          <w:tcPr>
            <w:tcW w:w="3402"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亚甲基蓝分光光度法</w:t>
            </w:r>
          </w:p>
        </w:tc>
        <w:tc>
          <w:tcPr>
            <w:tcW w:w="1417" w:type="dxa"/>
            <w:tcBorders>
              <w:top w:val="single" w:color="000000" w:sz="4" w:space="0"/>
              <w:left w:val="nil"/>
              <w:bottom w:val="single" w:color="000000" w:sz="4" w:space="0"/>
              <w:right w:val="single" w:color="000000" w:sz="4" w:space="0"/>
            </w:tcBorders>
            <w:shd w:val="clear" w:color="auto" w:fill="auto"/>
            <w:vAlign w:val="center"/>
          </w:tcPr>
          <w:p>
            <w:pPr>
              <w:pStyle w:val="107"/>
            </w:pPr>
            <w:r>
              <w:t>0.001mg/m</w:t>
            </w:r>
            <w:r>
              <w:rPr>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2" w:hRule="atLeast"/>
          <w:jc w:val="center"/>
        </w:trPr>
        <w:tc>
          <w:tcPr>
            <w:tcW w:w="1129"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pPr>
            <w:r>
              <w:rPr>
                <w:rFonts w:hint="eastAsia"/>
              </w:rPr>
              <w:t>NMHC</w:t>
            </w:r>
          </w:p>
        </w:tc>
        <w:tc>
          <w:tcPr>
            <w:tcW w:w="2977" w:type="dxa"/>
            <w:tcBorders>
              <w:top w:val="single" w:color="000000" w:sz="4" w:space="0"/>
              <w:left w:val="nil"/>
              <w:bottom w:val="single" w:color="000000" w:sz="4" w:space="0"/>
              <w:right w:val="single" w:color="000000" w:sz="4" w:space="0"/>
            </w:tcBorders>
            <w:shd w:val="clear" w:color="auto" w:fill="auto"/>
            <w:vAlign w:val="center"/>
          </w:tcPr>
          <w:p>
            <w:pPr>
              <w:pStyle w:val="107"/>
            </w:pPr>
            <w:r>
              <w:t>HJ 604-2017</w:t>
            </w:r>
          </w:p>
        </w:tc>
        <w:tc>
          <w:tcPr>
            <w:tcW w:w="3402"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气相色谱法</w:t>
            </w:r>
          </w:p>
        </w:tc>
        <w:tc>
          <w:tcPr>
            <w:tcW w:w="1417" w:type="dxa"/>
            <w:tcBorders>
              <w:top w:val="single" w:color="000000" w:sz="4" w:space="0"/>
              <w:left w:val="nil"/>
              <w:bottom w:val="single" w:color="000000" w:sz="4" w:space="0"/>
              <w:right w:val="single" w:color="000000" w:sz="4" w:space="0"/>
            </w:tcBorders>
            <w:shd w:val="clear" w:color="auto" w:fill="auto"/>
            <w:vAlign w:val="center"/>
          </w:tcPr>
          <w:p>
            <w:pPr>
              <w:pStyle w:val="107"/>
            </w:pPr>
            <w:r>
              <w:t>0.07mg/m</w:t>
            </w:r>
            <w:r>
              <w:rPr>
                <w:vertAlign w:val="superscript"/>
              </w:rPr>
              <w:t>3</w:t>
            </w:r>
          </w:p>
        </w:tc>
      </w:tr>
    </w:tbl>
    <w:p>
      <w:pPr>
        <w:pStyle w:val="6"/>
      </w:pPr>
      <w:bookmarkStart w:id="347" w:name="_Ref528083271"/>
      <w:r>
        <w:rPr>
          <w:rFonts w:hint="eastAsia"/>
        </w:rPr>
        <w:t>大气监测资料</w:t>
      </w:r>
      <w:bookmarkEnd w:id="347"/>
    </w:p>
    <w:p>
      <w:pPr>
        <w:pStyle w:val="126"/>
        <w:numPr>
          <w:ilvl w:val="0"/>
          <w:numId w:val="44"/>
        </w:numPr>
        <w:ind w:firstLine="482"/>
        <w:rPr>
          <w:rFonts w:eastAsiaTheme="minorEastAsia"/>
        </w:rPr>
      </w:pPr>
      <w:r>
        <w:rPr>
          <w:rFonts w:hint="eastAsia" w:eastAsiaTheme="minorEastAsia"/>
        </w:rPr>
        <w:t>监测点位布设相关性</w:t>
      </w:r>
    </w:p>
    <w:p>
      <w:pPr>
        <w:ind w:firstLine="240" w:firstLineChars="100"/>
      </w:pPr>
      <w:r>
        <w:t>监测点的布设主要遵循以下原则：</w:t>
      </w:r>
    </w:p>
    <w:p>
      <w:pPr>
        <w:ind w:firstLine="480"/>
      </w:pPr>
      <w:r>
        <w:t>遵循《环境影响评价技术导则 大气环境》（HJ2.2-2018）的要求，大气质量现状监测布点以近20年统计的当地主导风向为轴向，在厂址主导风向下风向5km范围内设置1～2个监测点。</w:t>
      </w:r>
    </w:p>
    <w:p>
      <w:pPr>
        <w:ind w:firstLine="480"/>
      </w:pPr>
      <w:r>
        <w:t>根据以上原则，项目环境空气质量现状评价范围内共设3个监测点，分别是：项目所在地</w:t>
      </w:r>
      <w:r>
        <w:rPr>
          <w:rFonts w:hint="eastAsia"/>
        </w:rPr>
        <w:t>上风向</w:t>
      </w:r>
      <w:r>
        <w:t>（G1）、项目所在地</w:t>
      </w:r>
      <w:r>
        <w:rPr>
          <w:rFonts w:hint="eastAsia"/>
        </w:rPr>
        <w:t>下风向（G</w:t>
      </w:r>
      <w:r>
        <w:t>2</w:t>
      </w:r>
      <w:r>
        <w:rPr>
          <w:rFonts w:hint="eastAsia"/>
        </w:rPr>
        <w:t>）、下莲塘</w:t>
      </w:r>
      <w:r>
        <w:t>（G3），并委托</w:t>
      </w:r>
      <w:r>
        <w:rPr>
          <w:rFonts w:hint="eastAsia"/>
          <w:bCs/>
        </w:rPr>
        <w:t>广州市恒力检测股份有限公司</w:t>
      </w:r>
      <w:r>
        <w:t xml:space="preserve">对项目大气进行监测，监测点与项目的相对位置关系见表3.3-9，具体位置见附图3.3-1； </w:t>
      </w:r>
    </w:p>
    <w:p>
      <w:pPr>
        <w:pStyle w:val="126"/>
        <w:numPr>
          <w:ilvl w:val="0"/>
          <w:numId w:val="44"/>
        </w:numPr>
        <w:ind w:firstLine="482"/>
        <w:rPr>
          <w:rFonts w:eastAsiaTheme="minorEastAsia"/>
        </w:rPr>
      </w:pPr>
      <w:r>
        <w:rPr>
          <w:rFonts w:hint="eastAsia" w:eastAsiaTheme="minorEastAsia"/>
        </w:rPr>
        <w:t>监测时间与频次</w:t>
      </w:r>
    </w:p>
    <w:p>
      <w:pPr>
        <w:ind w:firstLine="480"/>
        <w:rPr>
          <w:rFonts w:eastAsiaTheme="minorEastAsia"/>
        </w:rPr>
      </w:pPr>
      <w:r>
        <w:rPr>
          <w:rFonts w:hint="eastAsia" w:eastAsiaTheme="minorEastAsia"/>
        </w:rPr>
        <w:t>监测时间为201</w:t>
      </w:r>
      <w:r>
        <w:rPr>
          <w:rFonts w:eastAsiaTheme="minorEastAsia"/>
        </w:rPr>
        <w:t>9</w:t>
      </w:r>
      <w:r>
        <w:rPr>
          <w:rFonts w:hint="eastAsia" w:eastAsiaTheme="minorEastAsia"/>
        </w:rPr>
        <w:t>年</w:t>
      </w:r>
      <w:r>
        <w:rPr>
          <w:rFonts w:eastAsiaTheme="minorEastAsia"/>
        </w:rPr>
        <w:t>4</w:t>
      </w:r>
      <w:r>
        <w:rPr>
          <w:rFonts w:hint="eastAsia" w:eastAsiaTheme="minorEastAsia"/>
        </w:rPr>
        <w:t>月</w:t>
      </w:r>
      <w:r>
        <w:rPr>
          <w:rFonts w:eastAsiaTheme="minorEastAsia"/>
        </w:rPr>
        <w:t>21</w:t>
      </w:r>
      <w:r>
        <w:rPr>
          <w:rFonts w:hint="eastAsia" w:eastAsiaTheme="minorEastAsia"/>
        </w:rPr>
        <w:t>日至</w:t>
      </w:r>
      <w:r>
        <w:rPr>
          <w:rFonts w:eastAsiaTheme="minorEastAsia"/>
        </w:rPr>
        <w:t>4</w:t>
      </w:r>
      <w:r>
        <w:rPr>
          <w:rFonts w:hint="eastAsia" w:eastAsiaTheme="minorEastAsia"/>
        </w:rPr>
        <w:t>月</w:t>
      </w:r>
      <w:r>
        <w:rPr>
          <w:rFonts w:eastAsiaTheme="minorEastAsia"/>
        </w:rPr>
        <w:t>27</w:t>
      </w:r>
      <w:r>
        <w:rPr>
          <w:rFonts w:hint="eastAsia" w:eastAsiaTheme="minorEastAsia"/>
        </w:rPr>
        <w:t>日，共监测7天，</w:t>
      </w:r>
      <w:r>
        <w:rPr>
          <w:rFonts w:eastAsiaTheme="minorEastAsia"/>
        </w:rPr>
        <w:t>非甲烷总烃、硫化氢1小时平均浓度每天监测4次，每次采样不少于45分钟，具体时刻为：2:00、8:00、14:00、20:00。</w:t>
      </w:r>
    </w:p>
    <w:p>
      <w:pPr>
        <w:pStyle w:val="126"/>
        <w:numPr>
          <w:ilvl w:val="0"/>
          <w:numId w:val="44"/>
        </w:numPr>
        <w:ind w:firstLine="482"/>
        <w:rPr>
          <w:rFonts w:eastAsiaTheme="minorEastAsia"/>
        </w:rPr>
      </w:pPr>
      <w:r>
        <w:rPr>
          <w:rFonts w:hint="eastAsia" w:eastAsiaTheme="minorEastAsia"/>
        </w:rPr>
        <w:t>监测结果统计</w:t>
      </w:r>
    </w:p>
    <w:p>
      <w:pPr>
        <w:ind w:firstLine="480"/>
        <w:rPr>
          <w:rFonts w:eastAsiaTheme="minorEastAsia"/>
        </w:rPr>
      </w:pPr>
      <w:r>
        <w:rPr>
          <w:rFonts w:hint="eastAsia" w:eastAsiaTheme="minorEastAsia"/>
        </w:rPr>
        <w:t>引用点的监测结果见</w:t>
      </w:r>
      <w:r>
        <w:rPr>
          <w:rFonts w:eastAsiaTheme="minorEastAsia"/>
        </w:rPr>
        <w:fldChar w:fldCharType="begin"/>
      </w:r>
      <w:r>
        <w:rPr>
          <w:rFonts w:eastAsiaTheme="minorEastAsia"/>
        </w:rPr>
        <w:instrText xml:space="preserve"> </w:instrText>
      </w:r>
      <w:r>
        <w:rPr>
          <w:rFonts w:hint="eastAsia" w:eastAsiaTheme="minorEastAsia"/>
        </w:rPr>
        <w:instrText xml:space="preserve">REF _Ref528087915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3.3</w:t>
      </w:r>
      <w:r>
        <w:rPr>
          <w:rFonts w:eastAsiaTheme="minorEastAsia"/>
        </w:rPr>
        <w:noBreakHyphen/>
      </w:r>
      <w:r>
        <w:rPr>
          <w:rFonts w:eastAsiaTheme="minorEastAsia"/>
        </w:rPr>
        <w:t>13</w:t>
      </w:r>
      <w:r>
        <w:rPr>
          <w:rFonts w:eastAsiaTheme="minorEastAsia"/>
        </w:rPr>
        <w:fldChar w:fldCharType="end"/>
      </w:r>
      <w:r>
        <w:rPr>
          <w:rFonts w:hint="eastAsia" w:eastAsiaTheme="minorEastAsia"/>
        </w:rPr>
        <w:t>。</w:t>
      </w:r>
    </w:p>
    <w:p>
      <w:pPr>
        <w:ind w:firstLine="480"/>
        <w:rPr>
          <w:rFonts w:eastAsiaTheme="minorEastAsia"/>
        </w:rPr>
      </w:pPr>
    </w:p>
    <w:p>
      <w:pPr>
        <w:pStyle w:val="107"/>
      </w:pPr>
    </w:p>
    <w:p>
      <w:pPr>
        <w:pStyle w:val="107"/>
        <w:sectPr>
          <w:pgSz w:w="11906" w:h="16838"/>
          <w:pgMar w:top="1418" w:right="1418" w:bottom="1418" w:left="1418" w:header="851" w:footer="992" w:gutter="0"/>
          <w:cols w:space="720" w:num="1"/>
          <w:docGrid w:type="lines" w:linePitch="312" w:charSpace="0"/>
        </w:sectPr>
      </w:pPr>
    </w:p>
    <w:p>
      <w:pPr>
        <w:pStyle w:val="107"/>
      </w:pPr>
      <w:r>
        <w:drawing>
          <wp:anchor distT="0" distB="0" distL="114300" distR="114300" simplePos="0" relativeHeight="252016640" behindDoc="0" locked="0" layoutInCell="1" allowOverlap="1">
            <wp:simplePos x="0" y="0"/>
            <wp:positionH relativeFrom="column">
              <wp:posOffset>33020</wp:posOffset>
            </wp:positionH>
            <wp:positionV relativeFrom="paragraph">
              <wp:posOffset>4018280</wp:posOffset>
            </wp:positionV>
            <wp:extent cx="872490" cy="208915"/>
            <wp:effectExtent l="0" t="0" r="4445" b="1270"/>
            <wp:wrapNone/>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872197" cy="208685"/>
                    </a:xfrm>
                    <a:prstGeom prst="rect">
                      <a:avLst/>
                    </a:prstGeom>
                  </pic:spPr>
                </pic:pic>
              </a:graphicData>
            </a:graphic>
          </wp:anchor>
        </w:drawing>
      </w:r>
      <w:r>
        <w:drawing>
          <wp:anchor distT="0" distB="0" distL="114300" distR="114300" simplePos="0" relativeHeight="252010496" behindDoc="0" locked="0" layoutInCell="1" allowOverlap="1">
            <wp:simplePos x="0" y="0"/>
            <wp:positionH relativeFrom="column">
              <wp:posOffset>7954010</wp:posOffset>
            </wp:positionH>
            <wp:positionV relativeFrom="paragraph">
              <wp:posOffset>96520</wp:posOffset>
            </wp:positionV>
            <wp:extent cx="938530" cy="926465"/>
            <wp:effectExtent l="0" t="0" r="0" b="6985"/>
            <wp:wrapNone/>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938530" cy="926465"/>
                    </a:xfrm>
                    <a:prstGeom prst="rect">
                      <a:avLst/>
                    </a:prstGeom>
                    <a:noFill/>
                    <a:ln>
                      <a:noFill/>
                    </a:ln>
                  </pic:spPr>
                </pic:pic>
              </a:graphicData>
            </a:graphic>
          </wp:anchor>
        </w:drawing>
      </w:r>
      <w:r>
        <w:drawing>
          <wp:inline distT="0" distB="0" distL="0" distR="0">
            <wp:extent cx="8891270" cy="4149090"/>
            <wp:effectExtent l="0" t="0" r="5080" b="381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pic:cNvPicPr>
                  </pic:nvPicPr>
                  <pic:blipFill>
                    <a:blip r:embed="rId71"/>
                    <a:stretch>
                      <a:fillRect/>
                    </a:stretch>
                  </pic:blipFill>
                  <pic:spPr>
                    <a:xfrm>
                      <a:off x="0" y="0"/>
                      <a:ext cx="8891270" cy="4149090"/>
                    </a:xfrm>
                    <a:prstGeom prst="rect">
                      <a:avLst/>
                    </a:prstGeom>
                  </pic:spPr>
                </pic:pic>
              </a:graphicData>
            </a:graphic>
          </wp:inline>
        </w:drawing>
      </w:r>
    </w:p>
    <w:p>
      <w:pPr>
        <w:pStyle w:val="18"/>
      </w:pPr>
      <w:bookmarkStart w:id="348" w:name="_Ref527924383"/>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t>1</w:t>
      </w:r>
      <w:bookmarkEnd w:id="348"/>
      <w:r>
        <w:rPr>
          <w:rFonts w:hint="eastAsia"/>
        </w:rPr>
        <w:t>大气环境监测布点图</w:t>
      </w:r>
      <w:r>
        <w:br w:type="page"/>
      </w:r>
    </w:p>
    <w:p>
      <w:pPr>
        <w:pStyle w:val="107"/>
        <w:sectPr>
          <w:pgSz w:w="16838" w:h="11906" w:orient="landscape"/>
          <w:pgMar w:top="1418" w:right="1418" w:bottom="1418" w:left="1418" w:header="851" w:footer="992" w:gutter="0"/>
          <w:cols w:space="720" w:num="1"/>
          <w:docGrid w:type="lines" w:linePitch="326" w:charSpace="0"/>
        </w:sectPr>
      </w:pPr>
    </w:p>
    <w:p>
      <w:pPr>
        <w:pStyle w:val="6"/>
      </w:pPr>
      <w:r>
        <w:rPr>
          <w:rFonts w:hint="eastAsia"/>
        </w:rPr>
        <w:t>环境空气质量现状评价</w:t>
      </w:r>
    </w:p>
    <w:bookmarkEnd w:id="340"/>
    <w:bookmarkEnd w:id="341"/>
    <w:bookmarkEnd w:id="342"/>
    <w:bookmarkEnd w:id="343"/>
    <w:bookmarkEnd w:id="344"/>
    <w:bookmarkEnd w:id="345"/>
    <w:p>
      <w:pPr>
        <w:pStyle w:val="126"/>
        <w:numPr>
          <w:ilvl w:val="0"/>
          <w:numId w:val="45"/>
        </w:numPr>
        <w:ind w:firstLine="482"/>
        <w:rPr>
          <w:rFonts w:eastAsiaTheme="minorEastAsia"/>
        </w:rPr>
      </w:pPr>
      <w:bookmarkStart w:id="349" w:name="_Toc79812534"/>
      <w:bookmarkStart w:id="350" w:name="_Toc331536173"/>
      <w:bookmarkStart w:id="351" w:name="_Toc147119955"/>
      <w:bookmarkStart w:id="352" w:name="_Toc92651388"/>
      <w:bookmarkStart w:id="353" w:name="_Toc82771221"/>
      <w:bookmarkStart w:id="354" w:name="_Toc79213504"/>
      <w:r>
        <w:rPr>
          <w:rFonts w:eastAsiaTheme="minorEastAsia"/>
        </w:rPr>
        <w:t>评价标准</w:t>
      </w:r>
      <w:bookmarkEnd w:id="349"/>
      <w:bookmarkEnd w:id="350"/>
      <w:bookmarkEnd w:id="351"/>
      <w:bookmarkEnd w:id="352"/>
      <w:bookmarkEnd w:id="353"/>
      <w:bookmarkEnd w:id="354"/>
    </w:p>
    <w:p>
      <w:pPr>
        <w:ind w:firstLine="480"/>
      </w:pPr>
      <w:r>
        <w:t>项目所在区域</w:t>
      </w:r>
      <w:r>
        <w:rPr>
          <w:rFonts w:hint="eastAsia"/>
        </w:rPr>
        <w:t>属于环境空气质量二类功能区。非甲烷总烃（N</w:t>
      </w:r>
      <w:r>
        <w:t>MHC</w:t>
      </w:r>
      <w:r>
        <w:rPr>
          <w:rFonts w:hint="eastAsia"/>
        </w:rPr>
        <w:t>）目前除河北省外国内无相应环境质量标准，评价采用由中国环境科学出版社出版的</w:t>
      </w:r>
      <w:r>
        <w:t>原国家环境保护局科技标准司的《大气污染物综合排放标准详解》中推荐的2.0mg/m</w:t>
      </w:r>
      <w:r>
        <w:rPr>
          <w:vertAlign w:val="superscript"/>
        </w:rPr>
        <w:t>3</w:t>
      </w:r>
      <w:r>
        <w:t>作为</w:t>
      </w:r>
      <w:r>
        <w:rPr>
          <w:rFonts w:hint="eastAsia"/>
        </w:rPr>
        <w:t>小时平均浓度计算依据</w:t>
      </w:r>
      <w:r>
        <w:t>；</w:t>
      </w:r>
      <w:r>
        <w:rPr>
          <w:rFonts w:eastAsiaTheme="minorEastAsia"/>
        </w:rPr>
        <w:t xml:space="preserve"> H</w:t>
      </w:r>
      <w:r>
        <w:rPr>
          <w:rFonts w:eastAsiaTheme="minorEastAsia"/>
          <w:vertAlign w:val="subscript"/>
        </w:rPr>
        <w:t>2</w:t>
      </w:r>
      <w:r>
        <w:rPr>
          <w:rFonts w:eastAsiaTheme="minorEastAsia"/>
        </w:rPr>
        <w:t>S</w:t>
      </w:r>
      <w:r>
        <w:rPr>
          <w:rFonts w:hint="eastAsia" w:eastAsiaTheme="minorEastAsia"/>
        </w:rPr>
        <w:t>空气质量浓度参考</w:t>
      </w:r>
      <w:r>
        <w:rPr>
          <w:rFonts w:eastAsiaTheme="minorEastAsia"/>
        </w:rPr>
        <w:t>《环境影响评价技术导则</w:t>
      </w:r>
      <w:r>
        <w:rPr>
          <w:rFonts w:hint="eastAsia" w:eastAsiaTheme="minorEastAsia"/>
        </w:rPr>
        <w:t xml:space="preserve"> </w:t>
      </w:r>
      <w:r>
        <w:rPr>
          <w:rFonts w:eastAsiaTheme="minorEastAsia"/>
        </w:rPr>
        <w:t>大气环境》</w:t>
      </w:r>
      <w:r>
        <w:rPr>
          <w:rFonts w:hint="eastAsia" w:eastAsiaTheme="minorEastAsia"/>
        </w:rPr>
        <w:t>（</w:t>
      </w:r>
      <w:r>
        <w:rPr>
          <w:rFonts w:eastAsiaTheme="minorEastAsia"/>
        </w:rPr>
        <w:t>HJ 2.2-2018</w:t>
      </w:r>
      <w:r>
        <w:rPr>
          <w:rFonts w:hint="eastAsia" w:eastAsiaTheme="minorEastAsia"/>
        </w:rPr>
        <w:t>）附录D有关标准</w:t>
      </w:r>
      <w:r>
        <w:rPr>
          <w:rFonts w:hint="eastAsia" w:cs="Times New Roman" w:eastAsiaTheme="minorEastAsia"/>
        </w:rPr>
        <w:t>；</w:t>
      </w:r>
      <w:r>
        <w:t>具体标准</w:t>
      </w:r>
      <w:r>
        <w:rPr>
          <w:rFonts w:hint="eastAsia"/>
        </w:rPr>
        <w:t>限</w:t>
      </w:r>
      <w:r>
        <w:t>值</w:t>
      </w:r>
      <w:r>
        <w:rPr>
          <w:rFonts w:hint="eastAsia"/>
        </w:rPr>
        <w:t>详</w:t>
      </w:r>
      <w:r>
        <w:t>见</w:t>
      </w:r>
      <w:r>
        <w:fldChar w:fldCharType="begin"/>
      </w:r>
      <w:r>
        <w:instrText xml:space="preserve"> REF _Ref522028029 \h  \* MERGEFORMAT </w:instrText>
      </w:r>
      <w:r>
        <w:fldChar w:fldCharType="separate"/>
      </w:r>
      <w:r>
        <w:rPr>
          <w:rFonts w:hint="eastAsia"/>
        </w:rPr>
        <w:t xml:space="preserve">表 </w:t>
      </w:r>
      <w:r>
        <w:t>1.4</w:t>
      </w:r>
      <w:r>
        <w:noBreakHyphen/>
      </w:r>
      <w:r>
        <w:t>3</w:t>
      </w:r>
      <w:r>
        <w:fldChar w:fldCharType="end"/>
      </w:r>
      <w:r>
        <w:t>。</w:t>
      </w:r>
    </w:p>
    <w:p>
      <w:pPr>
        <w:pStyle w:val="126"/>
        <w:numPr>
          <w:ilvl w:val="0"/>
          <w:numId w:val="41"/>
        </w:numPr>
        <w:ind w:firstLine="482"/>
        <w:rPr>
          <w:rFonts w:eastAsiaTheme="minorEastAsia"/>
        </w:rPr>
      </w:pPr>
      <w:r>
        <w:rPr>
          <w:rFonts w:hint="eastAsia" w:eastAsiaTheme="minorEastAsia"/>
        </w:rPr>
        <w:t>评价方法</w:t>
      </w:r>
    </w:p>
    <w:p>
      <w:pPr>
        <w:ind w:firstLine="480"/>
        <w:rPr>
          <w:rFonts w:eastAsiaTheme="minorEastAsia"/>
        </w:rPr>
      </w:pPr>
      <w:r>
        <w:rPr>
          <w:rFonts w:eastAsiaTheme="minorEastAsia"/>
        </w:rPr>
        <w:t>采用单因子指数法进行评价</w:t>
      </w:r>
      <w:r>
        <w:rPr>
          <w:rFonts w:hint="eastAsia" w:eastAsiaTheme="minorEastAsia"/>
        </w:rPr>
        <w:t>，以列表的方式给出各监测点大气污染物的不同取值时间的质量浓度变化范围，计算并列表给出各取值时间最大质量浓度值占相应标准质量浓度限值的百分比和超标率，并评价达标情况。</w:t>
      </w:r>
    </w:p>
    <w:p>
      <w:pPr>
        <w:ind w:firstLine="480"/>
        <w:rPr>
          <w:rFonts w:eastAsiaTheme="minorEastAsia"/>
        </w:rPr>
      </w:pPr>
      <w:r>
        <w:rPr>
          <w:rFonts w:eastAsiaTheme="minorEastAsia"/>
        </w:rPr>
        <w:t>表达式如下式所示，</w:t>
      </w:r>
      <w:r>
        <w:rPr>
          <w:rFonts w:eastAsiaTheme="minorEastAsia"/>
          <w:snapToGrid w:val="0"/>
        </w:rPr>
        <w:t>当</w:t>
      </w:r>
      <w:r>
        <w:rPr>
          <w:rFonts w:eastAsiaTheme="minorEastAsia"/>
        </w:rPr>
        <w:t>P</w:t>
      </w:r>
      <w:r>
        <w:rPr>
          <w:rFonts w:eastAsiaTheme="minorEastAsia"/>
          <w:vertAlign w:val="subscript"/>
        </w:rPr>
        <w:t>i</w:t>
      </w:r>
      <w:r>
        <w:rPr>
          <w:rFonts w:eastAsiaTheme="minorEastAsia"/>
        </w:rPr>
        <w:t>＞1，表明该大气污染物浓度超过了相应的评价标准：</w:t>
      </w:r>
    </w:p>
    <w:p>
      <w:pPr>
        <w:ind w:firstLine="480"/>
        <w:jc w:val="center"/>
        <w:rPr>
          <w:rFonts w:eastAsiaTheme="minorEastAsia"/>
        </w:rPr>
      </w:pPr>
      <w:r>
        <w:rPr>
          <w:rFonts w:eastAsiaTheme="minorEastAsia"/>
        </w:rPr>
        <w:object>
          <v:shape id="_x0000_i1032" o:spt="75" type="#_x0000_t75" style="height:28pt;width:36pt;" o:ole="t" filled="f" o:preferrelative="t" stroked="f" coordsize="21600,21600">
            <v:path/>
            <v:fill on="f" focussize="0,0"/>
            <v:stroke on="f" joinstyle="miter"/>
            <v:imagedata r:id="rId73" o:title=""/>
            <o:lock v:ext="edit" aspectratio="t"/>
            <w10:wrap type="none"/>
            <w10:anchorlock/>
          </v:shape>
          <o:OLEObject Type="Embed" ProgID="Equation.3" ShapeID="_x0000_i1032" DrawAspect="Content" ObjectID="_1468075732" r:id="rId72">
            <o:LockedField>false</o:LockedField>
          </o:OLEObject>
        </w:object>
      </w:r>
    </w:p>
    <w:p>
      <w:pPr>
        <w:ind w:firstLine="480"/>
        <w:rPr>
          <w:rFonts w:eastAsiaTheme="minorEastAsia"/>
        </w:rPr>
      </w:pPr>
      <w:r>
        <w:rPr>
          <w:rFonts w:eastAsiaTheme="minorEastAsia"/>
        </w:rPr>
        <w:t>式中：P</w:t>
      </w:r>
      <w:r>
        <w:rPr>
          <w:rFonts w:eastAsiaTheme="minorEastAsia"/>
          <w:vertAlign w:val="subscript"/>
        </w:rPr>
        <w:t>i</w:t>
      </w:r>
      <w:r>
        <w:rPr>
          <w:rFonts w:eastAsiaTheme="minorEastAsia"/>
        </w:rPr>
        <w:t>—第i种污染物质量指数；</w:t>
      </w:r>
    </w:p>
    <w:p>
      <w:pPr>
        <w:ind w:firstLine="1267" w:firstLineChars="528"/>
        <w:rPr>
          <w:rFonts w:eastAsiaTheme="minorEastAsia"/>
        </w:rPr>
      </w:pPr>
      <w:r>
        <w:rPr>
          <w:rFonts w:eastAsiaTheme="minorEastAsia"/>
        </w:rPr>
        <w:t>C</w:t>
      </w:r>
      <w:r>
        <w:rPr>
          <w:rFonts w:eastAsiaTheme="minorEastAsia"/>
          <w:vertAlign w:val="subscript"/>
        </w:rPr>
        <w:t>i</w:t>
      </w:r>
      <w:r>
        <w:rPr>
          <w:rFonts w:eastAsiaTheme="minorEastAsia"/>
        </w:rPr>
        <w:t>—第i种污染物实测值，mg/m</w:t>
      </w:r>
      <w:r>
        <w:rPr>
          <w:rFonts w:eastAsiaTheme="minorEastAsia"/>
          <w:vertAlign w:val="superscript"/>
        </w:rPr>
        <w:t>3</w:t>
      </w:r>
      <w:r>
        <w:rPr>
          <w:rFonts w:eastAsiaTheme="minorEastAsia"/>
        </w:rPr>
        <w:t>；</w:t>
      </w:r>
    </w:p>
    <w:p>
      <w:pPr>
        <w:ind w:firstLine="1200" w:firstLineChars="500"/>
        <w:rPr>
          <w:rFonts w:eastAsiaTheme="minorEastAsia"/>
        </w:rPr>
      </w:pPr>
      <w:r>
        <w:rPr>
          <w:rFonts w:eastAsiaTheme="minorEastAsia"/>
        </w:rPr>
        <w:t>S</w:t>
      </w:r>
      <w:r>
        <w:rPr>
          <w:rFonts w:eastAsiaTheme="minorEastAsia"/>
          <w:vertAlign w:val="subscript"/>
        </w:rPr>
        <w:t>i</w:t>
      </w:r>
      <w:r>
        <w:rPr>
          <w:rFonts w:eastAsiaTheme="minorEastAsia"/>
        </w:rPr>
        <w:t>—第i种污染物环境质量标准，mg/m</w:t>
      </w:r>
      <w:r>
        <w:rPr>
          <w:rFonts w:eastAsiaTheme="minorEastAsia"/>
          <w:vertAlign w:val="superscript"/>
        </w:rPr>
        <w:t>3</w:t>
      </w:r>
      <w:r>
        <w:rPr>
          <w:rFonts w:eastAsiaTheme="minorEastAsia"/>
        </w:rPr>
        <w:t>。</w:t>
      </w:r>
    </w:p>
    <w:p>
      <w:pPr>
        <w:pStyle w:val="126"/>
        <w:numPr>
          <w:ilvl w:val="0"/>
          <w:numId w:val="41"/>
        </w:numPr>
        <w:ind w:firstLine="482"/>
        <w:rPr>
          <w:rFonts w:eastAsiaTheme="minorEastAsia"/>
        </w:rPr>
      </w:pPr>
      <w:bookmarkStart w:id="355" w:name="_Toc79213505"/>
      <w:bookmarkStart w:id="356" w:name="_Toc79812535"/>
      <w:bookmarkStart w:id="357" w:name="_Toc82771222"/>
      <w:bookmarkStart w:id="358" w:name="_Toc92651389"/>
      <w:bookmarkStart w:id="359" w:name="_Toc331536174"/>
      <w:bookmarkStart w:id="360" w:name="_Toc147119956"/>
      <w:r>
        <w:rPr>
          <w:rFonts w:eastAsiaTheme="minorEastAsia"/>
        </w:rPr>
        <w:t>监测结果</w:t>
      </w:r>
      <w:bookmarkEnd w:id="355"/>
      <w:bookmarkEnd w:id="356"/>
      <w:bookmarkEnd w:id="357"/>
      <w:bookmarkEnd w:id="358"/>
      <w:bookmarkEnd w:id="359"/>
      <w:bookmarkEnd w:id="360"/>
      <w:r>
        <w:rPr>
          <w:rFonts w:hint="eastAsia" w:eastAsiaTheme="minorEastAsia"/>
        </w:rPr>
        <w:t>分析与评价</w:t>
      </w:r>
    </w:p>
    <w:p>
      <w:pPr>
        <w:ind w:firstLine="480"/>
      </w:pPr>
      <w:r>
        <w:rPr>
          <w:rFonts w:hint="eastAsia"/>
        </w:rPr>
        <w:t>监测期间气象条件见</w:t>
      </w:r>
      <w:r>
        <w:fldChar w:fldCharType="begin"/>
      </w:r>
      <w:r>
        <w:instrText xml:space="preserve"> </w:instrText>
      </w:r>
      <w:r>
        <w:rPr>
          <w:rFonts w:hint="eastAsia"/>
        </w:rPr>
        <w:instrText xml:space="preserve">REF _Ref527925289 \h</w:instrText>
      </w:r>
      <w:r>
        <w:instrText xml:space="preserve">  \* MERGEFORMAT </w:instrText>
      </w:r>
      <w:r>
        <w:fldChar w:fldCharType="separate"/>
      </w:r>
      <w:r>
        <w:rPr>
          <w:rFonts w:hint="eastAsia"/>
        </w:rPr>
        <w:t xml:space="preserve">表 </w:t>
      </w:r>
      <w:r>
        <w:t>3.3</w:t>
      </w:r>
      <w:r>
        <w:noBreakHyphen/>
      </w:r>
      <w:r>
        <w:t>12</w:t>
      </w:r>
      <w:r>
        <w:fldChar w:fldCharType="end"/>
      </w:r>
      <w:r>
        <w:rPr>
          <w:rFonts w:hint="eastAsia"/>
        </w:rPr>
        <w:t>；环境空气质量现状监测结果见表 5.4-4~表 5.4-5。</w:t>
      </w:r>
    </w:p>
    <w:p>
      <w:pPr>
        <w:ind w:firstLine="480"/>
      </w:pPr>
      <w:r>
        <w:t>采样时气象要素记录见表</w:t>
      </w:r>
      <w:r>
        <w:rPr>
          <w:rFonts w:hint="eastAsia"/>
        </w:rPr>
        <w:t>4.3-5。</w:t>
      </w:r>
    </w:p>
    <w:p>
      <w:pPr>
        <w:pStyle w:val="18"/>
      </w:pPr>
      <w:bookmarkStart w:id="361" w:name="_Ref527925289"/>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12</w:t>
      </w:r>
      <w:r>
        <w:fldChar w:fldCharType="end"/>
      </w:r>
      <w:bookmarkEnd w:id="361"/>
      <w:r>
        <w:t xml:space="preserve"> </w:t>
      </w:r>
      <w:r>
        <w:rPr>
          <w:rFonts w:hint="eastAsia"/>
        </w:rPr>
        <w:t>监测期间气象参数</w:t>
      </w:r>
    </w:p>
    <w:tbl>
      <w:tblPr>
        <w:tblStyle w:val="56"/>
        <w:tblW w:w="8647" w:type="dxa"/>
        <w:tblInd w:w="-5" w:type="dxa"/>
        <w:tblLayout w:type="fixed"/>
        <w:tblCellMar>
          <w:top w:w="0" w:type="dxa"/>
          <w:left w:w="108" w:type="dxa"/>
          <w:bottom w:w="0" w:type="dxa"/>
          <w:right w:w="108" w:type="dxa"/>
        </w:tblCellMar>
      </w:tblPr>
      <w:tblGrid>
        <w:gridCol w:w="993"/>
        <w:gridCol w:w="742"/>
        <w:gridCol w:w="6"/>
        <w:gridCol w:w="1274"/>
        <w:gridCol w:w="6"/>
        <w:gridCol w:w="1657"/>
        <w:gridCol w:w="1418"/>
        <w:gridCol w:w="2551"/>
      </w:tblGrid>
      <w:tr>
        <w:tblPrEx>
          <w:tblLayout w:type="fixed"/>
          <w:tblCellMar>
            <w:top w:w="0" w:type="dxa"/>
            <w:left w:w="108" w:type="dxa"/>
            <w:bottom w:w="0" w:type="dxa"/>
            <w:right w:w="108" w:type="dxa"/>
          </w:tblCellMar>
        </w:tblPrEx>
        <w:trPr>
          <w:trHeight w:val="675" w:hRule="atLeast"/>
          <w:tblHeader/>
        </w:trPr>
        <w:tc>
          <w:tcPr>
            <w:tcW w:w="1741"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b/>
              </w:rPr>
            </w:pPr>
            <w:r>
              <w:rPr>
                <w:rFonts w:hint="eastAsia"/>
                <w:b/>
              </w:rPr>
              <w:t>采样时间</w:t>
            </w:r>
          </w:p>
        </w:tc>
        <w:tc>
          <w:tcPr>
            <w:tcW w:w="1280" w:type="dxa"/>
            <w:gridSpan w:val="2"/>
            <w:tcBorders>
              <w:top w:val="single" w:color="auto" w:sz="4" w:space="0"/>
              <w:left w:val="nil"/>
              <w:bottom w:val="single" w:color="auto" w:sz="4" w:space="0"/>
              <w:right w:val="single" w:color="auto" w:sz="4" w:space="0"/>
            </w:tcBorders>
            <w:shd w:val="clear" w:color="auto" w:fill="auto"/>
            <w:vAlign w:val="center"/>
          </w:tcPr>
          <w:p>
            <w:pPr>
              <w:pStyle w:val="107"/>
              <w:rPr>
                <w:b/>
              </w:rPr>
            </w:pPr>
            <w:r>
              <w:rPr>
                <w:rFonts w:hint="eastAsia"/>
                <w:b/>
              </w:rPr>
              <w:t>气温（℃）</w:t>
            </w:r>
          </w:p>
        </w:tc>
        <w:tc>
          <w:tcPr>
            <w:tcW w:w="1657" w:type="dxa"/>
            <w:tcBorders>
              <w:top w:val="single" w:color="auto" w:sz="4" w:space="0"/>
              <w:left w:val="nil"/>
              <w:bottom w:val="single" w:color="auto" w:sz="4" w:space="0"/>
              <w:right w:val="single" w:color="auto" w:sz="4" w:space="0"/>
            </w:tcBorders>
            <w:shd w:val="clear" w:color="auto" w:fill="auto"/>
            <w:vAlign w:val="center"/>
          </w:tcPr>
          <w:p>
            <w:pPr>
              <w:pStyle w:val="107"/>
              <w:rPr>
                <w:b/>
                <w:color w:val="000000"/>
                <w:sz w:val="20"/>
                <w:szCs w:val="20"/>
              </w:rPr>
            </w:pPr>
            <w:r>
              <w:rPr>
                <w:rFonts w:hint="eastAsia"/>
                <w:b/>
              </w:rPr>
              <w:t>气压（</w:t>
            </w:r>
            <w:r>
              <w:rPr>
                <w:b/>
              </w:rPr>
              <w:t>kPa</w:t>
            </w:r>
            <w:r>
              <w:rPr>
                <w:rFonts w:hint="eastAsia"/>
                <w:b/>
              </w:rPr>
              <w:t>）</w:t>
            </w:r>
          </w:p>
        </w:tc>
        <w:tc>
          <w:tcPr>
            <w:tcW w:w="1418" w:type="dxa"/>
            <w:tcBorders>
              <w:top w:val="single" w:color="auto" w:sz="4" w:space="0"/>
              <w:left w:val="nil"/>
              <w:bottom w:val="single" w:color="auto" w:sz="4" w:space="0"/>
              <w:right w:val="single" w:color="auto" w:sz="4" w:space="0"/>
            </w:tcBorders>
            <w:shd w:val="clear" w:color="auto" w:fill="auto"/>
            <w:vAlign w:val="center"/>
          </w:tcPr>
          <w:p>
            <w:pPr>
              <w:pStyle w:val="107"/>
              <w:rPr>
                <w:b/>
              </w:rPr>
            </w:pPr>
            <w:r>
              <w:rPr>
                <w:rFonts w:hint="eastAsia"/>
                <w:b/>
              </w:rPr>
              <w:t>风向</w:t>
            </w:r>
          </w:p>
        </w:tc>
        <w:tc>
          <w:tcPr>
            <w:tcW w:w="2551" w:type="dxa"/>
            <w:tcBorders>
              <w:top w:val="single" w:color="auto" w:sz="4" w:space="0"/>
              <w:left w:val="nil"/>
              <w:bottom w:val="single" w:color="auto" w:sz="4" w:space="0"/>
              <w:right w:val="single" w:color="auto" w:sz="4" w:space="0"/>
            </w:tcBorders>
            <w:shd w:val="clear" w:color="auto" w:fill="auto"/>
            <w:vAlign w:val="center"/>
          </w:tcPr>
          <w:p>
            <w:pPr>
              <w:pStyle w:val="107"/>
              <w:rPr>
                <w:b/>
              </w:rPr>
            </w:pPr>
            <w:r>
              <w:rPr>
                <w:rFonts w:hint="eastAsia"/>
                <w:b/>
              </w:rPr>
              <w:t>监测时最大风速（</w:t>
            </w:r>
            <w:r>
              <w:rPr>
                <w:b/>
              </w:rPr>
              <w:t>m/s</w:t>
            </w:r>
            <w:r>
              <w:rPr>
                <w:rFonts w:hint="eastAsia"/>
                <w:b/>
              </w:rPr>
              <w:t>）</w:t>
            </w:r>
          </w:p>
        </w:tc>
      </w:tr>
      <w:tr>
        <w:tblPrEx>
          <w:tblLayout w:type="fixed"/>
          <w:tblCellMar>
            <w:top w:w="0" w:type="dxa"/>
            <w:left w:w="108" w:type="dxa"/>
            <w:bottom w:w="0" w:type="dxa"/>
            <w:right w:w="108" w:type="dxa"/>
          </w:tblCellMar>
        </w:tblPrEx>
        <w:trPr>
          <w:trHeight w:val="270" w:hRule="atLeast"/>
        </w:trPr>
        <w:tc>
          <w:tcPr>
            <w:tcW w:w="993"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000000"/>
                <w:sz w:val="20"/>
                <w:szCs w:val="20"/>
              </w:rPr>
            </w:pPr>
            <w:r>
              <w:rPr>
                <w:color w:val="000000"/>
                <w:sz w:val="20"/>
                <w:szCs w:val="20"/>
              </w:rPr>
              <w:t>2019年4月</w:t>
            </w:r>
            <w:r>
              <w:rPr>
                <w:rFonts w:hint="eastAsia"/>
                <w:color w:val="000000"/>
                <w:sz w:val="20"/>
                <w:szCs w:val="20"/>
              </w:rPr>
              <w:t>2</w:t>
            </w:r>
            <w:r>
              <w:rPr>
                <w:color w:val="000000"/>
                <w:sz w:val="20"/>
                <w:szCs w:val="20"/>
              </w:rPr>
              <w:t>1日</w:t>
            </w:r>
          </w:p>
        </w:tc>
        <w:tc>
          <w:tcPr>
            <w:tcW w:w="742" w:type="dxa"/>
            <w:tcBorders>
              <w:top w:val="nil"/>
              <w:left w:val="nil"/>
              <w:bottom w:val="single" w:color="auto" w:sz="4" w:space="0"/>
              <w:right w:val="single" w:color="auto" w:sz="4" w:space="0"/>
            </w:tcBorders>
            <w:shd w:val="clear" w:color="auto" w:fill="auto"/>
            <w:vAlign w:val="center"/>
          </w:tcPr>
          <w:p>
            <w:pPr>
              <w:pStyle w:val="107"/>
            </w:pPr>
            <w:r>
              <w:t>02:00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24.2</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100.3</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东南风</w:t>
            </w:r>
          </w:p>
        </w:tc>
        <w:tc>
          <w:tcPr>
            <w:tcW w:w="2551"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1.8</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08:00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26.4</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100.2</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东南风</w:t>
            </w:r>
          </w:p>
        </w:tc>
        <w:tc>
          <w:tcPr>
            <w:tcW w:w="2551"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1.5</w:t>
            </w:r>
          </w:p>
        </w:tc>
      </w:tr>
      <w:tr>
        <w:tblPrEx>
          <w:tblLayout w:type="fixed"/>
          <w:tblCellMar>
            <w:top w:w="0" w:type="dxa"/>
            <w:left w:w="108" w:type="dxa"/>
            <w:bottom w:w="0" w:type="dxa"/>
            <w:right w:w="108" w:type="dxa"/>
          </w:tblCellMar>
        </w:tblPrEx>
        <w:trPr>
          <w:trHeight w:val="315"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14:00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28.2</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100.1</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东南风</w:t>
            </w:r>
          </w:p>
        </w:tc>
        <w:tc>
          <w:tcPr>
            <w:tcW w:w="2551"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1.3</w:t>
            </w:r>
          </w:p>
        </w:tc>
      </w:tr>
      <w:tr>
        <w:tblPrEx>
          <w:tblLayout w:type="fixed"/>
          <w:tblCellMar>
            <w:top w:w="0" w:type="dxa"/>
            <w:left w:w="108" w:type="dxa"/>
            <w:bottom w:w="0" w:type="dxa"/>
            <w:right w:w="108" w:type="dxa"/>
          </w:tblCellMar>
        </w:tblPrEx>
        <w:trPr>
          <w:trHeight w:val="315"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20:00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27.7</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100.5</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东南风</w:t>
            </w:r>
          </w:p>
        </w:tc>
        <w:tc>
          <w:tcPr>
            <w:tcW w:w="2551"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1.9</w:t>
            </w:r>
          </w:p>
        </w:tc>
      </w:tr>
      <w:tr>
        <w:tblPrEx>
          <w:tblLayout w:type="fixed"/>
          <w:tblCellMar>
            <w:top w:w="0" w:type="dxa"/>
            <w:left w:w="108" w:type="dxa"/>
            <w:bottom w:w="0" w:type="dxa"/>
            <w:right w:w="108" w:type="dxa"/>
          </w:tblCellMar>
        </w:tblPrEx>
        <w:trPr>
          <w:trHeight w:val="270" w:hRule="atLeast"/>
        </w:trPr>
        <w:tc>
          <w:tcPr>
            <w:tcW w:w="993"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000000"/>
                <w:sz w:val="20"/>
                <w:szCs w:val="20"/>
              </w:rPr>
            </w:pPr>
            <w:r>
              <w:rPr>
                <w:color w:val="000000"/>
                <w:sz w:val="20"/>
                <w:szCs w:val="20"/>
              </w:rPr>
              <w:t>2019年4月</w:t>
            </w:r>
            <w:r>
              <w:rPr>
                <w:rFonts w:hint="eastAsia"/>
                <w:color w:val="000000"/>
                <w:sz w:val="20"/>
                <w:szCs w:val="20"/>
              </w:rPr>
              <w:t>2</w:t>
            </w:r>
            <w:r>
              <w:rPr>
                <w:color w:val="000000"/>
                <w:sz w:val="20"/>
                <w:szCs w:val="20"/>
              </w:rPr>
              <w:t>2日</w:t>
            </w:r>
          </w:p>
        </w:tc>
        <w:tc>
          <w:tcPr>
            <w:tcW w:w="742" w:type="dxa"/>
            <w:tcBorders>
              <w:top w:val="nil"/>
              <w:left w:val="nil"/>
              <w:bottom w:val="single" w:color="auto" w:sz="4" w:space="0"/>
              <w:right w:val="single" w:color="auto" w:sz="4" w:space="0"/>
            </w:tcBorders>
            <w:shd w:val="clear" w:color="auto" w:fill="auto"/>
            <w:vAlign w:val="center"/>
          </w:tcPr>
          <w:p>
            <w:pPr>
              <w:pStyle w:val="107"/>
            </w:pPr>
            <w:r>
              <w:t>02:00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24.7</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100.7</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东南风</w:t>
            </w:r>
          </w:p>
        </w:tc>
        <w:tc>
          <w:tcPr>
            <w:tcW w:w="2551"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1.8</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08:00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26.9</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100.3</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东南风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1.7</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14:00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29.7</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100.9</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东南风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1.7</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20:00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28.5</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101.0</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东南风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1.7</w:t>
            </w:r>
          </w:p>
        </w:tc>
      </w:tr>
      <w:tr>
        <w:tblPrEx>
          <w:tblLayout w:type="fixed"/>
          <w:tblCellMar>
            <w:top w:w="0" w:type="dxa"/>
            <w:left w:w="108" w:type="dxa"/>
            <w:bottom w:w="0" w:type="dxa"/>
            <w:right w:w="108" w:type="dxa"/>
          </w:tblCellMar>
        </w:tblPrEx>
        <w:trPr>
          <w:trHeight w:val="270" w:hRule="atLeast"/>
        </w:trPr>
        <w:tc>
          <w:tcPr>
            <w:tcW w:w="993"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000000"/>
                <w:sz w:val="20"/>
                <w:szCs w:val="20"/>
              </w:rPr>
            </w:pPr>
            <w:r>
              <w:rPr>
                <w:color w:val="000000"/>
                <w:sz w:val="20"/>
                <w:szCs w:val="20"/>
              </w:rPr>
              <w:t>2019年4月</w:t>
            </w:r>
            <w:r>
              <w:rPr>
                <w:rFonts w:hint="eastAsia"/>
                <w:color w:val="000000"/>
                <w:sz w:val="20"/>
                <w:szCs w:val="20"/>
              </w:rPr>
              <w:t>2</w:t>
            </w:r>
            <w:r>
              <w:rPr>
                <w:color w:val="000000"/>
                <w:sz w:val="20"/>
                <w:szCs w:val="20"/>
              </w:rPr>
              <w:t>3日</w:t>
            </w:r>
          </w:p>
        </w:tc>
        <w:tc>
          <w:tcPr>
            <w:tcW w:w="742" w:type="dxa"/>
            <w:tcBorders>
              <w:top w:val="nil"/>
              <w:left w:val="nil"/>
              <w:bottom w:val="single" w:color="auto" w:sz="4" w:space="0"/>
              <w:right w:val="single" w:color="auto" w:sz="4" w:space="0"/>
            </w:tcBorders>
            <w:shd w:val="clear" w:color="auto" w:fill="auto"/>
            <w:vAlign w:val="center"/>
          </w:tcPr>
          <w:p>
            <w:pPr>
              <w:pStyle w:val="107"/>
            </w:pPr>
            <w:r>
              <w:t>02:00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26.3</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100.5</w:t>
            </w:r>
          </w:p>
        </w:tc>
        <w:tc>
          <w:tcPr>
            <w:tcW w:w="1418" w:type="dxa"/>
            <w:tcBorders>
              <w:top w:val="nil"/>
              <w:left w:val="nil"/>
              <w:bottom w:val="single" w:color="auto" w:sz="4" w:space="0"/>
              <w:right w:val="single" w:color="auto" w:sz="4" w:space="0"/>
            </w:tcBorders>
            <w:shd w:val="clear" w:color="auto" w:fill="auto"/>
            <w:vAlign w:val="center"/>
          </w:tcPr>
          <w:p>
            <w:pPr>
              <w:pStyle w:val="107"/>
            </w:pPr>
            <w:r>
              <w:rPr>
                <w:rFonts w:hint="eastAsia"/>
              </w:rPr>
              <w:t>西南风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1.4</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08:00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29.1</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100.8</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西南风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1.4</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14:00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30.9</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101.0</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西南风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1.8</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20:00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30.6</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100.1</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西南风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1.4</w:t>
            </w:r>
          </w:p>
        </w:tc>
      </w:tr>
      <w:tr>
        <w:tblPrEx>
          <w:tblLayout w:type="fixed"/>
          <w:tblCellMar>
            <w:top w:w="0" w:type="dxa"/>
            <w:left w:w="108" w:type="dxa"/>
            <w:bottom w:w="0" w:type="dxa"/>
            <w:right w:w="108" w:type="dxa"/>
          </w:tblCellMar>
        </w:tblPrEx>
        <w:trPr>
          <w:trHeight w:val="270" w:hRule="atLeast"/>
        </w:trPr>
        <w:tc>
          <w:tcPr>
            <w:tcW w:w="993"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000000"/>
                <w:sz w:val="20"/>
                <w:szCs w:val="20"/>
              </w:rPr>
            </w:pPr>
            <w:r>
              <w:rPr>
                <w:color w:val="000000"/>
                <w:sz w:val="20"/>
                <w:szCs w:val="20"/>
              </w:rPr>
              <w:t>2019年4月</w:t>
            </w:r>
            <w:r>
              <w:rPr>
                <w:rFonts w:hint="eastAsia"/>
                <w:color w:val="000000"/>
                <w:sz w:val="20"/>
                <w:szCs w:val="20"/>
              </w:rPr>
              <w:t>2</w:t>
            </w:r>
            <w:r>
              <w:rPr>
                <w:color w:val="000000"/>
                <w:sz w:val="20"/>
                <w:szCs w:val="20"/>
              </w:rPr>
              <w:t>4日</w:t>
            </w:r>
          </w:p>
        </w:tc>
        <w:tc>
          <w:tcPr>
            <w:tcW w:w="742" w:type="dxa"/>
            <w:tcBorders>
              <w:top w:val="nil"/>
              <w:left w:val="nil"/>
              <w:bottom w:val="single" w:color="auto" w:sz="4" w:space="0"/>
              <w:right w:val="single" w:color="auto" w:sz="4" w:space="0"/>
            </w:tcBorders>
            <w:shd w:val="clear" w:color="auto" w:fill="auto"/>
            <w:vAlign w:val="center"/>
          </w:tcPr>
          <w:p>
            <w:pPr>
              <w:pStyle w:val="107"/>
            </w:pPr>
            <w:r>
              <w:t>02:00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25.3</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100.4</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西南风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1.8</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08:00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27.5</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100.3</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西南风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1.5</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14:00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32.5</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101.2</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西南风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1.5</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20:00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29.3</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100.5</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西南风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2.1</w:t>
            </w:r>
          </w:p>
        </w:tc>
      </w:tr>
      <w:tr>
        <w:tblPrEx>
          <w:tblLayout w:type="fixed"/>
          <w:tblCellMar>
            <w:top w:w="0" w:type="dxa"/>
            <w:left w:w="108" w:type="dxa"/>
            <w:bottom w:w="0" w:type="dxa"/>
            <w:right w:w="108" w:type="dxa"/>
          </w:tblCellMar>
        </w:tblPrEx>
        <w:trPr>
          <w:trHeight w:val="270" w:hRule="atLeast"/>
        </w:trPr>
        <w:tc>
          <w:tcPr>
            <w:tcW w:w="993"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000000"/>
                <w:sz w:val="20"/>
                <w:szCs w:val="20"/>
              </w:rPr>
            </w:pPr>
            <w:r>
              <w:rPr>
                <w:color w:val="000000"/>
                <w:sz w:val="20"/>
                <w:szCs w:val="20"/>
              </w:rPr>
              <w:t>2019年4月</w:t>
            </w:r>
            <w:r>
              <w:rPr>
                <w:rFonts w:hint="eastAsia"/>
                <w:color w:val="000000"/>
                <w:sz w:val="20"/>
                <w:szCs w:val="20"/>
              </w:rPr>
              <w:t>2</w:t>
            </w:r>
            <w:r>
              <w:rPr>
                <w:color w:val="000000"/>
                <w:sz w:val="20"/>
                <w:szCs w:val="20"/>
              </w:rPr>
              <w:t>5日</w:t>
            </w:r>
          </w:p>
        </w:tc>
        <w:tc>
          <w:tcPr>
            <w:tcW w:w="742" w:type="dxa"/>
            <w:tcBorders>
              <w:top w:val="nil"/>
              <w:left w:val="nil"/>
              <w:bottom w:val="single" w:color="auto" w:sz="4" w:space="0"/>
              <w:right w:val="single" w:color="auto" w:sz="4" w:space="0"/>
            </w:tcBorders>
            <w:shd w:val="clear" w:color="auto" w:fill="auto"/>
            <w:vAlign w:val="center"/>
          </w:tcPr>
          <w:p>
            <w:pPr>
              <w:pStyle w:val="107"/>
            </w:pPr>
            <w:r>
              <w:t>02:00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26.3</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100.3</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西南风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1.4</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08:00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27.8</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100.2</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西南风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1.9</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14:00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34.5</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100.4</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西南风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1.4</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20:00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30.2</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100.8</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西南风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1.5</w:t>
            </w:r>
          </w:p>
        </w:tc>
      </w:tr>
      <w:tr>
        <w:tblPrEx>
          <w:tblLayout w:type="fixed"/>
          <w:tblCellMar>
            <w:top w:w="0" w:type="dxa"/>
            <w:left w:w="108" w:type="dxa"/>
            <w:bottom w:w="0" w:type="dxa"/>
            <w:right w:w="108" w:type="dxa"/>
          </w:tblCellMar>
        </w:tblPrEx>
        <w:trPr>
          <w:trHeight w:val="270" w:hRule="atLeast"/>
        </w:trPr>
        <w:tc>
          <w:tcPr>
            <w:tcW w:w="993"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000000"/>
                <w:sz w:val="20"/>
                <w:szCs w:val="20"/>
              </w:rPr>
            </w:pPr>
            <w:r>
              <w:rPr>
                <w:color w:val="000000"/>
                <w:sz w:val="20"/>
                <w:szCs w:val="20"/>
              </w:rPr>
              <w:t>2019年4月</w:t>
            </w:r>
            <w:r>
              <w:rPr>
                <w:rFonts w:hint="eastAsia"/>
                <w:color w:val="000000"/>
                <w:sz w:val="20"/>
                <w:szCs w:val="20"/>
              </w:rPr>
              <w:t>2</w:t>
            </w:r>
            <w:r>
              <w:rPr>
                <w:color w:val="000000"/>
                <w:sz w:val="20"/>
                <w:szCs w:val="20"/>
              </w:rPr>
              <w:t>6日</w:t>
            </w:r>
          </w:p>
        </w:tc>
        <w:tc>
          <w:tcPr>
            <w:tcW w:w="742" w:type="dxa"/>
            <w:tcBorders>
              <w:top w:val="nil"/>
              <w:left w:val="nil"/>
              <w:bottom w:val="single" w:color="auto" w:sz="4" w:space="0"/>
              <w:right w:val="single" w:color="auto" w:sz="4" w:space="0"/>
            </w:tcBorders>
            <w:shd w:val="clear" w:color="auto" w:fill="auto"/>
            <w:vAlign w:val="center"/>
          </w:tcPr>
          <w:p>
            <w:pPr>
              <w:pStyle w:val="107"/>
            </w:pPr>
            <w:r>
              <w:t>02:00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25.5</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100.4</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西南风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1.4</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08:00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27.3</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100.2</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西南风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1.4</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14:00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33.8</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100.3</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西南风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1.8</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20:00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29.3</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100.2</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西南风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1.8</w:t>
            </w:r>
          </w:p>
        </w:tc>
      </w:tr>
      <w:tr>
        <w:tblPrEx>
          <w:tblLayout w:type="fixed"/>
          <w:tblCellMar>
            <w:top w:w="0" w:type="dxa"/>
            <w:left w:w="108" w:type="dxa"/>
            <w:bottom w:w="0" w:type="dxa"/>
            <w:right w:w="108" w:type="dxa"/>
          </w:tblCellMar>
        </w:tblPrEx>
        <w:trPr>
          <w:trHeight w:val="270" w:hRule="atLeast"/>
        </w:trPr>
        <w:tc>
          <w:tcPr>
            <w:tcW w:w="993"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000000"/>
                <w:sz w:val="20"/>
                <w:szCs w:val="20"/>
              </w:rPr>
            </w:pPr>
            <w:r>
              <w:rPr>
                <w:color w:val="000000"/>
                <w:sz w:val="20"/>
                <w:szCs w:val="20"/>
              </w:rPr>
              <w:t>2019年4月</w:t>
            </w:r>
            <w:r>
              <w:rPr>
                <w:rFonts w:hint="eastAsia"/>
                <w:color w:val="000000"/>
                <w:sz w:val="20"/>
                <w:szCs w:val="20"/>
              </w:rPr>
              <w:t>2</w:t>
            </w:r>
            <w:r>
              <w:rPr>
                <w:color w:val="000000"/>
                <w:sz w:val="20"/>
                <w:szCs w:val="20"/>
              </w:rPr>
              <w:t>7日</w:t>
            </w:r>
          </w:p>
        </w:tc>
        <w:tc>
          <w:tcPr>
            <w:tcW w:w="742" w:type="dxa"/>
            <w:tcBorders>
              <w:top w:val="nil"/>
              <w:left w:val="nil"/>
              <w:bottom w:val="single" w:color="auto" w:sz="4" w:space="0"/>
              <w:right w:val="single" w:color="auto" w:sz="4" w:space="0"/>
            </w:tcBorders>
            <w:shd w:val="clear" w:color="auto" w:fill="auto"/>
            <w:vAlign w:val="center"/>
          </w:tcPr>
          <w:p>
            <w:pPr>
              <w:pStyle w:val="107"/>
            </w:pPr>
            <w:r>
              <w:t>02:00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26.3</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100.8</w:t>
            </w:r>
          </w:p>
        </w:tc>
        <w:tc>
          <w:tcPr>
            <w:tcW w:w="1418" w:type="dxa"/>
            <w:tcBorders>
              <w:top w:val="nil"/>
              <w:left w:val="nil"/>
              <w:bottom w:val="single" w:color="auto" w:sz="4" w:space="0"/>
              <w:right w:val="single" w:color="auto" w:sz="4" w:space="0"/>
            </w:tcBorders>
            <w:shd w:val="clear" w:color="auto" w:fill="auto"/>
            <w:vAlign w:val="center"/>
          </w:tcPr>
          <w:p>
            <w:pPr>
              <w:pStyle w:val="107"/>
            </w:pPr>
            <w:r>
              <w:rPr>
                <w:rFonts w:hint="eastAsia"/>
              </w:rPr>
              <w:t>东南风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2.1</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08:00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28.2</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100.3</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东南风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1.5</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14:00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34.2</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100.3</w:t>
            </w:r>
          </w:p>
        </w:tc>
        <w:tc>
          <w:tcPr>
            <w:tcW w:w="1418" w:type="dxa"/>
            <w:tcBorders>
              <w:top w:val="nil"/>
              <w:left w:val="nil"/>
              <w:bottom w:val="single" w:color="auto" w:sz="4" w:space="0"/>
              <w:right w:val="single" w:color="auto" w:sz="4" w:space="0"/>
            </w:tcBorders>
            <w:shd w:val="clear" w:color="auto" w:fill="auto"/>
          </w:tcPr>
          <w:p>
            <w:pPr>
              <w:pStyle w:val="107"/>
            </w:pPr>
            <w:r>
              <w:rPr>
                <w:rFonts w:hint="eastAsia"/>
              </w:rPr>
              <w:t>东南风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1.7</w:t>
            </w:r>
          </w:p>
        </w:tc>
      </w:tr>
      <w:tr>
        <w:tblPrEx>
          <w:tblLayout w:type="fixed"/>
          <w:tblCellMar>
            <w:top w:w="0" w:type="dxa"/>
            <w:left w:w="108" w:type="dxa"/>
            <w:bottom w:w="0" w:type="dxa"/>
            <w:right w:w="108" w:type="dxa"/>
          </w:tblCellMar>
        </w:tblPrEx>
        <w:trPr>
          <w:trHeight w:val="270" w:hRule="atLeast"/>
        </w:trPr>
        <w:tc>
          <w:tcPr>
            <w:tcW w:w="993"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742" w:type="dxa"/>
            <w:tcBorders>
              <w:top w:val="nil"/>
              <w:left w:val="nil"/>
              <w:bottom w:val="single" w:color="auto" w:sz="4" w:space="0"/>
              <w:right w:val="single" w:color="auto" w:sz="4" w:space="0"/>
            </w:tcBorders>
            <w:shd w:val="clear" w:color="auto" w:fill="auto"/>
            <w:vAlign w:val="center"/>
          </w:tcPr>
          <w:p>
            <w:pPr>
              <w:pStyle w:val="107"/>
            </w:pPr>
            <w:r>
              <w:t>20:00</w:t>
            </w:r>
          </w:p>
        </w:tc>
        <w:tc>
          <w:tcPr>
            <w:tcW w:w="1280"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30.8</w:t>
            </w:r>
          </w:p>
        </w:tc>
        <w:tc>
          <w:tcPr>
            <w:tcW w:w="1663" w:type="dxa"/>
            <w:gridSpan w:val="2"/>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100.6</w:t>
            </w:r>
          </w:p>
        </w:tc>
        <w:tc>
          <w:tcPr>
            <w:tcW w:w="1418" w:type="dxa"/>
            <w:tcBorders>
              <w:top w:val="nil"/>
              <w:left w:val="nil"/>
              <w:bottom w:val="single" w:color="auto" w:sz="4" w:space="0"/>
              <w:right w:val="single" w:color="auto" w:sz="4" w:space="0"/>
            </w:tcBorders>
            <w:shd w:val="clear" w:color="auto" w:fill="auto"/>
            <w:vAlign w:val="center"/>
          </w:tcPr>
          <w:p>
            <w:pPr>
              <w:pStyle w:val="107"/>
            </w:pPr>
            <w:r>
              <w:rPr>
                <w:rFonts w:hint="eastAsia"/>
              </w:rPr>
              <w:t>东南风</w:t>
            </w:r>
          </w:p>
        </w:tc>
        <w:tc>
          <w:tcPr>
            <w:tcW w:w="2551" w:type="dxa"/>
            <w:tcBorders>
              <w:top w:val="nil"/>
              <w:left w:val="nil"/>
              <w:bottom w:val="single" w:color="auto" w:sz="4" w:space="0"/>
              <w:right w:val="single" w:color="auto" w:sz="4" w:space="0"/>
            </w:tcBorders>
            <w:shd w:val="clear" w:color="auto" w:fill="auto"/>
          </w:tcPr>
          <w:p>
            <w:pPr>
              <w:pStyle w:val="107"/>
              <w:rPr>
                <w:color w:val="000000"/>
              </w:rPr>
            </w:pPr>
            <w:r>
              <w:rPr>
                <w:color w:val="000000"/>
              </w:rPr>
              <w:t>1.9</w:t>
            </w:r>
          </w:p>
        </w:tc>
      </w:tr>
    </w:tbl>
    <w:p>
      <w:pPr>
        <w:pStyle w:val="107"/>
      </w:pPr>
    </w:p>
    <w:p>
      <w:pPr>
        <w:ind w:firstLine="480"/>
      </w:pPr>
    </w:p>
    <w:p>
      <w:pPr>
        <w:ind w:firstLine="480"/>
        <w:sectPr>
          <w:pgSz w:w="11906" w:h="16838"/>
          <w:pgMar w:top="1418" w:right="1418" w:bottom="1418" w:left="1418" w:header="851" w:footer="992" w:gutter="0"/>
          <w:cols w:space="720" w:num="1"/>
          <w:docGrid w:type="lines" w:linePitch="312" w:charSpace="0"/>
        </w:sectPr>
      </w:pP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14</w:t>
      </w:r>
      <w:r>
        <w:fldChar w:fldCharType="end"/>
      </w:r>
      <w:r>
        <w:t xml:space="preserve"> </w:t>
      </w:r>
      <w:r>
        <w:rPr>
          <w:rFonts w:hint="eastAsia"/>
        </w:rPr>
        <w:t>特征污染物环境空气现状监测结果统计（201</w:t>
      </w:r>
      <w:r>
        <w:t>9</w:t>
      </w:r>
      <w:r>
        <w:rPr>
          <w:rFonts w:hint="eastAsia"/>
        </w:rPr>
        <w:t>年</w:t>
      </w:r>
      <w:r>
        <w:t>4</w:t>
      </w:r>
      <w:r>
        <w:rPr>
          <w:rFonts w:hint="eastAsia"/>
        </w:rPr>
        <w:t>月21日至201</w:t>
      </w:r>
      <w:r>
        <w:t>9</w:t>
      </w:r>
      <w:r>
        <w:rPr>
          <w:rFonts w:hint="eastAsia"/>
        </w:rPr>
        <w:t>年</w:t>
      </w:r>
      <w:r>
        <w:t>4</w:t>
      </w:r>
      <w:r>
        <w:rPr>
          <w:rFonts w:hint="eastAsia"/>
        </w:rPr>
        <w:t>月27日）</w:t>
      </w:r>
    </w:p>
    <w:tbl>
      <w:tblPr>
        <w:tblStyle w:val="56"/>
        <w:tblW w:w="14620" w:type="dxa"/>
        <w:tblInd w:w="-5" w:type="dxa"/>
        <w:tblLayout w:type="fixed"/>
        <w:tblCellMar>
          <w:top w:w="0" w:type="dxa"/>
          <w:left w:w="108" w:type="dxa"/>
          <w:bottom w:w="0" w:type="dxa"/>
          <w:right w:w="108" w:type="dxa"/>
        </w:tblCellMar>
      </w:tblPr>
      <w:tblGrid>
        <w:gridCol w:w="851"/>
        <w:gridCol w:w="992"/>
        <w:gridCol w:w="3119"/>
        <w:gridCol w:w="2835"/>
        <w:gridCol w:w="2409"/>
        <w:gridCol w:w="2994"/>
        <w:gridCol w:w="1420"/>
      </w:tblGrid>
      <w:tr>
        <w:tblPrEx>
          <w:tblLayout w:type="fixed"/>
          <w:tblCellMar>
            <w:top w:w="0" w:type="dxa"/>
            <w:left w:w="108" w:type="dxa"/>
            <w:bottom w:w="0" w:type="dxa"/>
            <w:right w:w="108" w:type="dxa"/>
          </w:tblCellMar>
        </w:tblPrEx>
        <w:trPr>
          <w:trHeight w:val="20" w:hRule="atLeast"/>
        </w:trPr>
        <w:tc>
          <w:tcPr>
            <w:tcW w:w="184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b/>
              </w:rPr>
            </w:pPr>
            <w:r>
              <w:rPr>
                <w:rFonts w:hint="eastAsia"/>
                <w:b/>
              </w:rPr>
              <w:t>监测项目</w:t>
            </w:r>
          </w:p>
        </w:tc>
        <w:tc>
          <w:tcPr>
            <w:tcW w:w="3119" w:type="dxa"/>
            <w:tcBorders>
              <w:top w:val="single" w:color="auto" w:sz="4" w:space="0"/>
              <w:left w:val="nil"/>
              <w:bottom w:val="single" w:color="auto" w:sz="4" w:space="0"/>
              <w:right w:val="single" w:color="auto" w:sz="4" w:space="0"/>
            </w:tcBorders>
            <w:shd w:val="clear" w:color="auto" w:fill="auto"/>
            <w:vAlign w:val="center"/>
          </w:tcPr>
          <w:p>
            <w:pPr>
              <w:pStyle w:val="107"/>
              <w:rPr>
                <w:b/>
              </w:rPr>
            </w:pPr>
            <w:r>
              <w:rPr>
                <w:rFonts w:hint="eastAsia"/>
                <w:b/>
              </w:rPr>
              <w:t>指标</w:t>
            </w:r>
          </w:p>
        </w:tc>
        <w:tc>
          <w:tcPr>
            <w:tcW w:w="2835" w:type="dxa"/>
            <w:tcBorders>
              <w:top w:val="single" w:color="auto" w:sz="4" w:space="0"/>
              <w:left w:val="nil"/>
              <w:bottom w:val="single" w:color="auto" w:sz="4" w:space="0"/>
              <w:right w:val="single" w:color="auto" w:sz="4" w:space="0"/>
            </w:tcBorders>
            <w:shd w:val="clear" w:color="auto" w:fill="auto"/>
            <w:vAlign w:val="center"/>
          </w:tcPr>
          <w:p>
            <w:pPr>
              <w:pStyle w:val="107"/>
              <w:rPr>
                <w:b/>
              </w:rPr>
            </w:pPr>
            <w:r>
              <w:rPr>
                <w:b/>
              </w:rPr>
              <w:t>G1</w:t>
            </w:r>
            <w:r>
              <w:rPr>
                <w:rFonts w:hint="eastAsia"/>
                <w:b/>
              </w:rPr>
              <w:t>项目上风向</w:t>
            </w:r>
          </w:p>
        </w:tc>
        <w:tc>
          <w:tcPr>
            <w:tcW w:w="2409" w:type="dxa"/>
            <w:tcBorders>
              <w:top w:val="single" w:color="auto" w:sz="4" w:space="0"/>
              <w:left w:val="nil"/>
              <w:bottom w:val="single" w:color="auto" w:sz="4" w:space="0"/>
              <w:right w:val="single" w:color="auto" w:sz="4" w:space="0"/>
            </w:tcBorders>
            <w:shd w:val="clear" w:color="auto" w:fill="auto"/>
            <w:vAlign w:val="center"/>
          </w:tcPr>
          <w:p>
            <w:pPr>
              <w:pStyle w:val="107"/>
              <w:rPr>
                <w:b/>
              </w:rPr>
            </w:pPr>
            <w:r>
              <w:rPr>
                <w:b/>
              </w:rPr>
              <w:t>G2</w:t>
            </w:r>
            <w:r>
              <w:rPr>
                <w:rFonts w:hint="eastAsia"/>
                <w:b/>
              </w:rPr>
              <w:t>项目下风向</w:t>
            </w:r>
          </w:p>
        </w:tc>
        <w:tc>
          <w:tcPr>
            <w:tcW w:w="2994" w:type="dxa"/>
            <w:tcBorders>
              <w:top w:val="single" w:color="auto" w:sz="4" w:space="0"/>
              <w:left w:val="nil"/>
              <w:bottom w:val="single" w:color="auto" w:sz="4" w:space="0"/>
              <w:right w:val="single" w:color="auto" w:sz="4" w:space="0"/>
            </w:tcBorders>
            <w:shd w:val="clear" w:color="auto" w:fill="auto"/>
            <w:vAlign w:val="center"/>
          </w:tcPr>
          <w:p>
            <w:pPr>
              <w:pStyle w:val="107"/>
              <w:rPr>
                <w:b/>
              </w:rPr>
            </w:pPr>
            <w:r>
              <w:rPr>
                <w:b/>
              </w:rPr>
              <w:t>G3</w:t>
            </w:r>
            <w:r>
              <w:rPr>
                <w:rFonts w:hint="eastAsia"/>
                <w:b/>
              </w:rPr>
              <w:t>下莲塘</w:t>
            </w:r>
          </w:p>
        </w:tc>
        <w:tc>
          <w:tcPr>
            <w:tcW w:w="1420" w:type="dxa"/>
            <w:tcBorders>
              <w:top w:val="single" w:color="auto" w:sz="4" w:space="0"/>
              <w:left w:val="nil"/>
              <w:bottom w:val="single" w:color="auto" w:sz="4" w:space="0"/>
              <w:right w:val="single" w:color="auto" w:sz="4" w:space="0"/>
            </w:tcBorders>
            <w:shd w:val="clear" w:color="auto" w:fill="auto"/>
            <w:vAlign w:val="center"/>
          </w:tcPr>
          <w:p>
            <w:pPr>
              <w:pStyle w:val="107"/>
              <w:rPr>
                <w:b/>
              </w:rPr>
            </w:pPr>
            <w:r>
              <w:rPr>
                <w:rFonts w:hint="eastAsia"/>
                <w:b/>
              </w:rPr>
              <w:t>评价标准</w:t>
            </w:r>
          </w:p>
        </w:tc>
      </w:tr>
      <w:tr>
        <w:tblPrEx>
          <w:tblLayout w:type="fixed"/>
          <w:tblCellMar>
            <w:top w:w="0" w:type="dxa"/>
            <w:left w:w="108" w:type="dxa"/>
            <w:bottom w:w="0" w:type="dxa"/>
            <w:right w:w="108" w:type="dxa"/>
          </w:tblCellMar>
        </w:tblPrEx>
        <w:trPr>
          <w:trHeight w:val="20" w:hRule="atLeast"/>
        </w:trPr>
        <w:tc>
          <w:tcPr>
            <w:tcW w:w="851" w:type="dxa"/>
            <w:vMerge w:val="restart"/>
            <w:tcBorders>
              <w:top w:val="nil"/>
              <w:left w:val="single" w:color="auto" w:sz="4" w:space="0"/>
              <w:bottom w:val="single" w:color="000000" w:sz="4" w:space="0"/>
              <w:right w:val="single" w:color="auto" w:sz="4" w:space="0"/>
            </w:tcBorders>
            <w:shd w:val="clear" w:color="auto" w:fill="auto"/>
            <w:vAlign w:val="center"/>
          </w:tcPr>
          <w:p>
            <w:pPr>
              <w:pStyle w:val="107"/>
            </w:pPr>
            <w:r>
              <w:t>H</w:t>
            </w:r>
            <w:r>
              <w:rPr>
                <w:vertAlign w:val="subscript"/>
              </w:rPr>
              <w:t>2</w:t>
            </w:r>
            <w:r>
              <w:t>S</w:t>
            </w:r>
          </w:p>
        </w:tc>
        <w:tc>
          <w:tcPr>
            <w:tcW w:w="992" w:type="dxa"/>
            <w:vMerge w:val="restart"/>
            <w:tcBorders>
              <w:top w:val="nil"/>
              <w:left w:val="single" w:color="auto" w:sz="4" w:space="0"/>
              <w:bottom w:val="single" w:color="000000" w:sz="4" w:space="0"/>
              <w:right w:val="single" w:color="auto" w:sz="4" w:space="0"/>
            </w:tcBorders>
            <w:shd w:val="clear" w:color="auto" w:fill="auto"/>
            <w:vAlign w:val="center"/>
          </w:tcPr>
          <w:p>
            <w:pPr>
              <w:pStyle w:val="107"/>
            </w:pPr>
            <w:r>
              <w:t>1</w:t>
            </w:r>
            <w:r>
              <w:rPr>
                <w:rFonts w:hint="eastAsia"/>
              </w:rPr>
              <w:t>小时平均值</w:t>
            </w:r>
          </w:p>
        </w:tc>
        <w:tc>
          <w:tcPr>
            <w:tcW w:w="3119" w:type="dxa"/>
            <w:tcBorders>
              <w:top w:val="nil"/>
              <w:left w:val="nil"/>
              <w:bottom w:val="single" w:color="auto" w:sz="4" w:space="0"/>
              <w:right w:val="single" w:color="auto" w:sz="4" w:space="0"/>
            </w:tcBorders>
            <w:shd w:val="clear" w:color="auto" w:fill="auto"/>
            <w:vAlign w:val="center"/>
          </w:tcPr>
          <w:p>
            <w:pPr>
              <w:pStyle w:val="107"/>
            </w:pPr>
            <w:r>
              <w:rPr>
                <w:rFonts w:hint="eastAsia"/>
              </w:rPr>
              <w:t>浓度范围（</w:t>
            </w:r>
            <w:r>
              <w:t>mg/m</w:t>
            </w:r>
            <w:r>
              <w:rPr>
                <w:vertAlign w:val="superscript"/>
              </w:rPr>
              <w:t>3</w:t>
            </w:r>
            <w:r>
              <w:rPr>
                <w:rFonts w:hint="eastAsia"/>
              </w:rPr>
              <w:t>）</w:t>
            </w:r>
          </w:p>
        </w:tc>
        <w:tc>
          <w:tcPr>
            <w:tcW w:w="2835" w:type="dxa"/>
            <w:tcBorders>
              <w:top w:val="nil"/>
              <w:left w:val="nil"/>
              <w:bottom w:val="single" w:color="000000" w:sz="4" w:space="0"/>
              <w:right w:val="nil"/>
            </w:tcBorders>
            <w:shd w:val="clear" w:color="auto" w:fill="auto"/>
            <w:vAlign w:val="center"/>
          </w:tcPr>
          <w:p>
            <w:pPr>
              <w:pStyle w:val="107"/>
            </w:pPr>
            <w:r>
              <w:t>ND</w:t>
            </w:r>
          </w:p>
        </w:tc>
        <w:tc>
          <w:tcPr>
            <w:tcW w:w="2409" w:type="dxa"/>
            <w:tcBorders>
              <w:top w:val="nil"/>
              <w:left w:val="single" w:color="000000" w:sz="4" w:space="0"/>
              <w:bottom w:val="single" w:color="000000" w:sz="4" w:space="0"/>
              <w:right w:val="nil"/>
            </w:tcBorders>
            <w:shd w:val="clear" w:color="auto" w:fill="auto"/>
            <w:vAlign w:val="center"/>
          </w:tcPr>
          <w:p>
            <w:pPr>
              <w:pStyle w:val="107"/>
            </w:pPr>
            <w:r>
              <w:t>0.001～0.007</w:t>
            </w:r>
          </w:p>
        </w:tc>
        <w:tc>
          <w:tcPr>
            <w:tcW w:w="2994" w:type="dxa"/>
            <w:tcBorders>
              <w:top w:val="nil"/>
              <w:left w:val="single" w:color="000000" w:sz="4" w:space="0"/>
              <w:bottom w:val="single" w:color="000000" w:sz="4" w:space="0"/>
              <w:right w:val="nil"/>
            </w:tcBorders>
            <w:shd w:val="clear" w:color="auto" w:fill="auto"/>
            <w:vAlign w:val="center"/>
          </w:tcPr>
          <w:p>
            <w:pPr>
              <w:pStyle w:val="107"/>
            </w:pPr>
            <w:r>
              <w:t>ND</w:t>
            </w:r>
          </w:p>
        </w:tc>
        <w:tc>
          <w:tcPr>
            <w:tcW w:w="1420" w:type="dxa"/>
            <w:vMerge w:val="restart"/>
            <w:tcBorders>
              <w:top w:val="nil"/>
              <w:left w:val="single" w:color="auto" w:sz="4" w:space="0"/>
              <w:bottom w:val="single" w:color="auto" w:sz="4" w:space="0"/>
              <w:right w:val="single" w:color="auto" w:sz="4" w:space="0"/>
            </w:tcBorders>
            <w:shd w:val="clear" w:color="auto" w:fill="auto"/>
            <w:vAlign w:val="center"/>
          </w:tcPr>
          <w:p>
            <w:pPr>
              <w:pStyle w:val="107"/>
            </w:pPr>
            <w:r>
              <w:t>0.01mg/m</w:t>
            </w:r>
            <w:r>
              <w:rPr>
                <w:vertAlign w:val="superscript"/>
              </w:rPr>
              <w:t>3</w:t>
            </w: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000000" w:sz="4" w:space="0"/>
              <w:right w:val="single" w:color="auto" w:sz="4" w:space="0"/>
            </w:tcBorders>
            <w:vAlign w:val="center"/>
          </w:tcPr>
          <w:p>
            <w:pPr>
              <w:pStyle w:val="107"/>
            </w:pPr>
          </w:p>
        </w:tc>
        <w:tc>
          <w:tcPr>
            <w:tcW w:w="992" w:type="dxa"/>
            <w:vMerge w:val="continue"/>
            <w:tcBorders>
              <w:top w:val="nil"/>
              <w:left w:val="single" w:color="auto" w:sz="4" w:space="0"/>
              <w:bottom w:val="single" w:color="000000" w:sz="4" w:space="0"/>
              <w:right w:val="single" w:color="auto" w:sz="4" w:space="0"/>
            </w:tcBorders>
            <w:vAlign w:val="center"/>
          </w:tcPr>
          <w:p>
            <w:pPr>
              <w:pStyle w:val="107"/>
            </w:pPr>
          </w:p>
        </w:tc>
        <w:tc>
          <w:tcPr>
            <w:tcW w:w="3119" w:type="dxa"/>
            <w:tcBorders>
              <w:top w:val="nil"/>
              <w:left w:val="nil"/>
              <w:bottom w:val="single" w:color="auto" w:sz="4" w:space="0"/>
              <w:right w:val="single" w:color="auto" w:sz="4" w:space="0"/>
            </w:tcBorders>
            <w:shd w:val="clear" w:color="auto" w:fill="auto"/>
            <w:vAlign w:val="center"/>
          </w:tcPr>
          <w:p>
            <w:pPr>
              <w:pStyle w:val="107"/>
            </w:pPr>
            <w:r>
              <w:rPr>
                <w:rFonts w:hint="eastAsia"/>
              </w:rPr>
              <w:t>超标率（</w:t>
            </w:r>
            <w:r>
              <w:t>%</w:t>
            </w:r>
            <w:r>
              <w:rPr>
                <w:rFonts w:hint="eastAsia"/>
              </w:rPr>
              <w:t>）</w:t>
            </w:r>
          </w:p>
        </w:tc>
        <w:tc>
          <w:tcPr>
            <w:tcW w:w="2835" w:type="dxa"/>
            <w:tcBorders>
              <w:top w:val="nil"/>
              <w:left w:val="nil"/>
              <w:bottom w:val="single" w:color="auto" w:sz="4" w:space="0"/>
              <w:right w:val="single" w:color="auto" w:sz="4" w:space="0"/>
            </w:tcBorders>
            <w:shd w:val="clear" w:color="auto" w:fill="auto"/>
            <w:vAlign w:val="center"/>
          </w:tcPr>
          <w:p>
            <w:pPr>
              <w:pStyle w:val="107"/>
            </w:pPr>
            <w:r>
              <w:t>0</w:t>
            </w:r>
          </w:p>
        </w:tc>
        <w:tc>
          <w:tcPr>
            <w:tcW w:w="2409" w:type="dxa"/>
            <w:tcBorders>
              <w:top w:val="nil"/>
              <w:left w:val="nil"/>
              <w:bottom w:val="single" w:color="auto" w:sz="4" w:space="0"/>
              <w:right w:val="single" w:color="auto" w:sz="4" w:space="0"/>
            </w:tcBorders>
            <w:shd w:val="clear" w:color="auto" w:fill="auto"/>
            <w:vAlign w:val="center"/>
          </w:tcPr>
          <w:p>
            <w:pPr>
              <w:pStyle w:val="107"/>
            </w:pPr>
            <w:r>
              <w:t>0</w:t>
            </w:r>
          </w:p>
        </w:tc>
        <w:tc>
          <w:tcPr>
            <w:tcW w:w="2994" w:type="dxa"/>
            <w:tcBorders>
              <w:top w:val="nil"/>
              <w:left w:val="nil"/>
              <w:bottom w:val="single" w:color="auto" w:sz="4" w:space="0"/>
              <w:right w:val="single" w:color="auto" w:sz="4" w:space="0"/>
            </w:tcBorders>
            <w:shd w:val="clear" w:color="auto" w:fill="auto"/>
            <w:vAlign w:val="center"/>
          </w:tcPr>
          <w:p>
            <w:pPr>
              <w:pStyle w:val="107"/>
            </w:pPr>
            <w:r>
              <w:t>0</w:t>
            </w:r>
          </w:p>
        </w:tc>
        <w:tc>
          <w:tcPr>
            <w:tcW w:w="1420" w:type="dxa"/>
            <w:vMerge w:val="continue"/>
            <w:tcBorders>
              <w:top w:val="nil"/>
              <w:left w:val="single" w:color="auto" w:sz="4" w:space="0"/>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000000" w:sz="4" w:space="0"/>
              <w:right w:val="single" w:color="auto" w:sz="4" w:space="0"/>
            </w:tcBorders>
            <w:vAlign w:val="center"/>
          </w:tcPr>
          <w:p>
            <w:pPr>
              <w:pStyle w:val="107"/>
            </w:pPr>
          </w:p>
        </w:tc>
        <w:tc>
          <w:tcPr>
            <w:tcW w:w="992" w:type="dxa"/>
            <w:vMerge w:val="continue"/>
            <w:tcBorders>
              <w:top w:val="nil"/>
              <w:left w:val="single" w:color="auto" w:sz="4" w:space="0"/>
              <w:bottom w:val="single" w:color="000000" w:sz="4" w:space="0"/>
              <w:right w:val="single" w:color="auto" w:sz="4" w:space="0"/>
            </w:tcBorders>
            <w:vAlign w:val="center"/>
          </w:tcPr>
          <w:p>
            <w:pPr>
              <w:pStyle w:val="107"/>
            </w:pPr>
          </w:p>
        </w:tc>
        <w:tc>
          <w:tcPr>
            <w:tcW w:w="3119" w:type="dxa"/>
            <w:tcBorders>
              <w:top w:val="nil"/>
              <w:left w:val="nil"/>
              <w:bottom w:val="single" w:color="auto" w:sz="4" w:space="0"/>
              <w:right w:val="single" w:color="auto" w:sz="4" w:space="0"/>
            </w:tcBorders>
            <w:shd w:val="clear" w:color="auto" w:fill="auto"/>
            <w:vAlign w:val="center"/>
          </w:tcPr>
          <w:p>
            <w:pPr>
              <w:pStyle w:val="107"/>
            </w:pPr>
            <w:r>
              <w:rPr>
                <w:rFonts w:hint="eastAsia"/>
              </w:rPr>
              <w:t>最大值占标比</w:t>
            </w:r>
          </w:p>
        </w:tc>
        <w:tc>
          <w:tcPr>
            <w:tcW w:w="2835" w:type="dxa"/>
            <w:tcBorders>
              <w:top w:val="nil"/>
              <w:left w:val="nil"/>
              <w:bottom w:val="single" w:color="auto" w:sz="4" w:space="0"/>
              <w:right w:val="single" w:color="auto" w:sz="4" w:space="0"/>
            </w:tcBorders>
            <w:shd w:val="clear" w:color="auto" w:fill="auto"/>
            <w:vAlign w:val="center"/>
          </w:tcPr>
          <w:p>
            <w:pPr>
              <w:pStyle w:val="107"/>
            </w:pPr>
            <w:r>
              <w:rPr>
                <w:rFonts w:hint="eastAsia"/>
              </w:rPr>
              <w:t>0</w:t>
            </w:r>
          </w:p>
        </w:tc>
        <w:tc>
          <w:tcPr>
            <w:tcW w:w="2409" w:type="dxa"/>
            <w:tcBorders>
              <w:top w:val="nil"/>
              <w:left w:val="nil"/>
              <w:bottom w:val="single" w:color="auto" w:sz="4" w:space="0"/>
              <w:right w:val="single" w:color="auto" w:sz="4" w:space="0"/>
            </w:tcBorders>
            <w:shd w:val="clear" w:color="auto" w:fill="auto"/>
            <w:vAlign w:val="center"/>
          </w:tcPr>
          <w:p>
            <w:pPr>
              <w:pStyle w:val="107"/>
            </w:pPr>
            <w:r>
              <w:t>0.7</w:t>
            </w:r>
          </w:p>
        </w:tc>
        <w:tc>
          <w:tcPr>
            <w:tcW w:w="2994" w:type="dxa"/>
            <w:tcBorders>
              <w:top w:val="nil"/>
              <w:left w:val="nil"/>
              <w:bottom w:val="single" w:color="auto" w:sz="4" w:space="0"/>
              <w:right w:val="single" w:color="auto" w:sz="4" w:space="0"/>
            </w:tcBorders>
            <w:shd w:val="clear" w:color="auto" w:fill="auto"/>
            <w:vAlign w:val="center"/>
          </w:tcPr>
          <w:p>
            <w:pPr>
              <w:pStyle w:val="107"/>
            </w:pPr>
            <w:r>
              <w:rPr>
                <w:rFonts w:hint="eastAsia"/>
              </w:rPr>
              <w:t>0</w:t>
            </w:r>
          </w:p>
        </w:tc>
        <w:tc>
          <w:tcPr>
            <w:tcW w:w="1420" w:type="dxa"/>
            <w:vMerge w:val="continue"/>
            <w:tcBorders>
              <w:top w:val="nil"/>
              <w:left w:val="single" w:color="auto" w:sz="4" w:space="0"/>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851" w:type="dxa"/>
            <w:vMerge w:val="restart"/>
            <w:tcBorders>
              <w:top w:val="nil"/>
              <w:left w:val="single" w:color="auto" w:sz="4" w:space="0"/>
              <w:bottom w:val="single" w:color="000000" w:sz="4" w:space="0"/>
              <w:right w:val="single" w:color="auto" w:sz="4" w:space="0"/>
            </w:tcBorders>
            <w:shd w:val="clear" w:color="auto" w:fill="auto"/>
            <w:vAlign w:val="center"/>
          </w:tcPr>
          <w:p>
            <w:pPr>
              <w:pStyle w:val="107"/>
            </w:pPr>
            <w:r>
              <w:t>非甲烷总烃</w:t>
            </w:r>
          </w:p>
        </w:tc>
        <w:tc>
          <w:tcPr>
            <w:tcW w:w="992" w:type="dxa"/>
            <w:vMerge w:val="restart"/>
            <w:tcBorders>
              <w:top w:val="nil"/>
              <w:left w:val="single" w:color="auto" w:sz="4" w:space="0"/>
              <w:bottom w:val="single" w:color="000000" w:sz="4" w:space="0"/>
              <w:right w:val="single" w:color="auto" w:sz="4" w:space="0"/>
            </w:tcBorders>
            <w:shd w:val="clear" w:color="auto" w:fill="auto"/>
            <w:vAlign w:val="center"/>
          </w:tcPr>
          <w:p>
            <w:pPr>
              <w:pStyle w:val="107"/>
            </w:pPr>
            <w:r>
              <w:t>一次测定值</w:t>
            </w:r>
          </w:p>
        </w:tc>
        <w:tc>
          <w:tcPr>
            <w:tcW w:w="3119" w:type="dxa"/>
            <w:tcBorders>
              <w:top w:val="nil"/>
              <w:left w:val="nil"/>
              <w:bottom w:val="single" w:color="auto" w:sz="4" w:space="0"/>
              <w:right w:val="single" w:color="auto" w:sz="4" w:space="0"/>
            </w:tcBorders>
            <w:shd w:val="clear" w:color="auto" w:fill="auto"/>
            <w:vAlign w:val="center"/>
          </w:tcPr>
          <w:p>
            <w:pPr>
              <w:pStyle w:val="107"/>
            </w:pPr>
            <w:r>
              <w:rPr>
                <w:rFonts w:hint="eastAsia"/>
              </w:rPr>
              <w:t>浓度范围（</w:t>
            </w:r>
            <w:r>
              <w:t>mg/m</w:t>
            </w:r>
            <w:r>
              <w:rPr>
                <w:vertAlign w:val="superscript"/>
              </w:rPr>
              <w:t>3</w:t>
            </w:r>
            <w:r>
              <w:rPr>
                <w:rFonts w:hint="eastAsia"/>
              </w:rPr>
              <w:t>）</w:t>
            </w:r>
          </w:p>
        </w:tc>
        <w:tc>
          <w:tcPr>
            <w:tcW w:w="2835" w:type="dxa"/>
            <w:tcBorders>
              <w:top w:val="nil"/>
              <w:left w:val="nil"/>
              <w:bottom w:val="single" w:color="auto" w:sz="4" w:space="0"/>
              <w:right w:val="single" w:color="auto" w:sz="4" w:space="0"/>
            </w:tcBorders>
            <w:shd w:val="clear" w:color="auto" w:fill="auto"/>
            <w:vAlign w:val="center"/>
          </w:tcPr>
          <w:p>
            <w:pPr>
              <w:pStyle w:val="107"/>
            </w:pPr>
            <w:r>
              <w:t>ND</w:t>
            </w:r>
          </w:p>
        </w:tc>
        <w:tc>
          <w:tcPr>
            <w:tcW w:w="2409" w:type="dxa"/>
            <w:tcBorders>
              <w:top w:val="nil"/>
              <w:left w:val="nil"/>
              <w:bottom w:val="single" w:color="auto" w:sz="4" w:space="0"/>
              <w:right w:val="single" w:color="auto" w:sz="4" w:space="0"/>
            </w:tcBorders>
            <w:shd w:val="clear" w:color="auto" w:fill="auto"/>
            <w:vAlign w:val="center"/>
          </w:tcPr>
          <w:p>
            <w:pPr>
              <w:pStyle w:val="107"/>
            </w:pPr>
            <w:r>
              <w:t>0.07～0.16</w:t>
            </w:r>
          </w:p>
        </w:tc>
        <w:tc>
          <w:tcPr>
            <w:tcW w:w="2994" w:type="dxa"/>
            <w:tcBorders>
              <w:top w:val="nil"/>
              <w:left w:val="nil"/>
              <w:bottom w:val="single" w:color="auto" w:sz="4" w:space="0"/>
              <w:right w:val="single" w:color="auto" w:sz="4" w:space="0"/>
            </w:tcBorders>
            <w:shd w:val="clear" w:color="auto" w:fill="auto"/>
            <w:vAlign w:val="center"/>
          </w:tcPr>
          <w:p>
            <w:pPr>
              <w:pStyle w:val="107"/>
            </w:pPr>
            <w:r>
              <w:t>ND</w:t>
            </w:r>
          </w:p>
        </w:tc>
        <w:tc>
          <w:tcPr>
            <w:tcW w:w="1420" w:type="dxa"/>
            <w:vMerge w:val="restart"/>
            <w:tcBorders>
              <w:top w:val="nil"/>
              <w:left w:val="single" w:color="auto" w:sz="4" w:space="0"/>
              <w:bottom w:val="single" w:color="auto" w:sz="4" w:space="0"/>
              <w:right w:val="single" w:color="auto" w:sz="4" w:space="0"/>
            </w:tcBorders>
            <w:shd w:val="clear" w:color="auto" w:fill="auto"/>
            <w:vAlign w:val="center"/>
          </w:tcPr>
          <w:p>
            <w:pPr>
              <w:pStyle w:val="107"/>
            </w:pPr>
            <w:r>
              <w:t>2mg/m</w:t>
            </w:r>
            <w:r>
              <w:rPr>
                <w:vertAlign w:val="superscript"/>
              </w:rPr>
              <w:t>3</w:t>
            </w: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000000" w:sz="4" w:space="0"/>
              <w:right w:val="single" w:color="auto" w:sz="4" w:space="0"/>
            </w:tcBorders>
            <w:vAlign w:val="center"/>
          </w:tcPr>
          <w:p>
            <w:pPr>
              <w:pStyle w:val="107"/>
            </w:pPr>
          </w:p>
        </w:tc>
        <w:tc>
          <w:tcPr>
            <w:tcW w:w="992" w:type="dxa"/>
            <w:vMerge w:val="continue"/>
            <w:tcBorders>
              <w:top w:val="nil"/>
              <w:left w:val="single" w:color="auto" w:sz="4" w:space="0"/>
              <w:bottom w:val="single" w:color="000000" w:sz="4" w:space="0"/>
              <w:right w:val="single" w:color="auto" w:sz="4" w:space="0"/>
            </w:tcBorders>
            <w:vAlign w:val="center"/>
          </w:tcPr>
          <w:p>
            <w:pPr>
              <w:pStyle w:val="107"/>
            </w:pPr>
          </w:p>
        </w:tc>
        <w:tc>
          <w:tcPr>
            <w:tcW w:w="3119" w:type="dxa"/>
            <w:tcBorders>
              <w:top w:val="nil"/>
              <w:left w:val="nil"/>
              <w:bottom w:val="single" w:color="auto" w:sz="4" w:space="0"/>
              <w:right w:val="single" w:color="auto" w:sz="4" w:space="0"/>
            </w:tcBorders>
            <w:shd w:val="clear" w:color="auto" w:fill="auto"/>
            <w:vAlign w:val="center"/>
          </w:tcPr>
          <w:p>
            <w:pPr>
              <w:pStyle w:val="107"/>
            </w:pPr>
            <w:r>
              <w:rPr>
                <w:rFonts w:hint="eastAsia"/>
              </w:rPr>
              <w:t>超标率（</w:t>
            </w:r>
            <w:r>
              <w:t>%</w:t>
            </w:r>
            <w:r>
              <w:rPr>
                <w:rFonts w:hint="eastAsia"/>
              </w:rPr>
              <w:t>）</w:t>
            </w:r>
          </w:p>
        </w:tc>
        <w:tc>
          <w:tcPr>
            <w:tcW w:w="2835" w:type="dxa"/>
            <w:tcBorders>
              <w:top w:val="nil"/>
              <w:left w:val="nil"/>
              <w:bottom w:val="single" w:color="auto" w:sz="4" w:space="0"/>
              <w:right w:val="single" w:color="auto" w:sz="4" w:space="0"/>
            </w:tcBorders>
            <w:shd w:val="clear" w:color="auto" w:fill="auto"/>
            <w:vAlign w:val="center"/>
          </w:tcPr>
          <w:p>
            <w:pPr>
              <w:pStyle w:val="107"/>
            </w:pPr>
            <w:r>
              <w:t>0</w:t>
            </w:r>
          </w:p>
        </w:tc>
        <w:tc>
          <w:tcPr>
            <w:tcW w:w="2409" w:type="dxa"/>
            <w:tcBorders>
              <w:top w:val="nil"/>
              <w:left w:val="nil"/>
              <w:bottom w:val="single" w:color="auto" w:sz="4" w:space="0"/>
              <w:right w:val="single" w:color="auto" w:sz="4" w:space="0"/>
            </w:tcBorders>
            <w:shd w:val="clear" w:color="auto" w:fill="auto"/>
            <w:vAlign w:val="center"/>
          </w:tcPr>
          <w:p>
            <w:pPr>
              <w:pStyle w:val="107"/>
            </w:pPr>
            <w:r>
              <w:t>0</w:t>
            </w:r>
          </w:p>
        </w:tc>
        <w:tc>
          <w:tcPr>
            <w:tcW w:w="2994" w:type="dxa"/>
            <w:tcBorders>
              <w:top w:val="nil"/>
              <w:left w:val="nil"/>
              <w:bottom w:val="single" w:color="auto" w:sz="4" w:space="0"/>
              <w:right w:val="single" w:color="auto" w:sz="4" w:space="0"/>
            </w:tcBorders>
            <w:shd w:val="clear" w:color="auto" w:fill="auto"/>
            <w:vAlign w:val="center"/>
          </w:tcPr>
          <w:p>
            <w:pPr>
              <w:pStyle w:val="107"/>
            </w:pPr>
            <w:r>
              <w:t>0</w:t>
            </w:r>
          </w:p>
        </w:tc>
        <w:tc>
          <w:tcPr>
            <w:tcW w:w="1420" w:type="dxa"/>
            <w:vMerge w:val="continue"/>
            <w:tcBorders>
              <w:top w:val="nil"/>
              <w:left w:val="single" w:color="auto" w:sz="4" w:space="0"/>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000000" w:sz="4" w:space="0"/>
              <w:right w:val="single" w:color="auto" w:sz="4" w:space="0"/>
            </w:tcBorders>
            <w:vAlign w:val="center"/>
          </w:tcPr>
          <w:p>
            <w:pPr>
              <w:pStyle w:val="107"/>
            </w:pPr>
          </w:p>
        </w:tc>
        <w:tc>
          <w:tcPr>
            <w:tcW w:w="992" w:type="dxa"/>
            <w:vMerge w:val="continue"/>
            <w:tcBorders>
              <w:top w:val="nil"/>
              <w:left w:val="single" w:color="auto" w:sz="4" w:space="0"/>
              <w:bottom w:val="single" w:color="000000" w:sz="4" w:space="0"/>
              <w:right w:val="single" w:color="auto" w:sz="4" w:space="0"/>
            </w:tcBorders>
            <w:vAlign w:val="center"/>
          </w:tcPr>
          <w:p>
            <w:pPr>
              <w:pStyle w:val="107"/>
            </w:pPr>
          </w:p>
        </w:tc>
        <w:tc>
          <w:tcPr>
            <w:tcW w:w="3119" w:type="dxa"/>
            <w:tcBorders>
              <w:top w:val="nil"/>
              <w:left w:val="nil"/>
              <w:bottom w:val="single" w:color="auto" w:sz="4" w:space="0"/>
              <w:right w:val="single" w:color="auto" w:sz="4" w:space="0"/>
            </w:tcBorders>
            <w:shd w:val="clear" w:color="auto" w:fill="auto"/>
            <w:vAlign w:val="center"/>
          </w:tcPr>
          <w:p>
            <w:pPr>
              <w:pStyle w:val="107"/>
            </w:pPr>
            <w:r>
              <w:rPr>
                <w:rFonts w:hint="eastAsia"/>
              </w:rPr>
              <w:t>最大值占标比</w:t>
            </w:r>
          </w:p>
        </w:tc>
        <w:tc>
          <w:tcPr>
            <w:tcW w:w="2835" w:type="dxa"/>
            <w:tcBorders>
              <w:top w:val="nil"/>
              <w:left w:val="nil"/>
              <w:bottom w:val="single" w:color="auto" w:sz="4" w:space="0"/>
              <w:right w:val="single" w:color="auto" w:sz="4" w:space="0"/>
            </w:tcBorders>
            <w:shd w:val="clear" w:color="auto" w:fill="auto"/>
            <w:vAlign w:val="center"/>
          </w:tcPr>
          <w:p>
            <w:pPr>
              <w:pStyle w:val="107"/>
            </w:pPr>
            <w:r>
              <w:rPr>
                <w:rFonts w:hint="eastAsia"/>
              </w:rPr>
              <w:t>0</w:t>
            </w:r>
          </w:p>
        </w:tc>
        <w:tc>
          <w:tcPr>
            <w:tcW w:w="2409" w:type="dxa"/>
            <w:tcBorders>
              <w:top w:val="nil"/>
              <w:left w:val="nil"/>
              <w:bottom w:val="single" w:color="auto" w:sz="4" w:space="0"/>
              <w:right w:val="single" w:color="auto" w:sz="4" w:space="0"/>
            </w:tcBorders>
            <w:shd w:val="clear" w:color="auto" w:fill="auto"/>
            <w:vAlign w:val="center"/>
          </w:tcPr>
          <w:p>
            <w:pPr>
              <w:pStyle w:val="107"/>
            </w:pPr>
            <w:r>
              <w:t>0.08</w:t>
            </w:r>
          </w:p>
        </w:tc>
        <w:tc>
          <w:tcPr>
            <w:tcW w:w="2994" w:type="dxa"/>
            <w:tcBorders>
              <w:top w:val="nil"/>
              <w:left w:val="nil"/>
              <w:bottom w:val="single" w:color="auto" w:sz="4" w:space="0"/>
              <w:right w:val="single" w:color="auto" w:sz="4" w:space="0"/>
            </w:tcBorders>
            <w:shd w:val="clear" w:color="auto" w:fill="auto"/>
            <w:vAlign w:val="center"/>
          </w:tcPr>
          <w:p>
            <w:pPr>
              <w:pStyle w:val="107"/>
            </w:pPr>
            <w:r>
              <w:rPr>
                <w:rFonts w:hint="eastAsia"/>
              </w:rPr>
              <w:t>0</w:t>
            </w:r>
          </w:p>
        </w:tc>
        <w:tc>
          <w:tcPr>
            <w:tcW w:w="1420" w:type="dxa"/>
            <w:vMerge w:val="continue"/>
            <w:tcBorders>
              <w:top w:val="nil"/>
              <w:left w:val="single" w:color="auto" w:sz="4" w:space="0"/>
              <w:bottom w:val="single" w:color="auto" w:sz="4" w:space="0"/>
              <w:right w:val="single" w:color="auto" w:sz="4" w:space="0"/>
            </w:tcBorders>
            <w:vAlign w:val="center"/>
          </w:tcPr>
          <w:p>
            <w:pPr>
              <w:pStyle w:val="107"/>
            </w:pPr>
          </w:p>
        </w:tc>
      </w:tr>
    </w:tbl>
    <w:p>
      <w:pPr>
        <w:ind w:firstLine="0" w:firstLineChars="0"/>
        <w:rPr>
          <w:rFonts w:eastAsiaTheme="minorEastAsia"/>
          <w:b/>
          <w:bCs/>
          <w:sz w:val="21"/>
          <w:szCs w:val="21"/>
        </w:rPr>
      </w:pPr>
      <w:r>
        <w:rPr>
          <w:rFonts w:hint="eastAsia" w:eastAsiaTheme="minorEastAsia"/>
          <w:b/>
          <w:bCs/>
          <w:sz w:val="21"/>
          <w:szCs w:val="21"/>
        </w:rPr>
        <w:t>注：① N</w:t>
      </w:r>
      <w:r>
        <w:rPr>
          <w:rFonts w:eastAsiaTheme="minorEastAsia"/>
          <w:b/>
          <w:bCs/>
          <w:sz w:val="21"/>
          <w:szCs w:val="21"/>
        </w:rPr>
        <w:t>D</w:t>
      </w:r>
      <w:r>
        <w:rPr>
          <w:rStyle w:val="63"/>
          <w:rFonts w:hint="eastAsia"/>
          <w:color w:val="auto"/>
        </w:rPr>
        <w:t>表示检测结果低于方法检出限</w:t>
      </w:r>
      <w:r>
        <w:rPr>
          <w:rFonts w:hint="eastAsia" w:eastAsiaTheme="minorEastAsia"/>
          <w:b/>
          <w:bCs/>
          <w:sz w:val="21"/>
          <w:szCs w:val="21"/>
        </w:rPr>
        <w:t>。</w:t>
      </w:r>
    </w:p>
    <w:p>
      <w:pPr>
        <w:ind w:firstLine="422"/>
        <w:jc w:val="center"/>
        <w:rPr>
          <w:rFonts w:eastAsiaTheme="minorEastAsia"/>
          <w:b/>
          <w:bCs/>
          <w:sz w:val="21"/>
          <w:szCs w:val="21"/>
        </w:rPr>
        <w:sectPr>
          <w:pgSz w:w="16838" w:h="11906" w:orient="landscape"/>
          <w:pgMar w:top="1418" w:right="1418" w:bottom="1418" w:left="1418" w:header="851" w:footer="992" w:gutter="0"/>
          <w:cols w:space="0" w:num="1"/>
          <w:docGrid w:type="lines" w:linePitch="335" w:charSpace="0"/>
        </w:sectPr>
      </w:pPr>
    </w:p>
    <w:p>
      <w:pPr>
        <w:pStyle w:val="126"/>
        <w:numPr>
          <w:ilvl w:val="0"/>
          <w:numId w:val="41"/>
        </w:numPr>
        <w:ind w:firstLine="482"/>
        <w:rPr>
          <w:rFonts w:eastAsiaTheme="minorEastAsia"/>
        </w:rPr>
      </w:pPr>
      <w:bookmarkStart w:id="362" w:name="_Toc147119957"/>
      <w:bookmarkStart w:id="363" w:name="_Toc331536175"/>
      <w:bookmarkStart w:id="364" w:name="_Toc92651390"/>
      <w:r>
        <w:rPr>
          <w:rFonts w:eastAsiaTheme="minorEastAsia"/>
        </w:rPr>
        <w:t>监测结果分析与评价</w:t>
      </w:r>
      <w:bookmarkEnd w:id="362"/>
      <w:bookmarkEnd w:id="363"/>
      <w:bookmarkEnd w:id="364"/>
    </w:p>
    <w:p>
      <w:pPr>
        <w:pStyle w:val="99"/>
        <w:numPr>
          <w:ilvl w:val="0"/>
          <w:numId w:val="39"/>
        </w:numPr>
        <w:ind w:firstLineChars="0"/>
        <w:rPr>
          <w:rStyle w:val="132"/>
        </w:rPr>
      </w:pPr>
      <w:r>
        <w:rPr>
          <w:rStyle w:val="132"/>
          <w:rFonts w:hint="eastAsia"/>
        </w:rPr>
        <w:t>特征因子</w:t>
      </w:r>
    </w:p>
    <w:p>
      <w:pPr>
        <w:ind w:firstLine="480"/>
        <w:rPr>
          <w:rFonts w:eastAsiaTheme="minorEastAsia"/>
        </w:rPr>
      </w:pPr>
      <w:r>
        <w:rPr>
          <w:rFonts w:hint="eastAsia" w:eastAsiaTheme="minorEastAsia"/>
        </w:rPr>
        <w:t>补充</w:t>
      </w:r>
      <w:r>
        <w:rPr>
          <w:rFonts w:eastAsiaTheme="minorEastAsia"/>
        </w:rPr>
        <w:t>监测结果表明</w:t>
      </w:r>
      <w:r>
        <w:rPr>
          <w:rFonts w:hint="eastAsia" w:eastAsiaTheme="minorEastAsia"/>
        </w:rPr>
        <w:t>：</w:t>
      </w:r>
    </w:p>
    <w:p>
      <w:pPr>
        <w:ind w:firstLine="480"/>
        <w:rPr>
          <w:rFonts w:eastAsiaTheme="minorEastAsia"/>
        </w:rPr>
      </w:pPr>
      <w:r>
        <w:rPr>
          <w:rFonts w:hint="eastAsia" w:eastAsiaTheme="minorEastAsia"/>
        </w:rPr>
        <w:t>评价区G</w:t>
      </w:r>
      <w:r>
        <w:rPr>
          <w:rFonts w:eastAsiaTheme="minorEastAsia"/>
        </w:rPr>
        <w:t>1</w:t>
      </w:r>
      <w:r>
        <w:rPr>
          <w:rFonts w:hint="eastAsia" w:eastAsiaTheme="minorEastAsia"/>
        </w:rPr>
        <w:t>、</w:t>
      </w:r>
      <w:r>
        <w:rPr>
          <w:rFonts w:eastAsiaTheme="minorEastAsia"/>
        </w:rPr>
        <w:t>G3</w:t>
      </w:r>
      <w:r>
        <w:rPr>
          <w:rFonts w:hint="eastAsia" w:eastAsiaTheme="minorEastAsia"/>
        </w:rPr>
        <w:t>监测点</w:t>
      </w:r>
      <w:r>
        <w:rPr>
          <w:rFonts w:eastAsiaTheme="minorEastAsia"/>
        </w:rPr>
        <w:t>H</w:t>
      </w:r>
      <w:r>
        <w:rPr>
          <w:rFonts w:eastAsiaTheme="minorEastAsia"/>
          <w:vertAlign w:val="subscript"/>
        </w:rPr>
        <w:t>2</w:t>
      </w:r>
      <w:r>
        <w:rPr>
          <w:rFonts w:eastAsiaTheme="minorEastAsia"/>
        </w:rPr>
        <w:t>S</w:t>
      </w:r>
      <w:r>
        <w:rPr>
          <w:rFonts w:hint="eastAsia" w:eastAsiaTheme="minorEastAsia"/>
        </w:rPr>
        <w:t>均未检出，G</w:t>
      </w:r>
      <w:r>
        <w:rPr>
          <w:rFonts w:eastAsiaTheme="minorEastAsia"/>
        </w:rPr>
        <w:t>2</w:t>
      </w:r>
      <w:r>
        <w:rPr>
          <w:rFonts w:hint="eastAsia" w:eastAsiaTheme="minorEastAsia"/>
        </w:rPr>
        <w:t>监测点</w:t>
      </w:r>
      <w:r>
        <w:rPr>
          <w:rFonts w:eastAsiaTheme="minorEastAsia"/>
        </w:rPr>
        <w:t>H</w:t>
      </w:r>
      <w:r>
        <w:rPr>
          <w:rFonts w:eastAsiaTheme="minorEastAsia"/>
          <w:vertAlign w:val="subscript"/>
        </w:rPr>
        <w:t>2</w:t>
      </w:r>
      <w:r>
        <w:rPr>
          <w:rFonts w:eastAsiaTheme="minorEastAsia"/>
        </w:rPr>
        <w:t>S</w:t>
      </w:r>
      <w:r>
        <w:rPr>
          <w:rFonts w:hint="eastAsia" w:eastAsiaTheme="minorEastAsia"/>
        </w:rPr>
        <w:t>浓度为</w:t>
      </w:r>
      <w:r>
        <w:t>0.001～0.007</w:t>
      </w:r>
      <w:r>
        <w:rPr>
          <w:rFonts w:cs="Times New Roman" w:eastAsiaTheme="minorEastAsia"/>
          <w:bCs/>
        </w:rPr>
        <w:t xml:space="preserve"> mg/m</w:t>
      </w:r>
      <w:r>
        <w:rPr>
          <w:rFonts w:cs="Times New Roman" w:eastAsiaTheme="minorEastAsia"/>
          <w:bCs/>
          <w:vertAlign w:val="superscript"/>
        </w:rPr>
        <w:t>3</w:t>
      </w:r>
      <w:r>
        <w:rPr>
          <w:rFonts w:hint="eastAsia" w:eastAsiaTheme="minorEastAsia"/>
        </w:rPr>
        <w:t>能够满足《环境影响评价技术导则 大气环境》（HJ 2.2-2018）附录D有关标准；</w:t>
      </w:r>
    </w:p>
    <w:p>
      <w:pPr>
        <w:ind w:firstLine="480"/>
        <w:rPr>
          <w:rFonts w:cs="Times New Roman" w:eastAsiaTheme="minorEastAsia"/>
          <w:bCs/>
        </w:rPr>
      </w:pPr>
      <w:r>
        <w:rPr>
          <w:rFonts w:hint="eastAsia" w:eastAsiaTheme="minorEastAsia"/>
        </w:rPr>
        <w:t>评价区G</w:t>
      </w:r>
      <w:r>
        <w:rPr>
          <w:rFonts w:eastAsiaTheme="minorEastAsia"/>
        </w:rPr>
        <w:t>1</w:t>
      </w:r>
      <w:r>
        <w:rPr>
          <w:rFonts w:hint="eastAsia" w:eastAsiaTheme="minorEastAsia"/>
        </w:rPr>
        <w:t>、</w:t>
      </w:r>
      <w:r>
        <w:rPr>
          <w:rFonts w:eastAsiaTheme="minorEastAsia"/>
        </w:rPr>
        <w:t>G3</w:t>
      </w:r>
      <w:r>
        <w:rPr>
          <w:rFonts w:hint="eastAsia" w:eastAsiaTheme="minorEastAsia"/>
        </w:rPr>
        <w:t>监测点非甲烷总烃均未检出，G</w:t>
      </w:r>
      <w:r>
        <w:rPr>
          <w:rFonts w:eastAsiaTheme="minorEastAsia"/>
        </w:rPr>
        <w:t>3</w:t>
      </w:r>
      <w:r>
        <w:rPr>
          <w:rFonts w:cs="Times New Roman" w:eastAsiaTheme="minorEastAsia"/>
          <w:bCs/>
        </w:rPr>
        <w:t>监测点非甲烷总烃小时平均浓度均＜2.0mg/m</w:t>
      </w:r>
      <w:r>
        <w:rPr>
          <w:rFonts w:cs="Times New Roman" w:eastAsiaTheme="minorEastAsia"/>
          <w:bCs/>
          <w:vertAlign w:val="superscript"/>
        </w:rPr>
        <w:t>3</w:t>
      </w:r>
      <w:r>
        <w:rPr>
          <w:rFonts w:cs="Times New Roman" w:eastAsiaTheme="minorEastAsia"/>
          <w:bCs/>
        </w:rPr>
        <w:t>，</w:t>
      </w:r>
      <w:r>
        <w:rPr>
          <w:rFonts w:hint="eastAsia" w:cs="Times New Roman" w:eastAsiaTheme="minorEastAsia"/>
          <w:bCs/>
        </w:rPr>
        <w:t>满足</w:t>
      </w:r>
      <w:r>
        <w:rPr>
          <w:rFonts w:cs="Times New Roman" w:eastAsiaTheme="minorEastAsia"/>
          <w:bCs/>
        </w:rPr>
        <w:t>原国家环境保护</w:t>
      </w:r>
      <w:r>
        <w:rPr>
          <w:rFonts w:hint="eastAsia" w:cs="Times New Roman" w:eastAsiaTheme="minorEastAsia"/>
          <w:bCs/>
        </w:rPr>
        <w:t>总</w:t>
      </w:r>
      <w:r>
        <w:rPr>
          <w:rFonts w:cs="Times New Roman" w:eastAsiaTheme="minorEastAsia"/>
          <w:bCs/>
        </w:rPr>
        <w:t>局科技标准司</w:t>
      </w:r>
      <w:r>
        <w:rPr>
          <w:rFonts w:hint="eastAsia" w:cs="Times New Roman" w:eastAsiaTheme="minorEastAsia"/>
          <w:bCs/>
        </w:rPr>
        <w:t>编制</w:t>
      </w:r>
      <w:r>
        <w:rPr>
          <w:rFonts w:cs="Times New Roman" w:eastAsiaTheme="minorEastAsia"/>
          <w:bCs/>
        </w:rPr>
        <w:t>的《大气污染物综合排放标准详解》</w:t>
      </w:r>
      <w:r>
        <w:rPr>
          <w:rFonts w:hint="eastAsia" w:cs="Times New Roman" w:eastAsiaTheme="minorEastAsia"/>
          <w:bCs/>
        </w:rPr>
        <w:t>（中国环境科学出版社出版）推荐限值</w:t>
      </w:r>
      <w:r>
        <w:rPr>
          <w:rFonts w:cs="Times New Roman" w:eastAsiaTheme="minorEastAsia"/>
          <w:bCs/>
        </w:rPr>
        <w:t>；</w:t>
      </w:r>
    </w:p>
    <w:p>
      <w:pPr>
        <w:pStyle w:val="6"/>
      </w:pPr>
      <w:r>
        <w:rPr>
          <w:rFonts w:hint="eastAsia"/>
        </w:rPr>
        <w:t>环境空气质量调查与评价小结</w:t>
      </w:r>
    </w:p>
    <w:p>
      <w:pPr>
        <w:ind w:firstLine="480"/>
        <w:rPr>
          <w:rFonts w:eastAsiaTheme="minorEastAsia"/>
        </w:rPr>
      </w:pPr>
      <w:r>
        <w:rPr>
          <w:rFonts w:hint="eastAsia" w:eastAsiaTheme="minorEastAsia"/>
        </w:rPr>
        <w:t>补充监测时段内，评价范围内各监测点的监测因子均符合相应质量标准要求。</w:t>
      </w:r>
      <w:r>
        <w:rPr>
          <w:rFonts w:hint="eastAsia"/>
        </w:rPr>
        <w:t>由江门市2</w:t>
      </w:r>
      <w:r>
        <w:t>018</w:t>
      </w:r>
      <w:r>
        <w:rPr>
          <w:rFonts w:hint="eastAsia"/>
        </w:rPr>
        <w:t>年</w:t>
      </w:r>
      <w:r>
        <w:t>环境质量状况公报</w:t>
      </w:r>
      <w:r>
        <w:rPr>
          <w:rFonts w:hint="eastAsia"/>
        </w:rPr>
        <w:t>可知，江门市</w:t>
      </w:r>
      <w:r>
        <w:t>SO</w:t>
      </w:r>
      <w:r>
        <w:rPr>
          <w:vertAlign w:val="subscript"/>
        </w:rPr>
        <w:t>2</w:t>
      </w:r>
      <w:r>
        <w:t>（二氧化硫）、NO</w:t>
      </w:r>
      <w:r>
        <w:rPr>
          <w:vertAlign w:val="subscript"/>
        </w:rPr>
        <w:t>2</w:t>
      </w:r>
      <w:r>
        <w:t>（二氧化氮）、PM</w:t>
      </w:r>
      <w:r>
        <w:rPr>
          <w:vertAlign w:val="subscript"/>
        </w:rPr>
        <w:t>10</w:t>
      </w:r>
      <w:r>
        <w:t>（可吸入颗粒物）</w:t>
      </w:r>
      <w:r>
        <w:rPr>
          <w:rFonts w:hint="eastAsia"/>
        </w:rPr>
        <w:t>、</w:t>
      </w:r>
      <w:r>
        <w:t>PM</w:t>
      </w:r>
      <w:r>
        <w:rPr>
          <w:vertAlign w:val="subscript"/>
        </w:rPr>
        <w:t>2.5</w:t>
      </w:r>
      <w:r>
        <w:t>（细颗粒物）</w:t>
      </w:r>
      <w:r>
        <w:rPr>
          <w:rFonts w:hint="eastAsia"/>
        </w:rPr>
        <w:t>、C</w:t>
      </w:r>
      <w:r>
        <w:t>O</w:t>
      </w:r>
      <w:r>
        <w:rPr>
          <w:rFonts w:hint="eastAsia"/>
        </w:rPr>
        <w:t>符合</w:t>
      </w:r>
      <w:r>
        <w:t>《环境空气质量标准》（GB3095-2012）二级标准</w:t>
      </w:r>
      <w:r>
        <w:rPr>
          <w:rFonts w:hint="eastAsia"/>
        </w:rPr>
        <w:t>，</w:t>
      </w:r>
      <w:r>
        <w:t>O</w:t>
      </w:r>
      <w:r>
        <w:rPr>
          <w:vertAlign w:val="subscript"/>
        </w:rPr>
        <w:t>3</w:t>
      </w:r>
      <w:r>
        <w:t>超出二级标准</w:t>
      </w:r>
      <w:r>
        <w:rPr>
          <w:rFonts w:hint="eastAsia"/>
        </w:rPr>
        <w:t>要求</w:t>
      </w:r>
      <w:r>
        <w:t>，项目所在地环境空气</w:t>
      </w:r>
      <w:r>
        <w:rPr>
          <w:rFonts w:hint="eastAsia"/>
        </w:rPr>
        <w:t>为</w:t>
      </w:r>
      <w:r>
        <w:t>不达标区。</w:t>
      </w:r>
    </w:p>
    <w:p>
      <w:pPr>
        <w:pStyle w:val="5"/>
      </w:pPr>
      <w:bookmarkStart w:id="365" w:name="_Toc307847892"/>
      <w:bookmarkStart w:id="366" w:name="_Toc329784209"/>
      <w:bookmarkStart w:id="367" w:name="_Toc331536176"/>
      <w:bookmarkStart w:id="368" w:name="_Toc10686"/>
      <w:bookmarkStart w:id="369" w:name="_Toc11763"/>
      <w:r>
        <w:t>声环境</w:t>
      </w:r>
      <w:r>
        <w:rPr>
          <w:rFonts w:hint="eastAsia"/>
        </w:rPr>
        <w:t>质量</w:t>
      </w:r>
      <w:r>
        <w:t>现状调查与评价</w:t>
      </w:r>
      <w:bookmarkEnd w:id="365"/>
      <w:bookmarkEnd w:id="366"/>
      <w:bookmarkEnd w:id="367"/>
      <w:bookmarkEnd w:id="368"/>
      <w:bookmarkEnd w:id="369"/>
    </w:p>
    <w:p>
      <w:pPr>
        <w:pStyle w:val="6"/>
      </w:pPr>
      <w:bookmarkStart w:id="370" w:name="_Toc147119968"/>
      <w:bookmarkStart w:id="371" w:name="_Toc82771232"/>
      <w:bookmarkStart w:id="372" w:name="_Toc79812545"/>
      <w:bookmarkStart w:id="373" w:name="_Toc92651395"/>
      <w:bookmarkStart w:id="374" w:name="_Toc79213515"/>
      <w:bookmarkStart w:id="375" w:name="_Toc331536177"/>
      <w:r>
        <w:rPr>
          <w:rFonts w:hint="eastAsia"/>
        </w:rPr>
        <w:t>声环境质量现状监测</w:t>
      </w:r>
    </w:p>
    <w:p>
      <w:pPr>
        <w:pStyle w:val="126"/>
        <w:numPr>
          <w:ilvl w:val="0"/>
          <w:numId w:val="46"/>
        </w:numPr>
        <w:ind w:firstLine="482"/>
        <w:rPr>
          <w:rFonts w:eastAsiaTheme="minorEastAsia"/>
        </w:rPr>
      </w:pPr>
      <w:r>
        <w:rPr>
          <w:rFonts w:eastAsiaTheme="minorEastAsia"/>
        </w:rPr>
        <w:t>监测布点</w:t>
      </w:r>
      <w:r>
        <w:rPr>
          <w:rFonts w:hint="eastAsia" w:eastAsiaTheme="minorEastAsia"/>
        </w:rPr>
        <w:t>、监测项目及监测时间</w:t>
      </w:r>
    </w:p>
    <w:bookmarkEnd w:id="370"/>
    <w:bookmarkEnd w:id="371"/>
    <w:bookmarkEnd w:id="372"/>
    <w:bookmarkEnd w:id="373"/>
    <w:bookmarkEnd w:id="374"/>
    <w:bookmarkEnd w:id="375"/>
    <w:p>
      <w:pPr>
        <w:spacing w:before="93" w:after="93"/>
        <w:ind w:firstLine="480"/>
        <w:rPr>
          <w:rFonts w:eastAsiaTheme="minorEastAsia"/>
        </w:rPr>
      </w:pPr>
      <w:r>
        <w:rPr>
          <w:rFonts w:eastAsiaTheme="minorEastAsia"/>
        </w:rPr>
        <w:t>根据厂址及周围环境现状，</w:t>
      </w:r>
      <w:r>
        <w:rPr>
          <w:rFonts w:hint="eastAsia" w:eastAsiaTheme="minorEastAsia"/>
        </w:rPr>
        <w:t>本次评价于厂界外东、南、西、北四个方位各布设1个噪声采样点，最近敏感点下莲塘设1个噪声采样点</w:t>
      </w:r>
      <w:r>
        <w:rPr>
          <w:rFonts w:eastAsiaTheme="minorEastAsia"/>
        </w:rPr>
        <w:t>，</w:t>
      </w:r>
      <w:r>
        <w:rPr>
          <w:rFonts w:hint="eastAsia" w:eastAsiaTheme="minorEastAsia"/>
        </w:rPr>
        <w:t>监测点位详见</w:t>
      </w:r>
      <w:r>
        <w:rPr>
          <w:rFonts w:eastAsiaTheme="minorEastAsia"/>
        </w:rPr>
        <w:fldChar w:fldCharType="begin"/>
      </w:r>
      <w:r>
        <w:rPr>
          <w:rFonts w:eastAsiaTheme="minorEastAsia"/>
        </w:rPr>
        <w:instrText xml:space="preserve"> </w:instrText>
      </w:r>
      <w:r>
        <w:rPr>
          <w:rFonts w:hint="eastAsia" w:eastAsiaTheme="minorEastAsia"/>
        </w:rPr>
        <w:instrText xml:space="preserve">REF _Ref527751830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3.3</w:t>
      </w:r>
      <w:r>
        <w:rPr>
          <w:rFonts w:eastAsiaTheme="minorEastAsia"/>
        </w:rPr>
        <w:noBreakHyphen/>
      </w:r>
      <w:r>
        <w:rPr>
          <w:rFonts w:eastAsiaTheme="minorEastAsia"/>
        </w:rPr>
        <w:t>15</w:t>
      </w:r>
      <w:r>
        <w:rPr>
          <w:rFonts w:eastAsiaTheme="minorEastAsia"/>
        </w:rPr>
        <w:fldChar w:fldCharType="end"/>
      </w:r>
      <w:r>
        <w:rPr>
          <w:rFonts w:hint="eastAsia" w:eastAsiaTheme="minorEastAsia"/>
        </w:rPr>
        <w:t>、</w:t>
      </w:r>
      <w:r>
        <w:rPr>
          <w:rFonts w:eastAsiaTheme="minorEastAsia"/>
        </w:rPr>
        <w:fldChar w:fldCharType="begin"/>
      </w:r>
      <w:r>
        <w:rPr>
          <w:rFonts w:eastAsiaTheme="minorEastAsia"/>
        </w:rPr>
        <w:instrText xml:space="preserve"> </w:instrText>
      </w:r>
      <w:r>
        <w:rPr>
          <w:rFonts w:hint="eastAsia" w:eastAsiaTheme="minorEastAsia"/>
        </w:rPr>
        <w:instrText xml:space="preserve">REF _Ref527751851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3.3</w:t>
      </w:r>
      <w:r>
        <w:rPr>
          <w:rFonts w:eastAsiaTheme="minorEastAsia"/>
        </w:rPr>
        <w:noBreakHyphen/>
      </w:r>
      <w:r>
        <w:rPr>
          <w:rFonts w:eastAsiaTheme="minorEastAsia"/>
        </w:rPr>
        <w:t>4</w:t>
      </w:r>
      <w:r>
        <w:rPr>
          <w:rFonts w:eastAsiaTheme="minorEastAsia"/>
        </w:rPr>
        <w:fldChar w:fldCharType="end"/>
      </w:r>
      <w:r>
        <w:rPr>
          <w:rFonts w:eastAsiaTheme="minorEastAsia"/>
        </w:rPr>
        <w:t>。</w:t>
      </w:r>
    </w:p>
    <w:p>
      <w:pPr>
        <w:pStyle w:val="18"/>
      </w:pPr>
      <w:bookmarkStart w:id="376" w:name="_Ref527751830"/>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15</w:t>
      </w:r>
      <w:r>
        <w:fldChar w:fldCharType="end"/>
      </w:r>
      <w:bookmarkEnd w:id="376"/>
      <w:r>
        <w:t xml:space="preserve"> </w:t>
      </w:r>
      <w:r>
        <w:rPr>
          <w:rFonts w:hint="eastAsia"/>
        </w:rPr>
        <w:t>声环境监测布点说明</w:t>
      </w:r>
    </w:p>
    <w:tbl>
      <w:tblPr>
        <w:tblStyle w:val="56"/>
        <w:tblW w:w="9060" w:type="dxa"/>
        <w:tblInd w:w="0" w:type="dxa"/>
        <w:tblLayout w:type="fixed"/>
        <w:tblCellMar>
          <w:top w:w="0" w:type="dxa"/>
          <w:left w:w="108" w:type="dxa"/>
          <w:bottom w:w="0" w:type="dxa"/>
          <w:right w:w="108" w:type="dxa"/>
        </w:tblCellMar>
      </w:tblPr>
      <w:tblGrid>
        <w:gridCol w:w="1150"/>
        <w:gridCol w:w="1112"/>
        <w:gridCol w:w="1133"/>
        <w:gridCol w:w="303"/>
        <w:gridCol w:w="5362"/>
      </w:tblGrid>
      <w:tr>
        <w:tblPrEx>
          <w:tblLayout w:type="fixed"/>
          <w:tblCellMar>
            <w:top w:w="0" w:type="dxa"/>
            <w:left w:w="108" w:type="dxa"/>
            <w:bottom w:w="0" w:type="dxa"/>
            <w:right w:w="108" w:type="dxa"/>
          </w:tblCellMar>
        </w:tblPrEx>
        <w:trPr>
          <w:trHeight w:val="342" w:hRule="atLeast"/>
        </w:trPr>
        <w:tc>
          <w:tcPr>
            <w:tcW w:w="1150" w:type="dxa"/>
            <w:vMerge w:val="restart"/>
            <w:tcBorders>
              <w:top w:val="single" w:color="000000" w:sz="4" w:space="0"/>
              <w:left w:val="single" w:color="000000" w:sz="4" w:space="0"/>
              <w:right w:val="single" w:color="000000" w:sz="4" w:space="0"/>
            </w:tcBorders>
            <w:shd w:val="clear" w:color="auto" w:fill="auto"/>
            <w:vAlign w:val="center"/>
          </w:tcPr>
          <w:p>
            <w:pPr>
              <w:pStyle w:val="107"/>
              <w:rPr>
                <w:b/>
              </w:rPr>
            </w:pPr>
            <w:bookmarkStart w:id="377" w:name="_Toc331536178"/>
            <w:r>
              <w:rPr>
                <w:rFonts w:hint="eastAsia"/>
                <w:b/>
              </w:rPr>
              <w:t>监测点布设</w:t>
            </w:r>
          </w:p>
        </w:tc>
        <w:tc>
          <w:tcPr>
            <w:tcW w:w="1112" w:type="dxa"/>
            <w:vMerge w:val="restart"/>
            <w:tcBorders>
              <w:top w:val="single" w:color="000000" w:sz="4" w:space="0"/>
              <w:left w:val="single" w:color="000000" w:sz="4" w:space="0"/>
              <w:right w:val="single" w:color="000000" w:sz="4" w:space="0"/>
            </w:tcBorders>
            <w:shd w:val="clear" w:color="auto" w:fill="auto"/>
            <w:vAlign w:val="center"/>
          </w:tcPr>
          <w:p>
            <w:pPr>
              <w:pStyle w:val="107"/>
              <w:rPr>
                <w:b/>
              </w:rPr>
            </w:pPr>
            <w:r>
              <w:rPr>
                <w:rFonts w:hint="eastAsia"/>
                <w:b/>
              </w:rPr>
              <w:t>采样点位置</w:t>
            </w:r>
          </w:p>
        </w:tc>
        <w:tc>
          <w:tcPr>
            <w:tcW w:w="1436" w:type="dxa"/>
            <w:gridSpan w:val="2"/>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编号</w:t>
            </w:r>
          </w:p>
        </w:tc>
        <w:tc>
          <w:tcPr>
            <w:tcW w:w="5362"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监测点位置</w:t>
            </w:r>
          </w:p>
        </w:tc>
      </w:tr>
      <w:tr>
        <w:tblPrEx>
          <w:tblLayout w:type="fixed"/>
          <w:tblCellMar>
            <w:top w:w="0" w:type="dxa"/>
            <w:left w:w="108" w:type="dxa"/>
            <w:bottom w:w="0" w:type="dxa"/>
            <w:right w:w="108" w:type="dxa"/>
          </w:tblCellMar>
        </w:tblPrEx>
        <w:trPr>
          <w:trHeight w:val="342" w:hRule="atLeast"/>
        </w:trPr>
        <w:tc>
          <w:tcPr>
            <w:tcW w:w="1150" w:type="dxa"/>
            <w:vMerge w:val="continue"/>
            <w:tcBorders>
              <w:left w:val="single" w:color="000000" w:sz="4" w:space="0"/>
              <w:right w:val="single" w:color="000000" w:sz="4" w:space="0"/>
            </w:tcBorders>
            <w:vAlign w:val="center"/>
          </w:tcPr>
          <w:p>
            <w:pPr>
              <w:pStyle w:val="107"/>
              <w:rPr>
                <w:b/>
              </w:rPr>
            </w:pPr>
          </w:p>
        </w:tc>
        <w:tc>
          <w:tcPr>
            <w:tcW w:w="1112" w:type="dxa"/>
            <w:vMerge w:val="continue"/>
            <w:tcBorders>
              <w:left w:val="single" w:color="000000" w:sz="4" w:space="0"/>
              <w:right w:val="single" w:color="000000" w:sz="4" w:space="0"/>
            </w:tcBorders>
            <w:vAlign w:val="center"/>
          </w:tcPr>
          <w:p>
            <w:pPr>
              <w:pStyle w:val="107"/>
              <w:rPr>
                <w:b/>
              </w:rPr>
            </w:pPr>
          </w:p>
        </w:tc>
        <w:tc>
          <w:tcPr>
            <w:tcW w:w="1436" w:type="dxa"/>
            <w:gridSpan w:val="2"/>
            <w:tcBorders>
              <w:top w:val="single" w:color="000000" w:sz="4" w:space="0"/>
              <w:left w:val="nil"/>
              <w:bottom w:val="single" w:color="000000" w:sz="4" w:space="0"/>
              <w:right w:val="single" w:color="000000" w:sz="4" w:space="0"/>
            </w:tcBorders>
            <w:shd w:val="clear" w:color="auto" w:fill="auto"/>
            <w:vAlign w:val="center"/>
          </w:tcPr>
          <w:p>
            <w:pPr>
              <w:pStyle w:val="107"/>
            </w:pPr>
            <w:r>
              <w:t>N1</w:t>
            </w:r>
          </w:p>
        </w:tc>
        <w:tc>
          <w:tcPr>
            <w:tcW w:w="5362" w:type="dxa"/>
            <w:tcBorders>
              <w:top w:val="single" w:color="000000" w:sz="4" w:space="0"/>
              <w:left w:val="nil"/>
              <w:bottom w:val="single" w:color="000000" w:sz="4" w:space="0"/>
              <w:right w:val="single" w:color="000000" w:sz="4" w:space="0"/>
            </w:tcBorders>
            <w:shd w:val="clear" w:color="auto" w:fill="auto"/>
            <w:vAlign w:val="center"/>
          </w:tcPr>
          <w:p>
            <w:pPr>
              <w:pStyle w:val="107"/>
              <w:rPr>
                <w:color w:val="000000"/>
                <w:sz w:val="20"/>
                <w:szCs w:val="20"/>
              </w:rPr>
            </w:pPr>
            <w:r>
              <w:rPr>
                <w:rFonts w:hint="eastAsia"/>
              </w:rPr>
              <w:t>项目所在地边界外东北</w:t>
            </w:r>
            <w:r>
              <w:t>1m</w:t>
            </w:r>
            <w:r>
              <w:rPr>
                <w:rFonts w:hint="eastAsia"/>
              </w:rPr>
              <w:t>处</w:t>
            </w:r>
          </w:p>
        </w:tc>
      </w:tr>
      <w:tr>
        <w:tblPrEx>
          <w:tblLayout w:type="fixed"/>
          <w:tblCellMar>
            <w:top w:w="0" w:type="dxa"/>
            <w:left w:w="108" w:type="dxa"/>
            <w:bottom w:w="0" w:type="dxa"/>
            <w:right w:w="108" w:type="dxa"/>
          </w:tblCellMar>
        </w:tblPrEx>
        <w:trPr>
          <w:trHeight w:val="342" w:hRule="atLeast"/>
        </w:trPr>
        <w:tc>
          <w:tcPr>
            <w:tcW w:w="1150" w:type="dxa"/>
            <w:vMerge w:val="continue"/>
            <w:tcBorders>
              <w:left w:val="single" w:color="000000" w:sz="4" w:space="0"/>
              <w:right w:val="single" w:color="000000" w:sz="4" w:space="0"/>
            </w:tcBorders>
            <w:vAlign w:val="center"/>
          </w:tcPr>
          <w:p>
            <w:pPr>
              <w:pStyle w:val="107"/>
              <w:rPr>
                <w:b/>
              </w:rPr>
            </w:pPr>
          </w:p>
        </w:tc>
        <w:tc>
          <w:tcPr>
            <w:tcW w:w="1112" w:type="dxa"/>
            <w:vMerge w:val="continue"/>
            <w:tcBorders>
              <w:left w:val="single" w:color="000000" w:sz="4" w:space="0"/>
              <w:right w:val="single" w:color="000000" w:sz="4" w:space="0"/>
            </w:tcBorders>
            <w:vAlign w:val="center"/>
          </w:tcPr>
          <w:p>
            <w:pPr>
              <w:pStyle w:val="107"/>
              <w:rPr>
                <w:b/>
              </w:rPr>
            </w:pPr>
          </w:p>
        </w:tc>
        <w:tc>
          <w:tcPr>
            <w:tcW w:w="1436" w:type="dxa"/>
            <w:gridSpan w:val="2"/>
            <w:tcBorders>
              <w:top w:val="single" w:color="000000" w:sz="4" w:space="0"/>
              <w:left w:val="nil"/>
              <w:bottom w:val="single" w:color="000000" w:sz="4" w:space="0"/>
              <w:right w:val="single" w:color="000000" w:sz="4" w:space="0"/>
            </w:tcBorders>
            <w:shd w:val="clear" w:color="auto" w:fill="auto"/>
            <w:vAlign w:val="center"/>
          </w:tcPr>
          <w:p>
            <w:pPr>
              <w:pStyle w:val="107"/>
            </w:pPr>
            <w:r>
              <w:t>N2</w:t>
            </w:r>
          </w:p>
        </w:tc>
        <w:tc>
          <w:tcPr>
            <w:tcW w:w="5362" w:type="dxa"/>
            <w:tcBorders>
              <w:top w:val="single" w:color="000000" w:sz="4" w:space="0"/>
              <w:left w:val="nil"/>
              <w:bottom w:val="single" w:color="000000" w:sz="4" w:space="0"/>
              <w:right w:val="single" w:color="000000" w:sz="4" w:space="0"/>
            </w:tcBorders>
            <w:shd w:val="clear" w:color="auto" w:fill="auto"/>
            <w:vAlign w:val="center"/>
          </w:tcPr>
          <w:p>
            <w:pPr>
              <w:pStyle w:val="107"/>
              <w:rPr>
                <w:color w:val="000000"/>
                <w:sz w:val="20"/>
                <w:szCs w:val="20"/>
              </w:rPr>
            </w:pPr>
            <w:r>
              <w:rPr>
                <w:rFonts w:hint="eastAsia"/>
              </w:rPr>
              <w:t>项目所在地边界外西北</w:t>
            </w:r>
            <w:r>
              <w:t>1m</w:t>
            </w:r>
            <w:r>
              <w:rPr>
                <w:rFonts w:hint="eastAsia"/>
              </w:rPr>
              <w:t>处</w:t>
            </w:r>
          </w:p>
        </w:tc>
      </w:tr>
      <w:tr>
        <w:tblPrEx>
          <w:tblLayout w:type="fixed"/>
          <w:tblCellMar>
            <w:top w:w="0" w:type="dxa"/>
            <w:left w:w="108" w:type="dxa"/>
            <w:bottom w:w="0" w:type="dxa"/>
            <w:right w:w="108" w:type="dxa"/>
          </w:tblCellMar>
        </w:tblPrEx>
        <w:trPr>
          <w:trHeight w:val="342" w:hRule="atLeast"/>
        </w:trPr>
        <w:tc>
          <w:tcPr>
            <w:tcW w:w="1150" w:type="dxa"/>
            <w:vMerge w:val="continue"/>
            <w:tcBorders>
              <w:left w:val="single" w:color="000000" w:sz="4" w:space="0"/>
              <w:right w:val="single" w:color="000000" w:sz="4" w:space="0"/>
            </w:tcBorders>
            <w:vAlign w:val="center"/>
          </w:tcPr>
          <w:p>
            <w:pPr>
              <w:pStyle w:val="107"/>
              <w:rPr>
                <w:b/>
              </w:rPr>
            </w:pPr>
          </w:p>
        </w:tc>
        <w:tc>
          <w:tcPr>
            <w:tcW w:w="1112" w:type="dxa"/>
            <w:vMerge w:val="continue"/>
            <w:tcBorders>
              <w:left w:val="single" w:color="000000" w:sz="4" w:space="0"/>
              <w:right w:val="single" w:color="000000" w:sz="4" w:space="0"/>
            </w:tcBorders>
            <w:vAlign w:val="center"/>
          </w:tcPr>
          <w:p>
            <w:pPr>
              <w:pStyle w:val="107"/>
              <w:rPr>
                <w:b/>
              </w:rPr>
            </w:pPr>
          </w:p>
        </w:tc>
        <w:tc>
          <w:tcPr>
            <w:tcW w:w="1436" w:type="dxa"/>
            <w:gridSpan w:val="2"/>
            <w:tcBorders>
              <w:top w:val="single" w:color="000000" w:sz="4" w:space="0"/>
              <w:left w:val="nil"/>
              <w:bottom w:val="single" w:color="000000" w:sz="4" w:space="0"/>
              <w:right w:val="single" w:color="000000" w:sz="4" w:space="0"/>
            </w:tcBorders>
            <w:shd w:val="clear" w:color="auto" w:fill="auto"/>
            <w:vAlign w:val="center"/>
          </w:tcPr>
          <w:p>
            <w:pPr>
              <w:pStyle w:val="107"/>
            </w:pPr>
            <w:r>
              <w:t>N3</w:t>
            </w:r>
          </w:p>
        </w:tc>
        <w:tc>
          <w:tcPr>
            <w:tcW w:w="5362" w:type="dxa"/>
            <w:tcBorders>
              <w:top w:val="single" w:color="000000" w:sz="4" w:space="0"/>
              <w:left w:val="nil"/>
              <w:bottom w:val="single" w:color="000000" w:sz="4" w:space="0"/>
              <w:right w:val="single" w:color="000000" w:sz="4" w:space="0"/>
            </w:tcBorders>
            <w:shd w:val="clear" w:color="auto" w:fill="auto"/>
            <w:vAlign w:val="center"/>
          </w:tcPr>
          <w:p>
            <w:pPr>
              <w:pStyle w:val="107"/>
              <w:rPr>
                <w:color w:val="000000"/>
                <w:sz w:val="20"/>
                <w:szCs w:val="20"/>
              </w:rPr>
            </w:pPr>
            <w:r>
              <w:rPr>
                <w:rFonts w:hint="eastAsia"/>
              </w:rPr>
              <w:t>项目所在地边界外西南</w:t>
            </w:r>
            <w:r>
              <w:t>1m</w:t>
            </w:r>
            <w:r>
              <w:rPr>
                <w:rFonts w:hint="eastAsia"/>
              </w:rPr>
              <w:t>处</w:t>
            </w:r>
          </w:p>
        </w:tc>
      </w:tr>
      <w:tr>
        <w:tblPrEx>
          <w:tblLayout w:type="fixed"/>
          <w:tblCellMar>
            <w:top w:w="0" w:type="dxa"/>
            <w:left w:w="108" w:type="dxa"/>
            <w:bottom w:w="0" w:type="dxa"/>
            <w:right w:w="108" w:type="dxa"/>
          </w:tblCellMar>
        </w:tblPrEx>
        <w:trPr>
          <w:trHeight w:val="342" w:hRule="atLeast"/>
        </w:trPr>
        <w:tc>
          <w:tcPr>
            <w:tcW w:w="1150" w:type="dxa"/>
            <w:vMerge w:val="continue"/>
            <w:tcBorders>
              <w:left w:val="single" w:color="000000" w:sz="4" w:space="0"/>
              <w:right w:val="single" w:color="000000" w:sz="4" w:space="0"/>
            </w:tcBorders>
            <w:vAlign w:val="center"/>
          </w:tcPr>
          <w:p>
            <w:pPr>
              <w:pStyle w:val="107"/>
              <w:rPr>
                <w:b/>
              </w:rPr>
            </w:pPr>
          </w:p>
        </w:tc>
        <w:tc>
          <w:tcPr>
            <w:tcW w:w="1112" w:type="dxa"/>
            <w:vMerge w:val="continue"/>
            <w:tcBorders>
              <w:left w:val="single" w:color="000000" w:sz="4" w:space="0"/>
              <w:right w:val="single" w:color="000000" w:sz="4" w:space="0"/>
            </w:tcBorders>
            <w:vAlign w:val="center"/>
          </w:tcPr>
          <w:p>
            <w:pPr>
              <w:pStyle w:val="107"/>
              <w:rPr>
                <w:b/>
              </w:rPr>
            </w:pPr>
          </w:p>
        </w:tc>
        <w:tc>
          <w:tcPr>
            <w:tcW w:w="1436" w:type="dxa"/>
            <w:gridSpan w:val="2"/>
            <w:tcBorders>
              <w:top w:val="single" w:color="000000" w:sz="4" w:space="0"/>
              <w:left w:val="nil"/>
              <w:bottom w:val="single" w:color="000000" w:sz="4" w:space="0"/>
              <w:right w:val="single" w:color="000000" w:sz="4" w:space="0"/>
            </w:tcBorders>
            <w:shd w:val="clear" w:color="auto" w:fill="auto"/>
            <w:vAlign w:val="center"/>
          </w:tcPr>
          <w:p>
            <w:pPr>
              <w:pStyle w:val="107"/>
            </w:pPr>
            <w:r>
              <w:t>N4</w:t>
            </w:r>
          </w:p>
        </w:tc>
        <w:tc>
          <w:tcPr>
            <w:tcW w:w="5362" w:type="dxa"/>
            <w:tcBorders>
              <w:top w:val="single" w:color="000000" w:sz="4" w:space="0"/>
              <w:left w:val="nil"/>
              <w:bottom w:val="single" w:color="000000" w:sz="4" w:space="0"/>
              <w:right w:val="single" w:color="000000" w:sz="4" w:space="0"/>
            </w:tcBorders>
            <w:shd w:val="clear" w:color="auto" w:fill="auto"/>
            <w:vAlign w:val="center"/>
          </w:tcPr>
          <w:p>
            <w:pPr>
              <w:pStyle w:val="107"/>
              <w:rPr>
                <w:color w:val="000000"/>
                <w:sz w:val="20"/>
                <w:szCs w:val="20"/>
              </w:rPr>
            </w:pPr>
            <w:r>
              <w:rPr>
                <w:rFonts w:hint="eastAsia"/>
              </w:rPr>
              <w:t>项目所在地边界外东南</w:t>
            </w:r>
            <w:r>
              <w:t>1m</w:t>
            </w:r>
            <w:r>
              <w:rPr>
                <w:rFonts w:hint="eastAsia"/>
              </w:rPr>
              <w:t>处</w:t>
            </w:r>
          </w:p>
        </w:tc>
      </w:tr>
      <w:tr>
        <w:tblPrEx>
          <w:tblLayout w:type="fixed"/>
          <w:tblCellMar>
            <w:top w:w="0" w:type="dxa"/>
            <w:left w:w="108" w:type="dxa"/>
            <w:bottom w:w="0" w:type="dxa"/>
            <w:right w:w="108" w:type="dxa"/>
          </w:tblCellMar>
        </w:tblPrEx>
        <w:trPr>
          <w:trHeight w:val="342" w:hRule="atLeast"/>
        </w:trPr>
        <w:tc>
          <w:tcPr>
            <w:tcW w:w="1150" w:type="dxa"/>
            <w:vMerge w:val="continue"/>
            <w:tcBorders>
              <w:left w:val="single" w:color="000000" w:sz="4" w:space="0"/>
              <w:bottom w:val="single" w:color="000000" w:sz="4" w:space="0"/>
              <w:right w:val="single" w:color="000000" w:sz="4" w:space="0"/>
            </w:tcBorders>
            <w:vAlign w:val="center"/>
          </w:tcPr>
          <w:p>
            <w:pPr>
              <w:pStyle w:val="107"/>
              <w:rPr>
                <w:b/>
              </w:rPr>
            </w:pPr>
          </w:p>
        </w:tc>
        <w:tc>
          <w:tcPr>
            <w:tcW w:w="1112" w:type="dxa"/>
            <w:vMerge w:val="continue"/>
            <w:tcBorders>
              <w:left w:val="single" w:color="000000" w:sz="4" w:space="0"/>
              <w:bottom w:val="single" w:color="000000" w:sz="4" w:space="0"/>
              <w:right w:val="single" w:color="000000" w:sz="4" w:space="0"/>
            </w:tcBorders>
            <w:vAlign w:val="center"/>
          </w:tcPr>
          <w:p>
            <w:pPr>
              <w:pStyle w:val="107"/>
              <w:rPr>
                <w:b/>
              </w:rPr>
            </w:pPr>
          </w:p>
        </w:tc>
        <w:tc>
          <w:tcPr>
            <w:tcW w:w="1436" w:type="dxa"/>
            <w:gridSpan w:val="2"/>
            <w:tcBorders>
              <w:top w:val="single" w:color="000000" w:sz="4" w:space="0"/>
              <w:left w:val="nil"/>
              <w:bottom w:val="single" w:color="000000" w:sz="4" w:space="0"/>
              <w:right w:val="single" w:color="000000" w:sz="4" w:space="0"/>
            </w:tcBorders>
            <w:shd w:val="clear" w:color="auto" w:fill="auto"/>
            <w:vAlign w:val="center"/>
          </w:tcPr>
          <w:p>
            <w:pPr>
              <w:pStyle w:val="107"/>
            </w:pPr>
            <w:r>
              <w:t>N5</w:t>
            </w:r>
          </w:p>
        </w:tc>
        <w:tc>
          <w:tcPr>
            <w:tcW w:w="5362"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下莲塘</w:t>
            </w:r>
          </w:p>
        </w:tc>
      </w:tr>
      <w:tr>
        <w:tblPrEx>
          <w:tblLayout w:type="fixed"/>
          <w:tblCellMar>
            <w:top w:w="0" w:type="dxa"/>
            <w:left w:w="108" w:type="dxa"/>
            <w:bottom w:w="0" w:type="dxa"/>
            <w:right w:w="108" w:type="dxa"/>
          </w:tblCellMar>
        </w:tblPrEx>
        <w:trPr>
          <w:trHeight w:val="342" w:hRule="atLeast"/>
        </w:trPr>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b/>
              </w:rPr>
            </w:pPr>
            <w:r>
              <w:rPr>
                <w:rFonts w:hint="eastAsia"/>
                <w:b/>
              </w:rPr>
              <w:t>监测项目</w:t>
            </w:r>
          </w:p>
        </w:tc>
        <w:tc>
          <w:tcPr>
            <w:tcW w:w="1112" w:type="dxa"/>
            <w:tcBorders>
              <w:top w:val="single" w:color="000000" w:sz="4" w:space="0"/>
              <w:left w:val="nil"/>
              <w:bottom w:val="single" w:color="000000" w:sz="4" w:space="0"/>
              <w:right w:val="single" w:color="000000" w:sz="4" w:space="0"/>
            </w:tcBorders>
            <w:shd w:val="clear" w:color="auto" w:fill="auto"/>
            <w:vAlign w:val="center"/>
          </w:tcPr>
          <w:p>
            <w:pPr>
              <w:pStyle w:val="107"/>
              <w:rPr>
                <w:b/>
              </w:rPr>
            </w:pPr>
            <w:r>
              <w:rPr>
                <w:rFonts w:hint="eastAsia"/>
                <w:b/>
              </w:rPr>
              <w:t>噪声</w:t>
            </w:r>
          </w:p>
        </w:tc>
        <w:tc>
          <w:tcPr>
            <w:tcW w:w="6798" w:type="dxa"/>
            <w:gridSpan w:val="3"/>
            <w:tcBorders>
              <w:top w:val="single" w:color="000000" w:sz="4" w:space="0"/>
              <w:left w:val="nil"/>
              <w:bottom w:val="single" w:color="000000" w:sz="4" w:space="0"/>
              <w:right w:val="single" w:color="000000" w:sz="4" w:space="0"/>
            </w:tcBorders>
            <w:shd w:val="clear" w:color="auto" w:fill="auto"/>
            <w:vAlign w:val="center"/>
          </w:tcPr>
          <w:p>
            <w:pPr>
              <w:pStyle w:val="107"/>
              <w:rPr>
                <w:color w:val="000000"/>
                <w:sz w:val="20"/>
                <w:szCs w:val="20"/>
              </w:rPr>
            </w:pPr>
            <w:r>
              <w:rPr>
                <w:rFonts w:hint="eastAsia"/>
              </w:rPr>
              <w:t>连续等效A声级</w:t>
            </w:r>
            <w:r>
              <w:t>Leq</w:t>
            </w:r>
            <w:r>
              <w:rPr>
                <w:rFonts w:hint="eastAsia"/>
              </w:rPr>
              <w:t>（</w:t>
            </w:r>
            <w:r>
              <w:t>A</w:t>
            </w:r>
            <w:r>
              <w:rPr>
                <w:rFonts w:hint="eastAsia"/>
              </w:rPr>
              <w:t>）</w:t>
            </w:r>
          </w:p>
        </w:tc>
      </w:tr>
      <w:tr>
        <w:tblPrEx>
          <w:tblLayout w:type="fixed"/>
          <w:tblCellMar>
            <w:top w:w="0" w:type="dxa"/>
            <w:left w:w="108" w:type="dxa"/>
            <w:bottom w:w="0" w:type="dxa"/>
            <w:right w:w="108" w:type="dxa"/>
          </w:tblCellMar>
        </w:tblPrEx>
        <w:trPr>
          <w:trHeight w:val="342" w:hRule="atLeast"/>
        </w:trPr>
        <w:tc>
          <w:tcPr>
            <w:tcW w:w="11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b/>
              </w:rPr>
            </w:pPr>
            <w:r>
              <w:rPr>
                <w:rFonts w:hint="eastAsia"/>
                <w:b/>
              </w:rPr>
              <w:t>采样时间和频次</w:t>
            </w:r>
          </w:p>
        </w:tc>
        <w:tc>
          <w:tcPr>
            <w:tcW w:w="1112" w:type="dxa"/>
            <w:tcBorders>
              <w:top w:val="single" w:color="000000" w:sz="4" w:space="0"/>
              <w:left w:val="nil"/>
              <w:bottom w:val="single" w:color="000000" w:sz="4" w:space="0"/>
              <w:right w:val="single" w:color="000000" w:sz="4" w:space="0"/>
            </w:tcBorders>
            <w:shd w:val="clear" w:color="auto" w:fill="auto"/>
            <w:vAlign w:val="center"/>
          </w:tcPr>
          <w:p>
            <w:pPr>
              <w:pStyle w:val="107"/>
              <w:rPr>
                <w:b/>
              </w:rPr>
            </w:pPr>
            <w:r>
              <w:rPr>
                <w:rFonts w:hint="eastAsia"/>
                <w:b/>
              </w:rPr>
              <w:t>采样频次</w:t>
            </w:r>
          </w:p>
        </w:tc>
        <w:tc>
          <w:tcPr>
            <w:tcW w:w="6798" w:type="dxa"/>
            <w:gridSpan w:val="3"/>
            <w:tcBorders>
              <w:top w:val="single" w:color="000000" w:sz="4" w:space="0"/>
              <w:left w:val="nil"/>
              <w:bottom w:val="single" w:color="000000" w:sz="4" w:space="0"/>
              <w:right w:val="single" w:color="000000" w:sz="4" w:space="0"/>
            </w:tcBorders>
            <w:shd w:val="clear" w:color="auto" w:fill="auto"/>
            <w:vAlign w:val="center"/>
          </w:tcPr>
          <w:p>
            <w:pPr>
              <w:pStyle w:val="107"/>
              <w:rPr>
                <w:color w:val="000000"/>
                <w:sz w:val="20"/>
                <w:szCs w:val="20"/>
              </w:rPr>
            </w:pPr>
            <w:r>
              <w:rPr>
                <w:rFonts w:hint="eastAsia"/>
              </w:rPr>
              <w:t>连续监测</w:t>
            </w:r>
            <w:r>
              <w:t>2</w:t>
            </w:r>
            <w:r>
              <w:rPr>
                <w:rFonts w:hint="eastAsia"/>
              </w:rPr>
              <w:t>天，每天昼夜各监测</w:t>
            </w:r>
            <w:r>
              <w:t>1</w:t>
            </w:r>
            <w:r>
              <w:rPr>
                <w:rFonts w:hint="eastAsia"/>
              </w:rPr>
              <w:t>次</w:t>
            </w:r>
          </w:p>
        </w:tc>
      </w:tr>
      <w:tr>
        <w:tblPrEx>
          <w:tblLayout w:type="fixed"/>
          <w:tblCellMar>
            <w:top w:w="0" w:type="dxa"/>
            <w:left w:w="108" w:type="dxa"/>
            <w:bottom w:w="0" w:type="dxa"/>
            <w:right w:w="108" w:type="dxa"/>
          </w:tblCellMar>
        </w:tblPrEx>
        <w:trPr>
          <w:trHeight w:val="342" w:hRule="atLeast"/>
        </w:trPr>
        <w:tc>
          <w:tcPr>
            <w:tcW w:w="1150"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b/>
              </w:rPr>
            </w:pPr>
          </w:p>
        </w:tc>
        <w:tc>
          <w:tcPr>
            <w:tcW w:w="111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b/>
              </w:rPr>
            </w:pPr>
            <w:r>
              <w:rPr>
                <w:rFonts w:hint="eastAsia"/>
                <w:b/>
              </w:rPr>
              <w:t>采样时间</w:t>
            </w:r>
          </w:p>
        </w:tc>
        <w:tc>
          <w:tcPr>
            <w:tcW w:w="1133"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昼间</w:t>
            </w:r>
          </w:p>
        </w:tc>
        <w:tc>
          <w:tcPr>
            <w:tcW w:w="5665"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color w:val="000000"/>
                <w:sz w:val="20"/>
                <w:szCs w:val="20"/>
              </w:rPr>
            </w:pPr>
            <w:r>
              <w:t>06:00</w:t>
            </w:r>
            <w:r>
              <w:rPr>
                <w:rFonts w:hint="eastAsia"/>
              </w:rPr>
              <w:t>～</w:t>
            </w:r>
            <w:r>
              <w:t>22:00</w:t>
            </w:r>
          </w:p>
        </w:tc>
      </w:tr>
      <w:tr>
        <w:tblPrEx>
          <w:tblLayout w:type="fixed"/>
          <w:tblCellMar>
            <w:top w:w="0" w:type="dxa"/>
            <w:left w:w="108" w:type="dxa"/>
            <w:bottom w:w="0" w:type="dxa"/>
            <w:right w:w="108" w:type="dxa"/>
          </w:tblCellMar>
        </w:tblPrEx>
        <w:trPr>
          <w:trHeight w:val="342" w:hRule="atLeast"/>
        </w:trPr>
        <w:tc>
          <w:tcPr>
            <w:tcW w:w="1150"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b/>
              </w:rPr>
            </w:pPr>
          </w:p>
        </w:tc>
        <w:tc>
          <w:tcPr>
            <w:tcW w:w="1112" w:type="dxa"/>
            <w:vMerge w:val="continue"/>
            <w:tcBorders>
              <w:top w:val="single" w:color="000000" w:sz="4" w:space="0"/>
              <w:left w:val="single" w:color="000000" w:sz="4" w:space="0"/>
              <w:bottom w:val="single" w:color="000000" w:sz="4" w:space="0"/>
              <w:right w:val="single" w:color="000000" w:sz="4" w:space="0"/>
            </w:tcBorders>
            <w:vAlign w:val="center"/>
          </w:tcPr>
          <w:p>
            <w:pPr>
              <w:pStyle w:val="107"/>
              <w:rPr>
                <w:b/>
              </w:rPr>
            </w:pPr>
          </w:p>
        </w:tc>
        <w:tc>
          <w:tcPr>
            <w:tcW w:w="1133" w:type="dxa"/>
            <w:tcBorders>
              <w:top w:val="single" w:color="000000" w:sz="4" w:space="0"/>
              <w:left w:val="nil"/>
              <w:bottom w:val="single" w:color="000000" w:sz="4" w:space="0"/>
              <w:right w:val="single" w:color="000000" w:sz="4" w:space="0"/>
            </w:tcBorders>
            <w:shd w:val="clear" w:color="auto" w:fill="auto"/>
            <w:vAlign w:val="center"/>
          </w:tcPr>
          <w:p>
            <w:pPr>
              <w:pStyle w:val="107"/>
            </w:pPr>
            <w:r>
              <w:rPr>
                <w:rFonts w:hint="eastAsia"/>
              </w:rPr>
              <w:t>夜间</w:t>
            </w:r>
          </w:p>
        </w:tc>
        <w:tc>
          <w:tcPr>
            <w:tcW w:w="5665" w:type="dxa"/>
            <w:gridSpan w:val="2"/>
            <w:tcBorders>
              <w:top w:val="single" w:color="000000" w:sz="4" w:space="0"/>
              <w:left w:val="nil"/>
              <w:bottom w:val="single" w:color="000000" w:sz="4" w:space="0"/>
              <w:right w:val="single" w:color="000000" w:sz="4" w:space="0"/>
            </w:tcBorders>
            <w:shd w:val="clear" w:color="auto" w:fill="auto"/>
            <w:vAlign w:val="center"/>
          </w:tcPr>
          <w:p>
            <w:pPr>
              <w:pStyle w:val="107"/>
              <w:rPr>
                <w:color w:val="000000"/>
                <w:sz w:val="20"/>
                <w:szCs w:val="20"/>
              </w:rPr>
            </w:pPr>
            <w:r>
              <w:t>22:00</w:t>
            </w:r>
            <w:r>
              <w:rPr>
                <w:rFonts w:hint="eastAsia"/>
              </w:rPr>
              <w:t>～</w:t>
            </w:r>
            <w:r>
              <w:t>06:00</w:t>
            </w:r>
          </w:p>
        </w:tc>
      </w:tr>
      <w:tr>
        <w:tblPrEx>
          <w:tblLayout w:type="fixed"/>
          <w:tblCellMar>
            <w:top w:w="0" w:type="dxa"/>
            <w:left w:w="108" w:type="dxa"/>
            <w:bottom w:w="0" w:type="dxa"/>
            <w:right w:w="108" w:type="dxa"/>
          </w:tblCellMar>
        </w:tblPrEx>
        <w:trPr>
          <w:trHeight w:val="342" w:hRule="atLeast"/>
        </w:trPr>
        <w:tc>
          <w:tcPr>
            <w:tcW w:w="226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rPr>
                <w:b/>
              </w:rPr>
            </w:pPr>
            <w:r>
              <w:rPr>
                <w:rFonts w:hint="eastAsia"/>
                <w:b/>
              </w:rPr>
              <w:t>采样日期</w:t>
            </w:r>
          </w:p>
        </w:tc>
        <w:tc>
          <w:tcPr>
            <w:tcW w:w="6798" w:type="dxa"/>
            <w:gridSpan w:val="3"/>
            <w:tcBorders>
              <w:top w:val="single" w:color="000000" w:sz="4" w:space="0"/>
              <w:left w:val="nil"/>
              <w:bottom w:val="single" w:color="000000" w:sz="4" w:space="0"/>
              <w:right w:val="single" w:color="000000" w:sz="4" w:space="0"/>
            </w:tcBorders>
            <w:shd w:val="clear" w:color="auto" w:fill="auto"/>
            <w:vAlign w:val="center"/>
          </w:tcPr>
          <w:p>
            <w:pPr>
              <w:pStyle w:val="107"/>
              <w:rPr>
                <w:color w:val="000000"/>
                <w:sz w:val="20"/>
                <w:szCs w:val="20"/>
              </w:rPr>
            </w:pPr>
            <w:r>
              <w:t>2019</w:t>
            </w:r>
            <w:r>
              <w:rPr>
                <w:rFonts w:hint="eastAsia"/>
              </w:rPr>
              <w:t>年</w:t>
            </w:r>
            <w:r>
              <w:t>4</w:t>
            </w:r>
            <w:r>
              <w:rPr>
                <w:rFonts w:hint="eastAsia"/>
              </w:rPr>
              <w:t>月</w:t>
            </w:r>
            <w:r>
              <w:t>25</w:t>
            </w:r>
            <w:r>
              <w:rPr>
                <w:rFonts w:hint="eastAsia"/>
              </w:rPr>
              <w:t>日</w:t>
            </w:r>
            <w:r>
              <w:t>~4</w:t>
            </w:r>
            <w:r>
              <w:rPr>
                <w:rFonts w:hint="eastAsia"/>
              </w:rPr>
              <w:t>月</w:t>
            </w:r>
            <w:r>
              <w:t>26</w:t>
            </w:r>
            <w:r>
              <w:rPr>
                <w:rFonts w:hint="eastAsia"/>
              </w:rPr>
              <w:t>日</w:t>
            </w:r>
          </w:p>
        </w:tc>
      </w:tr>
      <w:bookmarkEnd w:id="377"/>
    </w:tbl>
    <w:p>
      <w:pPr>
        <w:pStyle w:val="126"/>
        <w:numPr>
          <w:ilvl w:val="0"/>
          <w:numId w:val="46"/>
        </w:numPr>
        <w:ind w:firstLine="482"/>
        <w:rPr>
          <w:rFonts w:eastAsiaTheme="minorEastAsia"/>
        </w:rPr>
      </w:pPr>
      <w:bookmarkStart w:id="378" w:name="_Toc147119969"/>
      <w:bookmarkStart w:id="379" w:name="_Toc79213516"/>
      <w:bookmarkStart w:id="380" w:name="_Toc79812546"/>
      <w:bookmarkStart w:id="381" w:name="_Toc92651396"/>
      <w:bookmarkStart w:id="382" w:name="_Toc82771233"/>
      <w:bookmarkStart w:id="383" w:name="_Toc331536179"/>
      <w:r>
        <w:rPr>
          <w:rFonts w:eastAsiaTheme="minorEastAsia"/>
        </w:rPr>
        <w:t>监测方法</w:t>
      </w:r>
      <w:bookmarkEnd w:id="378"/>
      <w:bookmarkEnd w:id="379"/>
      <w:bookmarkEnd w:id="380"/>
      <w:bookmarkEnd w:id="381"/>
      <w:bookmarkEnd w:id="382"/>
      <w:bookmarkEnd w:id="383"/>
    </w:p>
    <w:p>
      <w:pPr>
        <w:ind w:firstLine="480"/>
        <w:rPr>
          <w:rFonts w:eastAsiaTheme="minorEastAsia"/>
        </w:rPr>
      </w:pPr>
      <w:r>
        <w:rPr>
          <w:rFonts w:eastAsiaTheme="minorEastAsia"/>
        </w:rPr>
        <w:t>监测方法与数据处理</w:t>
      </w:r>
      <w:r>
        <w:rPr>
          <w:rFonts w:hint="eastAsia" w:eastAsiaTheme="minorEastAsia"/>
        </w:rPr>
        <w:t>按《环境影响评价技术导则声环境》（HJ 2.4-2009）、《工业企业厂界环境噪声排放标准》（GB 12348-2008）及《声环境质量标准》（GB 3096-2008）中的有关规定</w:t>
      </w:r>
      <w:r>
        <w:rPr>
          <w:rFonts w:eastAsiaTheme="minorEastAsia"/>
        </w:rPr>
        <w:t>进行</w:t>
      </w:r>
      <w:r>
        <w:rPr>
          <w:rFonts w:hint="eastAsia" w:eastAsiaTheme="minorEastAsia"/>
        </w:rPr>
        <w:t>，监测期间天气良好，无雨、风速小于5m/s，传声器设置户外1米处，高度为1.2~1.5米。</w:t>
      </w:r>
      <w:r>
        <w:rPr>
          <w:rFonts w:eastAsiaTheme="minorEastAsia"/>
        </w:rPr>
        <w:t>各点连续监测2天，每天2次，分昼夜时段（昼间：6:00~22:00、夜间22:00~6:00），昼、夜各1次。</w:t>
      </w:r>
      <w:r>
        <w:rPr>
          <w:rFonts w:hint="eastAsia" w:eastAsiaTheme="minorEastAsia"/>
        </w:rPr>
        <w:t>同时记录监测点噪声源、环境特征。</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16</w:t>
      </w:r>
      <w:r>
        <w:fldChar w:fldCharType="end"/>
      </w:r>
      <w:r>
        <w:rPr>
          <w:rFonts w:hint="eastAsia"/>
        </w:rPr>
        <w:t>噪声监测方法</w:t>
      </w:r>
    </w:p>
    <w:tbl>
      <w:tblPr>
        <w:tblStyle w:val="56"/>
        <w:tblW w:w="90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2"/>
        <w:gridCol w:w="1180"/>
        <w:gridCol w:w="3533"/>
        <w:gridCol w:w="2064"/>
        <w:gridCol w:w="1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72" w:type="dxa"/>
            <w:tcBorders>
              <w:bottom w:val="single" w:color="auto" w:sz="4" w:space="0"/>
            </w:tcBorders>
            <w:shd w:val="clear" w:color="auto" w:fill="auto"/>
            <w:vAlign w:val="center"/>
          </w:tcPr>
          <w:p>
            <w:pPr>
              <w:pStyle w:val="107"/>
              <w:rPr>
                <w:b/>
              </w:rPr>
            </w:pPr>
            <w:r>
              <w:rPr>
                <w:b/>
              </w:rPr>
              <w:t>监测</w:t>
            </w:r>
            <w:r>
              <w:rPr>
                <w:rFonts w:hint="eastAsia"/>
                <w:b/>
              </w:rPr>
              <w:t>类别</w:t>
            </w:r>
          </w:p>
        </w:tc>
        <w:tc>
          <w:tcPr>
            <w:tcW w:w="1180" w:type="dxa"/>
            <w:tcBorders>
              <w:bottom w:val="single" w:color="auto" w:sz="4" w:space="0"/>
            </w:tcBorders>
            <w:shd w:val="clear" w:color="auto" w:fill="auto"/>
            <w:vAlign w:val="center"/>
          </w:tcPr>
          <w:p>
            <w:pPr>
              <w:pStyle w:val="107"/>
              <w:rPr>
                <w:b/>
              </w:rPr>
            </w:pPr>
            <w:r>
              <w:rPr>
                <w:b/>
              </w:rPr>
              <w:t>项目</w:t>
            </w:r>
          </w:p>
        </w:tc>
        <w:tc>
          <w:tcPr>
            <w:tcW w:w="3533" w:type="dxa"/>
            <w:tcBorders>
              <w:bottom w:val="single" w:color="auto" w:sz="4" w:space="0"/>
            </w:tcBorders>
            <w:shd w:val="clear" w:color="auto" w:fill="auto"/>
            <w:vAlign w:val="center"/>
          </w:tcPr>
          <w:p>
            <w:pPr>
              <w:pStyle w:val="107"/>
              <w:rPr>
                <w:b/>
              </w:rPr>
            </w:pPr>
            <w:r>
              <w:rPr>
                <w:rFonts w:hint="eastAsia"/>
                <w:b/>
              </w:rPr>
              <w:t>监测</w:t>
            </w:r>
            <w:r>
              <w:rPr>
                <w:b/>
              </w:rPr>
              <w:t>方法及依据</w:t>
            </w:r>
          </w:p>
        </w:tc>
        <w:tc>
          <w:tcPr>
            <w:tcW w:w="2064" w:type="dxa"/>
            <w:tcBorders>
              <w:bottom w:val="single" w:color="auto" w:sz="4" w:space="0"/>
            </w:tcBorders>
            <w:shd w:val="clear" w:color="auto" w:fill="auto"/>
            <w:vAlign w:val="center"/>
          </w:tcPr>
          <w:p>
            <w:pPr>
              <w:pStyle w:val="107"/>
              <w:rPr>
                <w:b/>
              </w:rPr>
            </w:pPr>
            <w:r>
              <w:rPr>
                <w:rFonts w:hint="eastAsia"/>
                <w:b/>
              </w:rPr>
              <w:t>使用</w:t>
            </w:r>
            <w:r>
              <w:rPr>
                <w:b/>
              </w:rPr>
              <w:t>仪器</w:t>
            </w:r>
          </w:p>
        </w:tc>
        <w:tc>
          <w:tcPr>
            <w:tcW w:w="1111" w:type="dxa"/>
            <w:tcBorders>
              <w:bottom w:val="single" w:color="auto" w:sz="4" w:space="0"/>
            </w:tcBorders>
            <w:shd w:val="clear" w:color="auto" w:fill="auto"/>
            <w:vAlign w:val="center"/>
          </w:tcPr>
          <w:p>
            <w:pPr>
              <w:pStyle w:val="107"/>
              <w:rPr>
                <w:b/>
              </w:rPr>
            </w:pPr>
            <w:r>
              <w:rPr>
                <w:b/>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172" w:type="dxa"/>
            <w:tcBorders>
              <w:bottom w:val="single" w:color="auto" w:sz="4" w:space="0"/>
            </w:tcBorders>
            <w:shd w:val="clear" w:color="auto" w:fill="FFFFFF"/>
            <w:vAlign w:val="center"/>
          </w:tcPr>
          <w:p>
            <w:pPr>
              <w:pStyle w:val="107"/>
            </w:pPr>
            <w:r>
              <w:rPr>
                <w:rFonts w:hint="eastAsia"/>
              </w:rPr>
              <w:t>噪声</w:t>
            </w:r>
          </w:p>
        </w:tc>
        <w:tc>
          <w:tcPr>
            <w:tcW w:w="1180" w:type="dxa"/>
            <w:tcBorders>
              <w:bottom w:val="single" w:color="auto" w:sz="4" w:space="0"/>
            </w:tcBorders>
            <w:shd w:val="clear" w:color="auto" w:fill="FFFFFF"/>
            <w:vAlign w:val="center"/>
          </w:tcPr>
          <w:p>
            <w:pPr>
              <w:pStyle w:val="107"/>
            </w:pPr>
            <w:r>
              <w:t>环境噪声</w:t>
            </w:r>
          </w:p>
        </w:tc>
        <w:tc>
          <w:tcPr>
            <w:tcW w:w="3533" w:type="dxa"/>
            <w:tcBorders>
              <w:bottom w:val="single" w:color="auto" w:sz="4" w:space="0"/>
            </w:tcBorders>
            <w:shd w:val="clear" w:color="auto" w:fill="FFFFFF"/>
            <w:vAlign w:val="center"/>
          </w:tcPr>
          <w:p>
            <w:pPr>
              <w:pStyle w:val="107"/>
            </w:pPr>
            <w:r>
              <w:t>声环境质量标准GB 3096－2008</w:t>
            </w:r>
          </w:p>
        </w:tc>
        <w:tc>
          <w:tcPr>
            <w:tcW w:w="2064" w:type="dxa"/>
            <w:tcBorders>
              <w:bottom w:val="single" w:color="auto" w:sz="4" w:space="0"/>
            </w:tcBorders>
            <w:shd w:val="clear" w:color="auto" w:fill="FFFFFF"/>
            <w:vAlign w:val="center"/>
          </w:tcPr>
          <w:p>
            <w:pPr>
              <w:pStyle w:val="107"/>
            </w:pPr>
            <w:r>
              <w:t>多功能声级计AWA5680</w:t>
            </w:r>
          </w:p>
        </w:tc>
        <w:tc>
          <w:tcPr>
            <w:tcW w:w="1111" w:type="dxa"/>
            <w:tcBorders>
              <w:bottom w:val="single" w:color="auto" w:sz="4" w:space="0"/>
            </w:tcBorders>
            <w:shd w:val="clear" w:color="auto" w:fill="FFFFFF"/>
            <w:vAlign w:val="center"/>
          </w:tcPr>
          <w:p>
            <w:pPr>
              <w:pStyle w:val="107"/>
            </w:pPr>
            <w:r>
              <w:t>--</w:t>
            </w:r>
          </w:p>
        </w:tc>
      </w:tr>
    </w:tbl>
    <w:p>
      <w:pPr>
        <w:pStyle w:val="6"/>
      </w:pPr>
      <w:bookmarkStart w:id="384" w:name="_Hlk3525227"/>
      <w:bookmarkStart w:id="385" w:name="_Toc79213517"/>
      <w:bookmarkStart w:id="386" w:name="_Toc331536180"/>
      <w:bookmarkStart w:id="387" w:name="_Toc147119970"/>
      <w:bookmarkStart w:id="388" w:name="_Toc92651397"/>
      <w:bookmarkStart w:id="389" w:name="_Toc79812547"/>
      <w:bookmarkStart w:id="390" w:name="_Toc82771234"/>
      <w:r>
        <w:rPr>
          <w:rFonts w:hint="eastAsia"/>
        </w:rPr>
        <w:t>声环境质量现状评价</w:t>
      </w:r>
    </w:p>
    <w:bookmarkEnd w:id="384"/>
    <w:p>
      <w:pPr>
        <w:pStyle w:val="126"/>
        <w:numPr>
          <w:ilvl w:val="0"/>
          <w:numId w:val="47"/>
        </w:numPr>
        <w:ind w:firstLine="482"/>
        <w:rPr>
          <w:rFonts w:eastAsiaTheme="minorEastAsia"/>
        </w:rPr>
      </w:pPr>
      <w:r>
        <w:rPr>
          <w:rFonts w:eastAsiaTheme="minorEastAsia"/>
        </w:rPr>
        <w:t>评价标准</w:t>
      </w:r>
      <w:bookmarkEnd w:id="385"/>
      <w:bookmarkEnd w:id="386"/>
      <w:bookmarkEnd w:id="387"/>
      <w:bookmarkEnd w:id="388"/>
      <w:bookmarkEnd w:id="389"/>
      <w:bookmarkEnd w:id="390"/>
    </w:p>
    <w:p>
      <w:pPr>
        <w:ind w:firstLine="480"/>
        <w:rPr>
          <w:rFonts w:eastAsiaTheme="minorEastAsia"/>
        </w:rPr>
      </w:pPr>
      <w:r>
        <w:rPr>
          <w:rFonts w:hint="eastAsia" w:eastAsiaTheme="minorEastAsia"/>
        </w:rPr>
        <w:t>本次评价采用</w:t>
      </w:r>
      <w:r>
        <w:rPr>
          <w:rFonts w:eastAsiaTheme="minorEastAsia"/>
        </w:rPr>
        <w:t>《声环境质量标准》（GB 3096-2008）中的</w:t>
      </w:r>
      <w:r>
        <w:rPr>
          <w:rFonts w:hint="eastAsia" w:eastAsiaTheme="minorEastAsia"/>
        </w:rPr>
        <w:t>2</w:t>
      </w:r>
      <w:r>
        <w:rPr>
          <w:rFonts w:eastAsiaTheme="minorEastAsia"/>
        </w:rPr>
        <w:t>类标准，即昼间≤6</w:t>
      </w:r>
      <w:r>
        <w:rPr>
          <w:rFonts w:hint="eastAsia" w:eastAsiaTheme="minorEastAsia"/>
        </w:rPr>
        <w:t>0</w:t>
      </w:r>
      <w:r>
        <w:rPr>
          <w:rFonts w:eastAsiaTheme="minorEastAsia"/>
        </w:rPr>
        <w:t>dB(A)，夜间≤5</w:t>
      </w:r>
      <w:r>
        <w:rPr>
          <w:rFonts w:hint="eastAsia" w:eastAsiaTheme="minorEastAsia"/>
        </w:rPr>
        <w:t>0</w:t>
      </w:r>
      <w:r>
        <w:rPr>
          <w:rFonts w:eastAsiaTheme="minorEastAsia"/>
        </w:rPr>
        <w:t>dB(A)。</w:t>
      </w:r>
    </w:p>
    <w:p>
      <w:pPr>
        <w:pStyle w:val="126"/>
        <w:numPr>
          <w:ilvl w:val="0"/>
          <w:numId w:val="46"/>
        </w:numPr>
        <w:ind w:firstLine="482"/>
        <w:rPr>
          <w:rFonts w:eastAsiaTheme="minorEastAsia"/>
        </w:rPr>
      </w:pPr>
      <w:bookmarkStart w:id="391" w:name="_Toc331536181"/>
      <w:bookmarkStart w:id="392" w:name="_Toc92651399"/>
      <w:bookmarkStart w:id="393" w:name="_Toc147119972"/>
      <w:r>
        <w:rPr>
          <w:rFonts w:hint="eastAsia" w:eastAsiaTheme="minorEastAsia"/>
        </w:rPr>
        <w:t>评价方法</w:t>
      </w:r>
    </w:p>
    <w:p>
      <w:pPr>
        <w:ind w:firstLine="480"/>
        <w:rPr>
          <w:rFonts w:eastAsiaTheme="minorEastAsia"/>
        </w:rPr>
      </w:pPr>
      <w:r>
        <w:rPr>
          <w:rFonts w:hint="eastAsia" w:eastAsiaTheme="minorEastAsia"/>
        </w:rPr>
        <w:t>根据监测结果，用等效声级计算方法，求出等效A声级进行评价。对照评价标准限值，对监测结果进行统计分析，评价拟建项目声环境质量现状。</w:t>
      </w:r>
    </w:p>
    <w:p>
      <w:pPr>
        <w:pStyle w:val="126"/>
        <w:numPr>
          <w:ilvl w:val="0"/>
          <w:numId w:val="46"/>
        </w:numPr>
        <w:ind w:firstLine="482"/>
        <w:rPr>
          <w:rFonts w:eastAsiaTheme="minorEastAsia"/>
        </w:rPr>
      </w:pPr>
      <w:r>
        <w:rPr>
          <w:rFonts w:eastAsiaTheme="minorEastAsia"/>
        </w:rPr>
        <w:t>监测结果</w:t>
      </w:r>
      <w:bookmarkEnd w:id="391"/>
      <w:bookmarkEnd w:id="392"/>
      <w:bookmarkEnd w:id="393"/>
    </w:p>
    <w:p>
      <w:pPr>
        <w:ind w:firstLine="480"/>
        <w:rPr>
          <w:rStyle w:val="63"/>
        </w:rPr>
      </w:pPr>
      <w:r>
        <w:t>声环境现状监测结果见表</w:t>
      </w:r>
      <w:r>
        <w:rPr>
          <w:rFonts w:hint="eastAsia"/>
        </w:rPr>
        <w:t>4.4-3</w:t>
      </w:r>
      <w:r>
        <w:t>。</w:t>
      </w:r>
      <w:r>
        <w:rPr>
          <w:rStyle w:val="63"/>
          <w:color w:val="auto"/>
        </w:rPr>
        <w:t>项目</w:t>
      </w:r>
      <w:r>
        <w:rPr>
          <w:rStyle w:val="63"/>
          <w:rFonts w:hint="eastAsia"/>
          <w:color w:val="auto"/>
        </w:rPr>
        <w:t>监测期间企业正常生产</w:t>
      </w:r>
      <w:r>
        <w:rPr>
          <w:rStyle w:val="63"/>
          <w:rFonts w:hint="eastAsia"/>
        </w:rPr>
        <w:t>。</w:t>
      </w:r>
    </w:p>
    <w:p>
      <w:pPr>
        <w:pStyle w:val="18"/>
      </w:pPr>
      <w:bookmarkStart w:id="394" w:name="_Ref528658485"/>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17</w:t>
      </w:r>
      <w:r>
        <w:fldChar w:fldCharType="end"/>
      </w:r>
      <w:bookmarkEnd w:id="394"/>
      <w:r>
        <w:t xml:space="preserve"> </w:t>
      </w:r>
      <w:r>
        <w:rPr>
          <w:rFonts w:hint="eastAsia"/>
        </w:rPr>
        <w:t>项目边界噪声监测结果</w:t>
      </w:r>
      <w:r>
        <w:tab/>
      </w:r>
      <w:r>
        <w:rPr>
          <w:rFonts w:hint="eastAsia"/>
        </w:rPr>
        <w:t>单位：dB（A）</w:t>
      </w:r>
    </w:p>
    <w:tbl>
      <w:tblPr>
        <w:tblStyle w:val="56"/>
        <w:tblW w:w="9060" w:type="dxa"/>
        <w:tblInd w:w="0" w:type="dxa"/>
        <w:tblLayout w:type="fixed"/>
        <w:tblCellMar>
          <w:top w:w="0" w:type="dxa"/>
          <w:left w:w="108" w:type="dxa"/>
          <w:bottom w:w="0" w:type="dxa"/>
          <w:right w:w="108" w:type="dxa"/>
        </w:tblCellMar>
      </w:tblPr>
      <w:tblGrid>
        <w:gridCol w:w="1162"/>
        <w:gridCol w:w="1259"/>
        <w:gridCol w:w="1259"/>
        <w:gridCol w:w="1259"/>
        <w:gridCol w:w="1261"/>
        <w:gridCol w:w="1430"/>
        <w:gridCol w:w="1430"/>
      </w:tblGrid>
      <w:tr>
        <w:tblPrEx>
          <w:tblLayout w:type="fixed"/>
          <w:tblCellMar>
            <w:top w:w="0" w:type="dxa"/>
            <w:left w:w="108" w:type="dxa"/>
            <w:bottom w:w="0" w:type="dxa"/>
            <w:right w:w="108" w:type="dxa"/>
          </w:tblCellMar>
        </w:tblPrEx>
        <w:trPr>
          <w:trHeight w:val="341" w:hRule="atLeast"/>
        </w:trPr>
        <w:tc>
          <w:tcPr>
            <w:tcW w:w="1162"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pStyle w:val="107"/>
            </w:pPr>
            <w:r>
              <w:rPr>
                <w:rFonts w:hint="eastAsia"/>
              </w:rPr>
              <w:t>监测点位</w:t>
            </w:r>
          </w:p>
        </w:tc>
        <w:tc>
          <w:tcPr>
            <w:tcW w:w="5038" w:type="dxa"/>
            <w:gridSpan w:val="4"/>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噪声值</w:t>
            </w:r>
            <w:r>
              <w:t>Leq</w:t>
            </w:r>
          </w:p>
        </w:tc>
        <w:tc>
          <w:tcPr>
            <w:tcW w:w="2860"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执行《声环境质量标准》（GB 3096-2008）2类标准</w:t>
            </w:r>
          </w:p>
        </w:tc>
      </w:tr>
      <w:tr>
        <w:tblPrEx>
          <w:tblLayout w:type="fixed"/>
          <w:tblCellMar>
            <w:top w:w="0" w:type="dxa"/>
            <w:left w:w="108" w:type="dxa"/>
            <w:bottom w:w="0" w:type="dxa"/>
            <w:right w:w="108" w:type="dxa"/>
          </w:tblCellMar>
        </w:tblPrEx>
        <w:trPr>
          <w:trHeight w:val="270" w:hRule="atLeast"/>
        </w:trPr>
        <w:tc>
          <w:tcPr>
            <w:tcW w:w="1162" w:type="dxa"/>
            <w:vMerge w:val="continue"/>
            <w:tcBorders>
              <w:top w:val="single" w:color="auto" w:sz="4" w:space="0"/>
              <w:left w:val="single" w:color="auto" w:sz="4" w:space="0"/>
              <w:bottom w:val="single" w:color="000000" w:sz="4" w:space="0"/>
              <w:right w:val="single" w:color="auto" w:sz="4" w:space="0"/>
            </w:tcBorders>
            <w:vAlign w:val="center"/>
          </w:tcPr>
          <w:p>
            <w:pPr>
              <w:pStyle w:val="107"/>
            </w:pPr>
          </w:p>
        </w:tc>
        <w:tc>
          <w:tcPr>
            <w:tcW w:w="251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color w:val="000000"/>
              </w:rPr>
            </w:pPr>
            <w:r>
              <w:rPr>
                <w:color w:val="000000"/>
              </w:rPr>
              <w:t>2019年4月25日</w:t>
            </w:r>
          </w:p>
        </w:tc>
        <w:tc>
          <w:tcPr>
            <w:tcW w:w="2520" w:type="dxa"/>
            <w:gridSpan w:val="2"/>
            <w:tcBorders>
              <w:top w:val="single" w:color="auto" w:sz="4" w:space="0"/>
              <w:left w:val="nil"/>
              <w:bottom w:val="single" w:color="auto" w:sz="4" w:space="0"/>
              <w:right w:val="single" w:color="auto" w:sz="4" w:space="0"/>
            </w:tcBorders>
            <w:shd w:val="clear" w:color="auto" w:fill="auto"/>
            <w:vAlign w:val="center"/>
          </w:tcPr>
          <w:p>
            <w:pPr>
              <w:pStyle w:val="107"/>
              <w:rPr>
                <w:color w:val="000000"/>
              </w:rPr>
            </w:pPr>
            <w:r>
              <w:rPr>
                <w:color w:val="000000"/>
              </w:rPr>
              <w:t>2019年4月26日</w:t>
            </w:r>
          </w:p>
        </w:tc>
        <w:tc>
          <w:tcPr>
            <w:tcW w:w="2860" w:type="dxa"/>
            <w:gridSpan w:val="2"/>
            <w:vMerge w:val="continue"/>
            <w:tcBorders>
              <w:top w:val="single" w:color="auto" w:sz="4" w:space="0"/>
              <w:left w:val="single" w:color="auto" w:sz="4" w:space="0"/>
              <w:bottom w:val="single" w:color="auto" w:sz="4" w:space="0"/>
              <w:right w:val="single" w:color="auto" w:sz="4" w:space="0"/>
            </w:tcBorders>
            <w:vAlign w:val="center"/>
          </w:tcPr>
          <w:p>
            <w:pPr>
              <w:pStyle w:val="107"/>
              <w:rPr>
                <w:color w:val="000000"/>
                <w:sz w:val="20"/>
                <w:szCs w:val="20"/>
              </w:rPr>
            </w:pPr>
          </w:p>
        </w:tc>
      </w:tr>
      <w:tr>
        <w:tblPrEx>
          <w:tblLayout w:type="fixed"/>
          <w:tblCellMar>
            <w:top w:w="0" w:type="dxa"/>
            <w:left w:w="108" w:type="dxa"/>
            <w:bottom w:w="0" w:type="dxa"/>
            <w:right w:w="108" w:type="dxa"/>
          </w:tblCellMar>
        </w:tblPrEx>
        <w:trPr>
          <w:trHeight w:val="270" w:hRule="atLeast"/>
        </w:trPr>
        <w:tc>
          <w:tcPr>
            <w:tcW w:w="1162" w:type="dxa"/>
            <w:vMerge w:val="continue"/>
            <w:tcBorders>
              <w:top w:val="single" w:color="auto" w:sz="4" w:space="0"/>
              <w:left w:val="single" w:color="auto" w:sz="4" w:space="0"/>
              <w:bottom w:val="single" w:color="000000" w:sz="4" w:space="0"/>
              <w:right w:val="single" w:color="auto" w:sz="4" w:space="0"/>
            </w:tcBorders>
            <w:vAlign w:val="center"/>
          </w:tcPr>
          <w:p>
            <w:pPr>
              <w:pStyle w:val="107"/>
            </w:pPr>
          </w:p>
        </w:tc>
        <w:tc>
          <w:tcPr>
            <w:tcW w:w="1259" w:type="dxa"/>
            <w:tcBorders>
              <w:top w:val="nil"/>
              <w:left w:val="nil"/>
              <w:bottom w:val="single" w:color="auto" w:sz="4" w:space="0"/>
              <w:right w:val="single" w:color="auto" w:sz="4" w:space="0"/>
            </w:tcBorders>
            <w:shd w:val="clear" w:color="auto" w:fill="auto"/>
            <w:vAlign w:val="center"/>
          </w:tcPr>
          <w:p>
            <w:pPr>
              <w:pStyle w:val="107"/>
            </w:pPr>
            <w:r>
              <w:rPr>
                <w:rFonts w:hint="eastAsia"/>
              </w:rPr>
              <w:t>昼间</w:t>
            </w:r>
          </w:p>
        </w:tc>
        <w:tc>
          <w:tcPr>
            <w:tcW w:w="1259" w:type="dxa"/>
            <w:tcBorders>
              <w:top w:val="nil"/>
              <w:left w:val="nil"/>
              <w:bottom w:val="single" w:color="auto" w:sz="4" w:space="0"/>
              <w:right w:val="single" w:color="auto" w:sz="4" w:space="0"/>
            </w:tcBorders>
            <w:shd w:val="clear" w:color="auto" w:fill="auto"/>
            <w:vAlign w:val="center"/>
          </w:tcPr>
          <w:p>
            <w:pPr>
              <w:pStyle w:val="107"/>
            </w:pPr>
            <w:r>
              <w:rPr>
                <w:rFonts w:hint="eastAsia"/>
              </w:rPr>
              <w:t>夜间</w:t>
            </w:r>
          </w:p>
        </w:tc>
        <w:tc>
          <w:tcPr>
            <w:tcW w:w="1259" w:type="dxa"/>
            <w:tcBorders>
              <w:top w:val="nil"/>
              <w:left w:val="nil"/>
              <w:bottom w:val="single" w:color="auto" w:sz="4" w:space="0"/>
              <w:right w:val="single" w:color="auto" w:sz="4" w:space="0"/>
            </w:tcBorders>
            <w:shd w:val="clear" w:color="auto" w:fill="auto"/>
            <w:vAlign w:val="center"/>
          </w:tcPr>
          <w:p>
            <w:pPr>
              <w:pStyle w:val="107"/>
            </w:pPr>
            <w:r>
              <w:rPr>
                <w:rFonts w:hint="eastAsia"/>
              </w:rPr>
              <w:t>昼间</w:t>
            </w:r>
          </w:p>
        </w:tc>
        <w:tc>
          <w:tcPr>
            <w:tcW w:w="1261" w:type="dxa"/>
            <w:tcBorders>
              <w:top w:val="nil"/>
              <w:left w:val="nil"/>
              <w:bottom w:val="single" w:color="auto" w:sz="4" w:space="0"/>
              <w:right w:val="single" w:color="auto" w:sz="4" w:space="0"/>
            </w:tcBorders>
            <w:shd w:val="clear" w:color="auto" w:fill="auto"/>
            <w:vAlign w:val="center"/>
          </w:tcPr>
          <w:p>
            <w:pPr>
              <w:pStyle w:val="107"/>
            </w:pPr>
            <w:r>
              <w:rPr>
                <w:rFonts w:hint="eastAsia"/>
              </w:rPr>
              <w:t>夜间</w:t>
            </w:r>
          </w:p>
        </w:tc>
        <w:tc>
          <w:tcPr>
            <w:tcW w:w="1430" w:type="dxa"/>
            <w:tcBorders>
              <w:top w:val="nil"/>
              <w:left w:val="nil"/>
              <w:bottom w:val="single" w:color="auto" w:sz="4" w:space="0"/>
              <w:right w:val="single" w:color="auto" w:sz="4" w:space="0"/>
            </w:tcBorders>
            <w:shd w:val="clear" w:color="auto" w:fill="auto"/>
            <w:vAlign w:val="center"/>
          </w:tcPr>
          <w:p>
            <w:pPr>
              <w:pStyle w:val="107"/>
            </w:pPr>
            <w:r>
              <w:rPr>
                <w:rFonts w:hint="eastAsia"/>
              </w:rPr>
              <w:t>昼间</w:t>
            </w:r>
          </w:p>
        </w:tc>
        <w:tc>
          <w:tcPr>
            <w:tcW w:w="1430" w:type="dxa"/>
            <w:tcBorders>
              <w:top w:val="nil"/>
              <w:left w:val="nil"/>
              <w:bottom w:val="single" w:color="auto" w:sz="4" w:space="0"/>
              <w:right w:val="single" w:color="auto" w:sz="4" w:space="0"/>
            </w:tcBorders>
            <w:shd w:val="clear" w:color="auto" w:fill="auto"/>
            <w:vAlign w:val="center"/>
          </w:tcPr>
          <w:p>
            <w:pPr>
              <w:pStyle w:val="107"/>
            </w:pPr>
            <w:r>
              <w:rPr>
                <w:rFonts w:hint="eastAsia"/>
              </w:rPr>
              <w:t>夜间</w:t>
            </w:r>
          </w:p>
        </w:tc>
      </w:tr>
      <w:tr>
        <w:tblPrEx>
          <w:tblLayout w:type="fixed"/>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shd w:val="clear" w:color="auto" w:fill="auto"/>
            <w:vAlign w:val="center"/>
          </w:tcPr>
          <w:p>
            <w:pPr>
              <w:pStyle w:val="107"/>
            </w:pPr>
            <w:r>
              <w:t>N1</w:t>
            </w:r>
          </w:p>
        </w:tc>
        <w:tc>
          <w:tcPr>
            <w:tcW w:w="1259"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57.8</w:t>
            </w:r>
          </w:p>
        </w:tc>
        <w:tc>
          <w:tcPr>
            <w:tcW w:w="1259"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44.6</w:t>
            </w:r>
          </w:p>
        </w:tc>
        <w:tc>
          <w:tcPr>
            <w:tcW w:w="1259"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58.6</w:t>
            </w:r>
          </w:p>
        </w:tc>
        <w:tc>
          <w:tcPr>
            <w:tcW w:w="1261"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47.1</w:t>
            </w:r>
          </w:p>
        </w:tc>
        <w:tc>
          <w:tcPr>
            <w:tcW w:w="143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000000"/>
                <w:sz w:val="20"/>
                <w:szCs w:val="20"/>
              </w:rPr>
            </w:pPr>
            <w:r>
              <w:rPr>
                <w:color w:val="000000"/>
                <w:sz w:val="20"/>
                <w:szCs w:val="20"/>
              </w:rPr>
              <w:t>60</w:t>
            </w:r>
          </w:p>
        </w:tc>
        <w:tc>
          <w:tcPr>
            <w:tcW w:w="143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000000"/>
                <w:sz w:val="20"/>
                <w:szCs w:val="20"/>
              </w:rPr>
            </w:pPr>
            <w:r>
              <w:rPr>
                <w:color w:val="000000"/>
                <w:sz w:val="20"/>
                <w:szCs w:val="20"/>
              </w:rPr>
              <w:t>50</w:t>
            </w:r>
          </w:p>
        </w:tc>
      </w:tr>
      <w:tr>
        <w:tblPrEx>
          <w:tblLayout w:type="fixed"/>
          <w:tblCellMar>
            <w:top w:w="0" w:type="dxa"/>
            <w:left w:w="108" w:type="dxa"/>
            <w:bottom w:w="0" w:type="dxa"/>
            <w:right w:w="108" w:type="dxa"/>
          </w:tblCellMar>
        </w:tblPrEx>
        <w:trPr>
          <w:trHeight w:val="480" w:hRule="atLeast"/>
        </w:trPr>
        <w:tc>
          <w:tcPr>
            <w:tcW w:w="1162" w:type="dxa"/>
            <w:tcBorders>
              <w:top w:val="nil"/>
              <w:left w:val="single" w:color="auto" w:sz="4" w:space="0"/>
              <w:bottom w:val="single" w:color="auto" w:sz="4" w:space="0"/>
              <w:right w:val="single" w:color="auto" w:sz="4" w:space="0"/>
            </w:tcBorders>
            <w:shd w:val="clear" w:color="auto" w:fill="auto"/>
            <w:vAlign w:val="center"/>
          </w:tcPr>
          <w:p>
            <w:pPr>
              <w:pStyle w:val="107"/>
            </w:pPr>
            <w:r>
              <w:t>N2</w:t>
            </w:r>
          </w:p>
        </w:tc>
        <w:tc>
          <w:tcPr>
            <w:tcW w:w="1259"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58.1</w:t>
            </w:r>
          </w:p>
        </w:tc>
        <w:tc>
          <w:tcPr>
            <w:tcW w:w="1259"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47.1</w:t>
            </w:r>
          </w:p>
        </w:tc>
        <w:tc>
          <w:tcPr>
            <w:tcW w:w="1259"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58.5</w:t>
            </w:r>
          </w:p>
        </w:tc>
        <w:tc>
          <w:tcPr>
            <w:tcW w:w="1261"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48.8</w:t>
            </w:r>
          </w:p>
        </w:tc>
        <w:tc>
          <w:tcPr>
            <w:tcW w:w="1430"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1430"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r>
      <w:tr>
        <w:tblPrEx>
          <w:tblLayout w:type="fixed"/>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shd w:val="clear" w:color="auto" w:fill="auto"/>
            <w:vAlign w:val="center"/>
          </w:tcPr>
          <w:p>
            <w:pPr>
              <w:pStyle w:val="107"/>
            </w:pPr>
            <w:r>
              <w:t>N3</w:t>
            </w:r>
          </w:p>
        </w:tc>
        <w:tc>
          <w:tcPr>
            <w:tcW w:w="1259"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58.3</w:t>
            </w:r>
          </w:p>
        </w:tc>
        <w:tc>
          <w:tcPr>
            <w:tcW w:w="1259"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46.9</w:t>
            </w:r>
          </w:p>
        </w:tc>
        <w:tc>
          <w:tcPr>
            <w:tcW w:w="1259"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56.9</w:t>
            </w:r>
          </w:p>
        </w:tc>
        <w:tc>
          <w:tcPr>
            <w:tcW w:w="1261"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47.6</w:t>
            </w:r>
          </w:p>
        </w:tc>
        <w:tc>
          <w:tcPr>
            <w:tcW w:w="1430"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1430"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r>
      <w:tr>
        <w:tblPrEx>
          <w:tblLayout w:type="fixed"/>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shd w:val="clear" w:color="auto" w:fill="auto"/>
            <w:vAlign w:val="center"/>
          </w:tcPr>
          <w:p>
            <w:pPr>
              <w:pStyle w:val="107"/>
            </w:pPr>
            <w:r>
              <w:t>N4</w:t>
            </w:r>
          </w:p>
        </w:tc>
        <w:tc>
          <w:tcPr>
            <w:tcW w:w="1259"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57.4</w:t>
            </w:r>
          </w:p>
        </w:tc>
        <w:tc>
          <w:tcPr>
            <w:tcW w:w="1259"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47.2</w:t>
            </w:r>
          </w:p>
        </w:tc>
        <w:tc>
          <w:tcPr>
            <w:tcW w:w="1259"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56.8</w:t>
            </w:r>
          </w:p>
        </w:tc>
        <w:tc>
          <w:tcPr>
            <w:tcW w:w="1261"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48.6</w:t>
            </w:r>
          </w:p>
        </w:tc>
        <w:tc>
          <w:tcPr>
            <w:tcW w:w="1430"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1430"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r>
      <w:tr>
        <w:tblPrEx>
          <w:tblLayout w:type="fixed"/>
          <w:tblCellMar>
            <w:top w:w="0" w:type="dxa"/>
            <w:left w:w="108" w:type="dxa"/>
            <w:bottom w:w="0" w:type="dxa"/>
            <w:right w:w="108" w:type="dxa"/>
          </w:tblCellMar>
        </w:tblPrEx>
        <w:trPr>
          <w:trHeight w:val="480" w:hRule="atLeast"/>
        </w:trPr>
        <w:tc>
          <w:tcPr>
            <w:tcW w:w="1162" w:type="dxa"/>
            <w:tcBorders>
              <w:top w:val="nil"/>
              <w:left w:val="single" w:color="auto" w:sz="4" w:space="0"/>
              <w:bottom w:val="single" w:color="auto" w:sz="4" w:space="0"/>
              <w:right w:val="single" w:color="auto" w:sz="4" w:space="0"/>
            </w:tcBorders>
            <w:shd w:val="clear" w:color="auto" w:fill="auto"/>
            <w:vAlign w:val="center"/>
          </w:tcPr>
          <w:p>
            <w:pPr>
              <w:pStyle w:val="107"/>
            </w:pPr>
            <w:r>
              <w:t>N5</w:t>
            </w:r>
          </w:p>
        </w:tc>
        <w:tc>
          <w:tcPr>
            <w:tcW w:w="1259"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57.6</w:t>
            </w:r>
          </w:p>
        </w:tc>
        <w:tc>
          <w:tcPr>
            <w:tcW w:w="1259"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45.9</w:t>
            </w:r>
          </w:p>
        </w:tc>
        <w:tc>
          <w:tcPr>
            <w:tcW w:w="1259"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58.4</w:t>
            </w:r>
          </w:p>
        </w:tc>
        <w:tc>
          <w:tcPr>
            <w:tcW w:w="1261" w:type="dxa"/>
            <w:tcBorders>
              <w:top w:val="nil"/>
              <w:left w:val="nil"/>
              <w:bottom w:val="single" w:color="auto" w:sz="4" w:space="0"/>
              <w:right w:val="single" w:color="auto" w:sz="4" w:space="0"/>
            </w:tcBorders>
            <w:shd w:val="clear" w:color="auto" w:fill="auto"/>
            <w:vAlign w:val="center"/>
          </w:tcPr>
          <w:p>
            <w:pPr>
              <w:pStyle w:val="107"/>
              <w:rPr>
                <w:color w:val="000000"/>
              </w:rPr>
            </w:pPr>
            <w:r>
              <w:rPr>
                <w:color w:val="000000"/>
              </w:rPr>
              <w:t>46.8</w:t>
            </w:r>
          </w:p>
        </w:tc>
        <w:tc>
          <w:tcPr>
            <w:tcW w:w="1430"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c>
          <w:tcPr>
            <w:tcW w:w="1430" w:type="dxa"/>
            <w:vMerge w:val="continue"/>
            <w:tcBorders>
              <w:top w:val="nil"/>
              <w:left w:val="single" w:color="auto" w:sz="4" w:space="0"/>
              <w:bottom w:val="single" w:color="auto" w:sz="4" w:space="0"/>
              <w:right w:val="single" w:color="auto" w:sz="4" w:space="0"/>
            </w:tcBorders>
            <w:vAlign w:val="center"/>
          </w:tcPr>
          <w:p>
            <w:pPr>
              <w:pStyle w:val="107"/>
              <w:rPr>
                <w:color w:val="000000"/>
                <w:sz w:val="20"/>
                <w:szCs w:val="20"/>
              </w:rPr>
            </w:pPr>
          </w:p>
        </w:tc>
      </w:tr>
    </w:tbl>
    <w:p>
      <w:pPr>
        <w:pStyle w:val="126"/>
        <w:numPr>
          <w:ilvl w:val="0"/>
          <w:numId w:val="46"/>
        </w:numPr>
        <w:ind w:firstLine="482"/>
        <w:rPr>
          <w:rFonts w:eastAsiaTheme="minorEastAsia"/>
        </w:rPr>
      </w:pPr>
      <w:bookmarkStart w:id="395" w:name="_Toc331536182"/>
      <w:bookmarkStart w:id="396" w:name="_Toc92651400"/>
      <w:bookmarkStart w:id="397" w:name="_Toc147119973"/>
      <w:r>
        <w:rPr>
          <w:rFonts w:eastAsiaTheme="minorEastAsia"/>
        </w:rPr>
        <w:t>监测结果分析与评价</w:t>
      </w:r>
      <w:bookmarkEnd w:id="395"/>
      <w:bookmarkEnd w:id="396"/>
      <w:bookmarkEnd w:id="397"/>
    </w:p>
    <w:p>
      <w:pPr>
        <w:ind w:firstLine="480"/>
        <w:rPr>
          <w:rFonts w:eastAsiaTheme="minorEastAsia"/>
        </w:rPr>
      </w:pPr>
      <w:r>
        <w:rPr>
          <w:rFonts w:hint="eastAsia" w:eastAsiaTheme="minorEastAsia"/>
        </w:rPr>
        <w:t>由噪声实测结果可知，</w:t>
      </w:r>
      <w:r>
        <w:rPr>
          <w:rStyle w:val="63"/>
          <w:rFonts w:hint="eastAsia"/>
          <w:color w:val="auto"/>
        </w:rPr>
        <w:t>项目正常运行工况下</w:t>
      </w:r>
      <w:r>
        <w:rPr>
          <w:rFonts w:hint="eastAsia" w:eastAsiaTheme="minorEastAsia"/>
        </w:rPr>
        <w:t>厂界</w:t>
      </w:r>
      <w:r>
        <w:rPr>
          <w:rFonts w:cs="Times New Roman" w:eastAsiaTheme="minorEastAsia"/>
        </w:rPr>
        <w:t>各监测点位</w:t>
      </w:r>
      <w:r>
        <w:rPr>
          <w:rFonts w:hint="eastAsia" w:eastAsiaTheme="minorEastAsia"/>
        </w:rPr>
        <w:t>的</w:t>
      </w:r>
      <w:r>
        <w:rPr>
          <w:rFonts w:cs="Times New Roman" w:eastAsiaTheme="minorEastAsia"/>
        </w:rPr>
        <w:t>昼间</w:t>
      </w:r>
      <w:r>
        <w:rPr>
          <w:rFonts w:hint="eastAsia" w:cs="Times New Roman" w:eastAsiaTheme="minorEastAsia"/>
        </w:rPr>
        <w:t>、夜间</w:t>
      </w:r>
      <w:r>
        <w:rPr>
          <w:rFonts w:hint="eastAsia" w:eastAsiaTheme="minorEastAsia"/>
        </w:rPr>
        <w:t>现状噪声监测值达到《声环境质量标准》（GB</w:t>
      </w:r>
      <w:r>
        <w:rPr>
          <w:rFonts w:eastAsiaTheme="minorEastAsia"/>
        </w:rPr>
        <w:t xml:space="preserve"> </w:t>
      </w:r>
      <w:r>
        <w:rPr>
          <w:rFonts w:hint="eastAsia" w:eastAsiaTheme="minorEastAsia"/>
        </w:rPr>
        <w:t>3096-2008）2类标准。表明项目所在地声环境质量现状良好</w:t>
      </w:r>
      <w:r>
        <w:rPr>
          <w:rStyle w:val="63"/>
          <w:rFonts w:hint="eastAsia"/>
          <w:color w:val="auto"/>
        </w:rPr>
        <w:t>，项目正常工况运行时厂界噪声贡献值可满足《工业企业厂界环境噪声排放标准》（GB 12348-2008）中2类区标准。</w:t>
      </w:r>
    </w:p>
    <w:p>
      <w:pPr>
        <w:pStyle w:val="107"/>
        <w:keepNext/>
      </w:pPr>
      <w:r>
        <w:drawing>
          <wp:anchor distT="0" distB="0" distL="114300" distR="114300" simplePos="0" relativeHeight="252014592" behindDoc="0" locked="0" layoutInCell="1" allowOverlap="1">
            <wp:simplePos x="0" y="0"/>
            <wp:positionH relativeFrom="column">
              <wp:posOffset>2540</wp:posOffset>
            </wp:positionH>
            <wp:positionV relativeFrom="paragraph">
              <wp:posOffset>2524760</wp:posOffset>
            </wp:positionV>
            <wp:extent cx="872490" cy="208915"/>
            <wp:effectExtent l="0" t="0" r="4445" b="1270"/>
            <wp:wrapNone/>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872197" cy="208685"/>
                    </a:xfrm>
                    <a:prstGeom prst="rect">
                      <a:avLst/>
                    </a:prstGeom>
                  </pic:spPr>
                </pic:pic>
              </a:graphicData>
            </a:graphic>
          </wp:anchor>
        </w:drawing>
      </w:r>
      <w:r>
        <mc:AlternateContent>
          <mc:Choice Requires="wps">
            <w:drawing>
              <wp:anchor distT="0" distB="0" distL="114300" distR="114300" simplePos="0" relativeHeight="251534336" behindDoc="0" locked="0" layoutInCell="1" allowOverlap="1">
                <wp:simplePos x="0" y="0"/>
                <wp:positionH relativeFrom="column">
                  <wp:posOffset>-635</wp:posOffset>
                </wp:positionH>
                <wp:positionV relativeFrom="paragraph">
                  <wp:posOffset>-635</wp:posOffset>
                </wp:positionV>
                <wp:extent cx="840105" cy="831850"/>
                <wp:effectExtent l="0" t="0" r="17145" b="25400"/>
                <wp:wrapNone/>
                <wp:docPr id="85" name="文本框 170"/>
                <wp:cNvGraphicFramePr/>
                <a:graphic xmlns:a="http://schemas.openxmlformats.org/drawingml/2006/main">
                  <a:graphicData uri="http://schemas.microsoft.com/office/word/2010/wordprocessingShape">
                    <wps:wsp>
                      <wps:cNvSpPr txBox="1"/>
                      <wps:spPr>
                        <a:xfrm>
                          <a:off x="0" y="0"/>
                          <a:ext cx="840105" cy="8318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pPr>
                            <w:r>
                              <w:drawing>
                                <wp:inline distT="0" distB="0" distL="114300" distR="114300">
                                  <wp:extent cx="660400" cy="772795"/>
                                  <wp:effectExtent l="0" t="0" r="6350" b="8255"/>
                                  <wp:docPr id="52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8"/>
                                          <pic:cNvPicPr>
                                            <a:picLocks noChangeAspect="1"/>
                                          </pic:cNvPicPr>
                                        </pic:nvPicPr>
                                        <pic:blipFill>
                                          <a:blip r:embed="rId26"/>
                                          <a:stretch>
                                            <a:fillRect/>
                                          </a:stretch>
                                        </pic:blipFill>
                                        <pic:spPr>
                                          <a:xfrm>
                                            <a:off x="0" y="0"/>
                                            <a:ext cx="664277" cy="777779"/>
                                          </a:xfrm>
                                          <a:prstGeom prst="rect">
                                            <a:avLst/>
                                          </a:prstGeom>
                                          <a:noFill/>
                                          <a:ln w="9525">
                                            <a:noFill/>
                                          </a:ln>
                                        </pic:spPr>
                                      </pic:pic>
                                    </a:graphicData>
                                  </a:graphic>
                                </wp:inline>
                              </w:drawing>
                            </w:r>
                          </w:p>
                        </w:txbxContent>
                      </wps:txbx>
                      <wps:bodyPr wrap="square" upright="1">
                        <a:noAutofit/>
                      </wps:bodyPr>
                    </wps:wsp>
                  </a:graphicData>
                </a:graphic>
              </wp:anchor>
            </w:drawing>
          </mc:Choice>
          <mc:Fallback>
            <w:pict>
              <v:shape id="文本框 170" o:spid="_x0000_s1026" o:spt="202" type="#_x0000_t202" style="position:absolute;left:0pt;margin-left:-0.05pt;margin-top:-0.05pt;height:65.5pt;width:66.15pt;z-index:251534336;mso-width-relative:page;mso-height-relative:page;" fillcolor="#FFFFFF" filled="t" stroked="t" coordsize="21600,21600" o:gfxdata="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QXTLHVAAAABwEAAA8AAAAAAAAAAQAgAAAAIgAAAGRycy9k&#10;b3ducmV2LnhtbFBLAQIUABQAAAAIAIdO4kBzk9m5BQIAABIEAAAOAAAAAAAAAAEAIAAAACQBAABk&#10;cnMvZTJvRG9jLnhtbFBLBQYAAAAABgAGAFkBAACbBQAAAAA=&#10;">
                <v:fill on="t" focussize="0,0"/>
                <v:stroke color="#000000" joinstyle="miter"/>
                <v:imagedata o:title=""/>
                <o:lock v:ext="edit" aspectratio="f"/>
                <v:textbox>
                  <w:txbxContent>
                    <w:p>
                      <w:pPr>
                        <w:spacing w:line="240" w:lineRule="auto"/>
                        <w:ind w:firstLine="0" w:firstLineChars="0"/>
                      </w:pPr>
                      <w:r>
                        <w:drawing>
                          <wp:inline distT="0" distB="0" distL="114300" distR="114300">
                            <wp:extent cx="660400" cy="772795"/>
                            <wp:effectExtent l="0" t="0" r="6350" b="8255"/>
                            <wp:docPr id="52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8"/>
                                    <pic:cNvPicPr>
                                      <a:picLocks noChangeAspect="1"/>
                                    </pic:cNvPicPr>
                                  </pic:nvPicPr>
                                  <pic:blipFill>
                                    <a:blip r:embed="rId26"/>
                                    <a:stretch>
                                      <a:fillRect/>
                                    </a:stretch>
                                  </pic:blipFill>
                                  <pic:spPr>
                                    <a:xfrm>
                                      <a:off x="0" y="0"/>
                                      <a:ext cx="664277" cy="777779"/>
                                    </a:xfrm>
                                    <a:prstGeom prst="rect">
                                      <a:avLst/>
                                    </a:prstGeom>
                                    <a:noFill/>
                                    <a:ln w="9525">
                                      <a:noFill/>
                                    </a:ln>
                                  </pic:spPr>
                                </pic:pic>
                              </a:graphicData>
                            </a:graphic>
                          </wp:inline>
                        </w:drawing>
                      </w:r>
                    </w:p>
                  </w:txbxContent>
                </v:textbox>
              </v:shape>
            </w:pict>
          </mc:Fallback>
        </mc:AlternateContent>
      </w:r>
      <w:r>
        <w:drawing>
          <wp:inline distT="0" distB="0" distL="0" distR="0">
            <wp:extent cx="5759450" cy="2687320"/>
            <wp:effectExtent l="0" t="0" r="0"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pic:cNvPicPr>
                      <a:picLocks noChangeAspect="1"/>
                    </pic:cNvPicPr>
                  </pic:nvPicPr>
                  <pic:blipFill>
                    <a:blip r:embed="rId71"/>
                    <a:stretch>
                      <a:fillRect/>
                    </a:stretch>
                  </pic:blipFill>
                  <pic:spPr>
                    <a:xfrm>
                      <a:off x="0" y="0"/>
                      <a:ext cx="5759450" cy="2687320"/>
                    </a:xfrm>
                    <a:prstGeom prst="rect">
                      <a:avLst/>
                    </a:prstGeom>
                  </pic:spPr>
                </pic:pic>
              </a:graphicData>
            </a:graphic>
          </wp:inline>
        </w:drawing>
      </w:r>
    </w:p>
    <w:p>
      <w:pPr>
        <w:pStyle w:val="18"/>
      </w:pPr>
      <w:bookmarkStart w:id="398" w:name="_Ref527751851"/>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4</w:t>
      </w:r>
      <w:r>
        <w:fldChar w:fldCharType="end"/>
      </w:r>
      <w:bookmarkEnd w:id="398"/>
      <w:r>
        <w:t xml:space="preserve"> </w:t>
      </w:r>
      <w:r>
        <w:rPr>
          <w:rFonts w:hint="eastAsia"/>
        </w:rPr>
        <w:t>声环境质量现状监测布点图</w:t>
      </w:r>
    </w:p>
    <w:p>
      <w:pPr>
        <w:pStyle w:val="5"/>
        <w:rPr>
          <w:rStyle w:val="63"/>
          <w:color w:val="auto"/>
        </w:rPr>
      </w:pPr>
      <w:bookmarkStart w:id="399" w:name="_Hlk3525575"/>
      <w:bookmarkStart w:id="400" w:name="_Toc6946"/>
      <w:bookmarkStart w:id="401" w:name="_Toc20576"/>
      <w:bookmarkStart w:id="402" w:name="_Toc307847895"/>
      <w:bookmarkStart w:id="403" w:name="_Toc331536183"/>
      <w:bookmarkStart w:id="404" w:name="_Toc329784210"/>
      <w:r>
        <w:rPr>
          <w:rStyle w:val="63"/>
          <w:rFonts w:hint="eastAsia"/>
          <w:color w:val="auto"/>
        </w:rPr>
        <w:t>土壤环境质量现状监测与评价</w:t>
      </w:r>
    </w:p>
    <w:bookmarkEnd w:id="399"/>
    <w:p>
      <w:pPr>
        <w:pStyle w:val="6"/>
        <w:rPr>
          <w:rStyle w:val="63"/>
          <w:color w:val="auto"/>
        </w:rPr>
      </w:pPr>
      <w:r>
        <w:rPr>
          <w:rStyle w:val="63"/>
          <w:rFonts w:hint="eastAsia"/>
          <w:color w:val="auto"/>
        </w:rPr>
        <w:t>土壤环境质量现状监测</w:t>
      </w:r>
    </w:p>
    <w:p>
      <w:pPr>
        <w:pStyle w:val="126"/>
        <w:ind w:left="0" w:firstLine="482"/>
        <w:rPr>
          <w:rStyle w:val="63"/>
          <w:color w:val="auto"/>
        </w:rPr>
      </w:pPr>
      <w:r>
        <w:rPr>
          <w:rStyle w:val="63"/>
          <w:rFonts w:hint="eastAsia"/>
          <w:color w:val="auto"/>
        </w:rPr>
        <w:t>监测点布设</w:t>
      </w:r>
    </w:p>
    <w:p>
      <w:pPr>
        <w:ind w:firstLine="480"/>
        <w:rPr>
          <w:rStyle w:val="63"/>
          <w:color w:val="auto"/>
        </w:rPr>
      </w:pPr>
      <w:r>
        <w:rPr>
          <w:rStyle w:val="63"/>
          <w:rFonts w:hint="eastAsia"/>
          <w:color w:val="auto"/>
        </w:rPr>
        <w:t>根据评价区的环境特征和本项目排污特点，本次评价在厂区布设了1个土壤监测点，具体布点见下表及</w:t>
      </w:r>
      <w:r>
        <w:rPr>
          <w:rStyle w:val="63"/>
          <w:color w:val="auto"/>
        </w:rPr>
        <w:fldChar w:fldCharType="begin"/>
      </w:r>
      <w:r>
        <w:rPr>
          <w:rStyle w:val="63"/>
          <w:color w:val="auto"/>
        </w:rPr>
        <w:instrText xml:space="preserve"> </w:instrText>
      </w:r>
      <w:r>
        <w:rPr>
          <w:rStyle w:val="63"/>
          <w:rFonts w:hint="eastAsia"/>
          <w:color w:val="auto"/>
        </w:rPr>
        <w:instrText xml:space="preserve">REF _Ref2532749 \h</w:instrText>
      </w:r>
      <w:r>
        <w:rPr>
          <w:rStyle w:val="63"/>
          <w:color w:val="auto"/>
        </w:rPr>
        <w:instrText xml:space="preserve">  \* MERGEFORMAT </w:instrText>
      </w:r>
      <w:r>
        <w:rPr>
          <w:rStyle w:val="63"/>
          <w:color w:val="auto"/>
        </w:rPr>
        <w:fldChar w:fldCharType="separate"/>
      </w:r>
      <w:r>
        <w:rPr>
          <w:rStyle w:val="63"/>
          <w:rFonts w:hint="eastAsia"/>
          <w:color w:val="auto"/>
        </w:rPr>
        <w:t xml:space="preserve">图 </w:t>
      </w:r>
      <w:r>
        <w:rPr>
          <w:rStyle w:val="63"/>
          <w:color w:val="auto"/>
        </w:rPr>
        <w:t>3.3</w:t>
      </w:r>
      <w:r>
        <w:rPr>
          <w:rStyle w:val="63"/>
          <w:color w:val="auto"/>
        </w:rPr>
        <w:noBreakHyphen/>
      </w:r>
      <w:r>
        <w:rPr>
          <w:rStyle w:val="63"/>
          <w:color w:val="auto"/>
        </w:rPr>
        <w:t>5</w:t>
      </w:r>
      <w:r>
        <w:rPr>
          <w:rStyle w:val="63"/>
          <w:color w:val="auto"/>
        </w:rPr>
        <w:fldChar w:fldCharType="end"/>
      </w:r>
      <w:r>
        <w:rPr>
          <w:rStyle w:val="63"/>
          <w:rFonts w:hint="eastAsia"/>
          <w:color w:val="auto"/>
        </w:rPr>
        <w:t>。</w:t>
      </w:r>
    </w:p>
    <w:p>
      <w:pPr>
        <w:pStyle w:val="18"/>
        <w:rPr>
          <w:rStyle w:val="63"/>
          <w:color w:val="auto"/>
        </w:rPr>
      </w:pPr>
      <w:r>
        <w:rPr>
          <w:rStyle w:val="63"/>
          <w:rFonts w:hint="eastAsia"/>
          <w:color w:val="auto"/>
        </w:rPr>
        <w:t xml:space="preserve">表 </w:t>
      </w:r>
      <w:r>
        <w:rPr>
          <w:rStyle w:val="63"/>
          <w:color w:val="auto"/>
        </w:rPr>
        <w:fldChar w:fldCharType="begin"/>
      </w:r>
      <w:r>
        <w:rPr>
          <w:rStyle w:val="63"/>
          <w:color w:val="auto"/>
        </w:rPr>
        <w:instrText xml:space="preserve"> </w:instrText>
      </w:r>
      <w:r>
        <w:rPr>
          <w:rStyle w:val="63"/>
          <w:rFonts w:hint="eastAsia"/>
          <w:color w:val="auto"/>
        </w:rPr>
        <w:instrText xml:space="preserve">STYLEREF 2 \s</w:instrText>
      </w:r>
      <w:r>
        <w:rPr>
          <w:rStyle w:val="63"/>
          <w:color w:val="auto"/>
        </w:rPr>
        <w:instrText xml:space="preserve"> </w:instrText>
      </w:r>
      <w:r>
        <w:rPr>
          <w:rStyle w:val="63"/>
          <w:color w:val="auto"/>
        </w:rPr>
        <w:fldChar w:fldCharType="separate"/>
      </w:r>
      <w:r>
        <w:rPr>
          <w:rStyle w:val="63"/>
          <w:color w:val="auto"/>
        </w:rPr>
        <w:t>3.3</w:t>
      </w:r>
      <w:r>
        <w:rPr>
          <w:rStyle w:val="63"/>
          <w:color w:val="auto"/>
        </w:rPr>
        <w:fldChar w:fldCharType="end"/>
      </w:r>
      <w:r>
        <w:rPr>
          <w:rStyle w:val="63"/>
          <w:color w:val="auto"/>
        </w:rPr>
        <w:noBreakHyphen/>
      </w:r>
      <w:r>
        <w:rPr>
          <w:rStyle w:val="63"/>
          <w:color w:val="auto"/>
        </w:rPr>
        <w:fldChar w:fldCharType="begin"/>
      </w:r>
      <w:r>
        <w:rPr>
          <w:rStyle w:val="63"/>
          <w:color w:val="auto"/>
        </w:rPr>
        <w:instrText xml:space="preserve"> </w:instrText>
      </w:r>
      <w:r>
        <w:rPr>
          <w:rStyle w:val="63"/>
          <w:rFonts w:hint="eastAsia"/>
          <w:color w:val="auto"/>
        </w:rPr>
        <w:instrText xml:space="preserve">SEQ 表 \* ARABIC \s 2</w:instrText>
      </w:r>
      <w:r>
        <w:rPr>
          <w:rStyle w:val="63"/>
          <w:color w:val="auto"/>
        </w:rPr>
        <w:instrText xml:space="preserve"> </w:instrText>
      </w:r>
      <w:r>
        <w:rPr>
          <w:rStyle w:val="63"/>
          <w:color w:val="auto"/>
        </w:rPr>
        <w:fldChar w:fldCharType="separate"/>
      </w:r>
      <w:r>
        <w:rPr>
          <w:rStyle w:val="63"/>
          <w:color w:val="auto"/>
        </w:rPr>
        <w:t>18</w:t>
      </w:r>
      <w:r>
        <w:rPr>
          <w:rStyle w:val="63"/>
          <w:color w:val="auto"/>
        </w:rPr>
        <w:fldChar w:fldCharType="end"/>
      </w:r>
      <w:r>
        <w:rPr>
          <w:rStyle w:val="63"/>
          <w:color w:val="auto"/>
        </w:rPr>
        <w:t xml:space="preserve"> </w:t>
      </w:r>
      <w:r>
        <w:rPr>
          <w:rStyle w:val="63"/>
          <w:rFonts w:hint="eastAsia"/>
          <w:color w:val="auto"/>
        </w:rPr>
        <w:t>土壤环境监测点布设一览表</w:t>
      </w:r>
    </w:p>
    <w:tbl>
      <w:tblPr>
        <w:tblStyle w:val="56"/>
        <w:tblW w:w="907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1"/>
        <w:gridCol w:w="3492"/>
        <w:gridCol w:w="44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03" w:hRule="atLeast"/>
          <w:tblHeader/>
          <w:jc w:val="center"/>
        </w:trPr>
        <w:tc>
          <w:tcPr>
            <w:tcW w:w="1121" w:type="dxa"/>
            <w:vAlign w:val="center"/>
          </w:tcPr>
          <w:p>
            <w:pPr>
              <w:pStyle w:val="107"/>
              <w:rPr>
                <w:rStyle w:val="63"/>
                <w:b/>
                <w:color w:val="auto"/>
              </w:rPr>
            </w:pPr>
            <w:r>
              <w:rPr>
                <w:rStyle w:val="63"/>
                <w:b/>
                <w:color w:val="auto"/>
              </w:rPr>
              <w:t>序号</w:t>
            </w:r>
          </w:p>
        </w:tc>
        <w:tc>
          <w:tcPr>
            <w:tcW w:w="3492" w:type="dxa"/>
            <w:vAlign w:val="center"/>
          </w:tcPr>
          <w:p>
            <w:pPr>
              <w:pStyle w:val="107"/>
              <w:rPr>
                <w:rStyle w:val="63"/>
                <w:b/>
                <w:color w:val="auto"/>
              </w:rPr>
            </w:pPr>
            <w:r>
              <w:rPr>
                <w:rStyle w:val="63"/>
                <w:rFonts w:hint="eastAsia"/>
                <w:b/>
                <w:color w:val="auto"/>
              </w:rPr>
              <w:t>点位名称</w:t>
            </w:r>
          </w:p>
        </w:tc>
        <w:tc>
          <w:tcPr>
            <w:tcW w:w="4459" w:type="dxa"/>
            <w:vAlign w:val="center"/>
          </w:tcPr>
          <w:p>
            <w:pPr>
              <w:pStyle w:val="107"/>
              <w:rPr>
                <w:rStyle w:val="63"/>
                <w:b/>
                <w:color w:val="auto"/>
              </w:rPr>
            </w:pPr>
            <w:r>
              <w:rPr>
                <w:rStyle w:val="63"/>
                <w:rFonts w:hint="eastAsia"/>
                <w:b/>
                <w:color w:val="auto"/>
              </w:rPr>
              <w:t>土壤类型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13" w:hRule="atLeast"/>
          <w:jc w:val="center"/>
        </w:trPr>
        <w:tc>
          <w:tcPr>
            <w:tcW w:w="1121" w:type="dxa"/>
            <w:vAlign w:val="center"/>
          </w:tcPr>
          <w:p>
            <w:pPr>
              <w:pStyle w:val="107"/>
              <w:rPr>
                <w:rStyle w:val="63"/>
                <w:color w:val="auto"/>
              </w:rPr>
            </w:pPr>
            <w:r>
              <w:rPr>
                <w:rStyle w:val="63"/>
                <w:color w:val="auto"/>
              </w:rPr>
              <w:t>S1</w:t>
            </w:r>
          </w:p>
        </w:tc>
        <w:tc>
          <w:tcPr>
            <w:tcW w:w="3492" w:type="dxa"/>
            <w:vAlign w:val="center"/>
          </w:tcPr>
          <w:p>
            <w:pPr>
              <w:pStyle w:val="107"/>
              <w:rPr>
                <w:rStyle w:val="63"/>
                <w:color w:val="auto"/>
              </w:rPr>
            </w:pPr>
            <w:r>
              <w:rPr>
                <w:rStyle w:val="63"/>
                <w:color w:val="auto"/>
              </w:rPr>
              <w:t>项目厂区</w:t>
            </w:r>
          </w:p>
        </w:tc>
        <w:tc>
          <w:tcPr>
            <w:tcW w:w="4459" w:type="dxa"/>
            <w:vAlign w:val="center"/>
          </w:tcPr>
          <w:p>
            <w:pPr>
              <w:pStyle w:val="107"/>
              <w:rPr>
                <w:rStyle w:val="63"/>
                <w:color w:val="auto"/>
              </w:rPr>
            </w:pPr>
            <w:r>
              <w:rPr>
                <w:rStyle w:val="63"/>
                <w:rFonts w:hint="eastAsia"/>
                <w:color w:val="auto"/>
              </w:rPr>
              <w:t>建设用地土壤（工业用地）</w:t>
            </w:r>
          </w:p>
        </w:tc>
      </w:tr>
    </w:tbl>
    <w:p>
      <w:pPr>
        <w:pStyle w:val="126"/>
        <w:ind w:left="0" w:firstLine="482"/>
        <w:rPr>
          <w:rStyle w:val="63"/>
          <w:color w:val="auto"/>
        </w:rPr>
      </w:pPr>
      <w:r>
        <w:rPr>
          <w:rStyle w:val="63"/>
          <w:rFonts w:hint="eastAsia"/>
          <w:color w:val="auto"/>
        </w:rPr>
        <w:t>监测项目</w:t>
      </w:r>
    </w:p>
    <w:p>
      <w:pPr>
        <w:ind w:firstLine="480"/>
        <w:rPr>
          <w:rStyle w:val="63"/>
          <w:color w:val="auto"/>
        </w:rPr>
      </w:pPr>
      <w:r>
        <w:rPr>
          <w:rStyle w:val="63"/>
          <w:rFonts w:hint="eastAsia"/>
          <w:color w:val="auto"/>
        </w:rPr>
        <w:t>监测项目：pH值、总石油烃、铬、镉、汞、总砷、铅、铜、锌、镍，共</w:t>
      </w:r>
      <w:r>
        <w:rPr>
          <w:rStyle w:val="63"/>
          <w:color w:val="auto"/>
        </w:rPr>
        <w:t>10</w:t>
      </w:r>
      <w:r>
        <w:rPr>
          <w:rStyle w:val="63"/>
          <w:rFonts w:hint="eastAsia"/>
          <w:color w:val="auto"/>
        </w:rPr>
        <w:t>项。</w:t>
      </w:r>
    </w:p>
    <w:p>
      <w:pPr>
        <w:pStyle w:val="126"/>
        <w:ind w:left="0" w:firstLine="482"/>
        <w:rPr>
          <w:rStyle w:val="63"/>
          <w:color w:val="auto"/>
        </w:rPr>
      </w:pPr>
      <w:r>
        <w:rPr>
          <w:rStyle w:val="63"/>
          <w:rFonts w:hint="eastAsia"/>
          <w:color w:val="auto"/>
        </w:rPr>
        <w:t>监测时间与频次</w:t>
      </w:r>
    </w:p>
    <w:p>
      <w:pPr>
        <w:ind w:firstLine="480"/>
        <w:rPr>
          <w:rStyle w:val="63"/>
          <w:color w:val="auto"/>
        </w:rPr>
      </w:pPr>
      <w:r>
        <w:rPr>
          <w:rStyle w:val="63"/>
          <w:rFonts w:hint="eastAsia"/>
          <w:color w:val="auto"/>
        </w:rPr>
        <w:t>2019年</w:t>
      </w:r>
      <w:r>
        <w:rPr>
          <w:rStyle w:val="63"/>
          <w:color w:val="auto"/>
        </w:rPr>
        <w:t>4</w:t>
      </w:r>
      <w:r>
        <w:rPr>
          <w:rStyle w:val="63"/>
          <w:rFonts w:hint="eastAsia"/>
          <w:color w:val="auto"/>
        </w:rPr>
        <w:t>月</w:t>
      </w:r>
      <w:r>
        <w:rPr>
          <w:rStyle w:val="63"/>
          <w:color w:val="auto"/>
        </w:rPr>
        <w:t>27</w:t>
      </w:r>
      <w:r>
        <w:rPr>
          <w:rStyle w:val="63"/>
          <w:rFonts w:hint="eastAsia"/>
          <w:color w:val="auto"/>
        </w:rPr>
        <w:t>日，监测1天，采样1次。</w:t>
      </w:r>
    </w:p>
    <w:p>
      <w:pPr>
        <w:pStyle w:val="126"/>
        <w:ind w:left="0" w:firstLine="482"/>
        <w:rPr>
          <w:rStyle w:val="63"/>
          <w:color w:val="auto"/>
        </w:rPr>
      </w:pPr>
      <w:r>
        <w:rPr>
          <w:rStyle w:val="63"/>
          <w:rFonts w:hint="eastAsia"/>
          <w:color w:val="auto"/>
        </w:rPr>
        <w:t>监测取样方法</w:t>
      </w:r>
    </w:p>
    <w:p>
      <w:pPr>
        <w:pStyle w:val="99"/>
        <w:ind w:firstLine="480"/>
        <w:rPr>
          <w:rStyle w:val="63"/>
          <w:color w:val="auto"/>
        </w:rPr>
      </w:pPr>
      <w:r>
        <w:rPr>
          <w:rStyle w:val="63"/>
          <w:rFonts w:hint="eastAsia"/>
          <w:color w:val="auto"/>
        </w:rPr>
        <w:t>采样及分析方法按《土壤环境监测技术规范》（HJ/T</w:t>
      </w:r>
      <w:r>
        <w:rPr>
          <w:rStyle w:val="63"/>
          <w:color w:val="auto"/>
        </w:rPr>
        <w:t xml:space="preserve"> </w:t>
      </w:r>
      <w:r>
        <w:rPr>
          <w:rStyle w:val="63"/>
          <w:rFonts w:hint="eastAsia"/>
          <w:color w:val="auto"/>
        </w:rPr>
        <w:t>166-2004）、《场地环境监测技术导则》（HJ 25.2-2014）的有关规定进行。</w:t>
      </w:r>
    </w:p>
    <w:p>
      <w:pPr>
        <w:pStyle w:val="18"/>
        <w:rPr>
          <w:rStyle w:val="63"/>
          <w:color w:val="auto"/>
        </w:rPr>
      </w:pPr>
      <w:bookmarkStart w:id="405" w:name="_Ref2546561"/>
      <w:r>
        <w:rPr>
          <w:rStyle w:val="63"/>
          <w:rFonts w:hint="eastAsia"/>
          <w:color w:val="auto"/>
        </w:rPr>
        <w:t xml:space="preserve">表 </w:t>
      </w:r>
      <w:r>
        <w:rPr>
          <w:rStyle w:val="63"/>
          <w:color w:val="auto"/>
        </w:rPr>
        <w:fldChar w:fldCharType="begin"/>
      </w:r>
      <w:r>
        <w:rPr>
          <w:rStyle w:val="63"/>
          <w:color w:val="auto"/>
        </w:rPr>
        <w:instrText xml:space="preserve"> </w:instrText>
      </w:r>
      <w:r>
        <w:rPr>
          <w:rStyle w:val="63"/>
          <w:rFonts w:hint="eastAsia"/>
          <w:color w:val="auto"/>
        </w:rPr>
        <w:instrText xml:space="preserve">STYLEREF 2 \s</w:instrText>
      </w:r>
      <w:r>
        <w:rPr>
          <w:rStyle w:val="63"/>
          <w:color w:val="auto"/>
        </w:rPr>
        <w:instrText xml:space="preserve"> </w:instrText>
      </w:r>
      <w:r>
        <w:rPr>
          <w:rStyle w:val="63"/>
          <w:color w:val="auto"/>
        </w:rPr>
        <w:fldChar w:fldCharType="separate"/>
      </w:r>
      <w:r>
        <w:rPr>
          <w:rStyle w:val="63"/>
          <w:color w:val="auto"/>
        </w:rPr>
        <w:t>3.3</w:t>
      </w:r>
      <w:r>
        <w:rPr>
          <w:rStyle w:val="63"/>
          <w:color w:val="auto"/>
        </w:rPr>
        <w:fldChar w:fldCharType="end"/>
      </w:r>
      <w:r>
        <w:rPr>
          <w:rStyle w:val="63"/>
          <w:color w:val="auto"/>
        </w:rPr>
        <w:noBreakHyphen/>
      </w:r>
      <w:r>
        <w:rPr>
          <w:rStyle w:val="63"/>
          <w:color w:val="auto"/>
        </w:rPr>
        <w:fldChar w:fldCharType="begin"/>
      </w:r>
      <w:r>
        <w:rPr>
          <w:rStyle w:val="63"/>
          <w:color w:val="auto"/>
        </w:rPr>
        <w:instrText xml:space="preserve"> </w:instrText>
      </w:r>
      <w:r>
        <w:rPr>
          <w:rStyle w:val="63"/>
          <w:rFonts w:hint="eastAsia"/>
          <w:color w:val="auto"/>
        </w:rPr>
        <w:instrText xml:space="preserve">SEQ 表 \* ARABIC \s 2</w:instrText>
      </w:r>
      <w:r>
        <w:rPr>
          <w:rStyle w:val="63"/>
          <w:color w:val="auto"/>
        </w:rPr>
        <w:instrText xml:space="preserve"> </w:instrText>
      </w:r>
      <w:r>
        <w:rPr>
          <w:rStyle w:val="63"/>
          <w:color w:val="auto"/>
        </w:rPr>
        <w:fldChar w:fldCharType="separate"/>
      </w:r>
      <w:r>
        <w:rPr>
          <w:rStyle w:val="63"/>
          <w:color w:val="auto"/>
        </w:rPr>
        <w:t>19</w:t>
      </w:r>
      <w:r>
        <w:rPr>
          <w:rStyle w:val="63"/>
          <w:color w:val="auto"/>
        </w:rPr>
        <w:fldChar w:fldCharType="end"/>
      </w:r>
      <w:bookmarkEnd w:id="405"/>
      <w:r>
        <w:rPr>
          <w:rStyle w:val="63"/>
          <w:color w:val="auto"/>
        </w:rPr>
        <w:t xml:space="preserve"> </w:t>
      </w:r>
      <w:r>
        <w:rPr>
          <w:rStyle w:val="63"/>
          <w:rFonts w:hint="eastAsia"/>
          <w:color w:val="auto"/>
        </w:rPr>
        <w:t>土壤环境监测方法</w:t>
      </w:r>
    </w:p>
    <w:tbl>
      <w:tblPr>
        <w:tblStyle w:val="56"/>
        <w:tblW w:w="905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42"/>
        <w:gridCol w:w="4350"/>
        <w:gridCol w:w="1481"/>
        <w:gridCol w:w="1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Header/>
          <w:jc w:val="center"/>
        </w:trPr>
        <w:tc>
          <w:tcPr>
            <w:tcW w:w="1242" w:type="dxa"/>
            <w:vAlign w:val="center"/>
          </w:tcPr>
          <w:p>
            <w:pPr>
              <w:pStyle w:val="107"/>
              <w:rPr>
                <w:rStyle w:val="63"/>
                <w:b/>
                <w:color w:val="auto"/>
              </w:rPr>
            </w:pPr>
            <w:r>
              <w:rPr>
                <w:rStyle w:val="63"/>
                <w:b/>
                <w:color w:val="auto"/>
              </w:rPr>
              <w:t>项目</w:t>
            </w:r>
          </w:p>
        </w:tc>
        <w:tc>
          <w:tcPr>
            <w:tcW w:w="4350" w:type="dxa"/>
            <w:vAlign w:val="center"/>
          </w:tcPr>
          <w:p>
            <w:pPr>
              <w:pStyle w:val="107"/>
              <w:rPr>
                <w:rStyle w:val="63"/>
                <w:b/>
                <w:color w:val="auto"/>
              </w:rPr>
            </w:pPr>
            <w:r>
              <w:rPr>
                <w:rStyle w:val="63"/>
                <w:b/>
                <w:color w:val="auto"/>
              </w:rPr>
              <w:t>检测方法</w:t>
            </w:r>
          </w:p>
        </w:tc>
        <w:tc>
          <w:tcPr>
            <w:tcW w:w="1481" w:type="dxa"/>
            <w:vAlign w:val="center"/>
          </w:tcPr>
          <w:p>
            <w:pPr>
              <w:pStyle w:val="107"/>
              <w:rPr>
                <w:rStyle w:val="63"/>
                <w:b/>
                <w:color w:val="auto"/>
              </w:rPr>
            </w:pPr>
            <w:r>
              <w:rPr>
                <w:rStyle w:val="63"/>
                <w:b/>
                <w:color w:val="auto"/>
              </w:rPr>
              <w:t>检出限</w:t>
            </w:r>
          </w:p>
        </w:tc>
        <w:tc>
          <w:tcPr>
            <w:tcW w:w="1984" w:type="dxa"/>
            <w:vAlign w:val="center"/>
          </w:tcPr>
          <w:p>
            <w:pPr>
              <w:pStyle w:val="107"/>
              <w:rPr>
                <w:rStyle w:val="63"/>
                <w:b/>
                <w:color w:val="auto"/>
              </w:rPr>
            </w:pPr>
            <w:r>
              <w:rPr>
                <w:rStyle w:val="63"/>
                <w:b/>
                <w:color w:val="auto"/>
              </w:rPr>
              <w:t>主要仪器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242" w:type="dxa"/>
            <w:vAlign w:val="center"/>
          </w:tcPr>
          <w:p>
            <w:pPr>
              <w:pStyle w:val="107"/>
              <w:rPr>
                <w:rStyle w:val="63"/>
                <w:color w:val="auto"/>
              </w:rPr>
            </w:pPr>
            <w:r>
              <w:rPr>
                <w:rStyle w:val="63"/>
                <w:color w:val="auto"/>
              </w:rPr>
              <w:t>pH值</w:t>
            </w:r>
          </w:p>
        </w:tc>
        <w:tc>
          <w:tcPr>
            <w:tcW w:w="4350" w:type="dxa"/>
            <w:vAlign w:val="center"/>
          </w:tcPr>
          <w:p>
            <w:pPr>
              <w:pStyle w:val="107"/>
              <w:rPr>
                <w:rStyle w:val="63"/>
                <w:color w:val="auto"/>
              </w:rPr>
            </w:pPr>
            <w:r>
              <w:rPr>
                <w:rStyle w:val="63"/>
                <w:color w:val="auto"/>
              </w:rPr>
              <w:t>《土壤 pH的测定》NY/T 1377-2007</w:t>
            </w:r>
          </w:p>
        </w:tc>
        <w:tc>
          <w:tcPr>
            <w:tcW w:w="1481" w:type="dxa"/>
            <w:vAlign w:val="center"/>
          </w:tcPr>
          <w:p>
            <w:pPr>
              <w:pStyle w:val="107"/>
              <w:rPr>
                <w:rStyle w:val="63"/>
                <w:color w:val="auto"/>
              </w:rPr>
            </w:pPr>
            <w:r>
              <w:rPr>
                <w:rStyle w:val="63"/>
                <w:color w:val="auto"/>
              </w:rPr>
              <w:t>/</w:t>
            </w:r>
          </w:p>
        </w:tc>
        <w:tc>
          <w:tcPr>
            <w:tcW w:w="1984" w:type="dxa"/>
            <w:vAlign w:val="center"/>
          </w:tcPr>
          <w:p>
            <w:pPr>
              <w:pStyle w:val="107"/>
              <w:rPr>
                <w:rStyle w:val="63"/>
                <w:color w:val="auto"/>
              </w:rPr>
            </w:pPr>
            <w:r>
              <w:rPr>
                <w:rStyle w:val="63"/>
                <w:color w:val="auto"/>
              </w:rPr>
              <w:t>PH计 PHS-25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24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铜</w:t>
            </w:r>
          </w:p>
        </w:tc>
        <w:tc>
          <w:tcPr>
            <w:tcW w:w="4350"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《土壤质量 铜、锌的测定 火焰原子吸收分光光度法》GB/T 17138-1997</w:t>
            </w:r>
          </w:p>
        </w:tc>
        <w:tc>
          <w:tcPr>
            <w:tcW w:w="148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1mg/kg</w:t>
            </w:r>
          </w:p>
        </w:tc>
        <w:tc>
          <w:tcPr>
            <w:tcW w:w="1984"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原子吸收分光光度计AA-6880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24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砷</w:t>
            </w:r>
          </w:p>
        </w:tc>
        <w:tc>
          <w:tcPr>
            <w:tcW w:w="4350"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《土壤和沉积物 汞、砷、硒、铋、锑的测定 微波消解/原子荧光法》 HJ 680-2013</w:t>
            </w:r>
          </w:p>
        </w:tc>
        <w:tc>
          <w:tcPr>
            <w:tcW w:w="148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0.01mg/kg</w:t>
            </w:r>
          </w:p>
        </w:tc>
        <w:tc>
          <w:tcPr>
            <w:tcW w:w="1984"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原子荧光光谱仪AFS-8220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24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汞</w:t>
            </w:r>
          </w:p>
        </w:tc>
        <w:tc>
          <w:tcPr>
            <w:tcW w:w="4350" w:type="dxa"/>
            <w:vMerge w:val="continue"/>
            <w:vAlign w:val="center"/>
          </w:tcPr>
          <w:p>
            <w:pPr>
              <w:pStyle w:val="107"/>
              <w:rPr>
                <w:rStyle w:val="63"/>
                <w:color w:val="000000" w:themeColor="text1"/>
                <w14:textFill>
                  <w14:solidFill>
                    <w14:schemeClr w14:val="tx1"/>
                  </w14:solidFill>
                </w14:textFill>
              </w:rPr>
            </w:pPr>
          </w:p>
        </w:tc>
        <w:tc>
          <w:tcPr>
            <w:tcW w:w="148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0.002mg/kg</w:t>
            </w:r>
          </w:p>
        </w:tc>
        <w:tc>
          <w:tcPr>
            <w:tcW w:w="1984"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原子荧光光谱仪AFS-8220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24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镍</w:t>
            </w:r>
          </w:p>
        </w:tc>
        <w:tc>
          <w:tcPr>
            <w:tcW w:w="4350"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《土壤质量 镍的测定 火焰原子吸收分光光度法》  GB/T 17139-1997</w:t>
            </w:r>
          </w:p>
        </w:tc>
        <w:tc>
          <w:tcPr>
            <w:tcW w:w="148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5mg/kg</w:t>
            </w:r>
          </w:p>
        </w:tc>
        <w:tc>
          <w:tcPr>
            <w:tcW w:w="1984"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原子吸收分光光度计AA-6880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24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镉</w:t>
            </w:r>
          </w:p>
        </w:tc>
        <w:tc>
          <w:tcPr>
            <w:tcW w:w="4350"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《土壤质量 铅、镉的测定 石墨炉原子吸收分光光度法》GB/T 17141-1997</w:t>
            </w:r>
          </w:p>
        </w:tc>
        <w:tc>
          <w:tcPr>
            <w:tcW w:w="148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0.01mg/kg</w:t>
            </w:r>
          </w:p>
        </w:tc>
        <w:tc>
          <w:tcPr>
            <w:tcW w:w="1984"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原子吸收分光光度计AA-6880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24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铅</w:t>
            </w:r>
          </w:p>
        </w:tc>
        <w:tc>
          <w:tcPr>
            <w:tcW w:w="4350" w:type="dxa"/>
            <w:vMerge w:val="continue"/>
            <w:vAlign w:val="center"/>
          </w:tcPr>
          <w:p>
            <w:pPr>
              <w:pStyle w:val="107"/>
              <w:rPr>
                <w:rStyle w:val="63"/>
                <w:color w:val="000000" w:themeColor="text1"/>
                <w14:textFill>
                  <w14:solidFill>
                    <w14:schemeClr w14:val="tx1"/>
                  </w14:solidFill>
                </w14:textFill>
              </w:rPr>
            </w:pPr>
          </w:p>
        </w:tc>
        <w:tc>
          <w:tcPr>
            <w:tcW w:w="148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0.1mg/kg</w:t>
            </w:r>
          </w:p>
        </w:tc>
        <w:tc>
          <w:tcPr>
            <w:tcW w:w="1984"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原子吸收分光光度计AA-6880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jc w:val="center"/>
        </w:trPr>
        <w:tc>
          <w:tcPr>
            <w:tcW w:w="1242" w:type="dxa"/>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铬</w:t>
            </w:r>
          </w:p>
        </w:tc>
        <w:tc>
          <w:tcPr>
            <w:tcW w:w="4350" w:type="dxa"/>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《土壤</w:t>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总铬的测定</w:t>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火焰原子吸收分光光度法》</w:t>
            </w:r>
            <w:r>
              <w:rPr>
                <w:rStyle w:val="63"/>
                <w:color w:val="000000" w:themeColor="text1"/>
                <w14:textFill>
                  <w14:solidFill>
                    <w14:schemeClr w14:val="tx1"/>
                  </w14:solidFill>
                </w14:textFill>
              </w:rPr>
              <w:t>HJ 491-2009</w:t>
            </w:r>
          </w:p>
        </w:tc>
        <w:tc>
          <w:tcPr>
            <w:tcW w:w="148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5mg/kg</w:t>
            </w:r>
          </w:p>
        </w:tc>
        <w:tc>
          <w:tcPr>
            <w:tcW w:w="1984" w:type="dxa"/>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原子吸收分光光度计</w:t>
            </w:r>
            <w:r>
              <w:rPr>
                <w:rStyle w:val="63"/>
                <w:color w:val="000000" w:themeColor="text1"/>
                <w14:textFill>
                  <w14:solidFill>
                    <w14:schemeClr w14:val="tx1"/>
                  </w14:solidFill>
                </w14:textFill>
              </w:rPr>
              <w:t>AA-6880F/AAC</w:t>
            </w:r>
          </w:p>
        </w:tc>
      </w:tr>
    </w:tbl>
    <w:p>
      <w:pPr>
        <w:pStyle w:val="6"/>
        <w:rPr>
          <w:rStyle w:val="63"/>
          <w:color w:val="auto"/>
        </w:rPr>
      </w:pPr>
      <w:r>
        <w:rPr>
          <w:rStyle w:val="63"/>
          <w:rFonts w:hint="eastAsia"/>
          <w:color w:val="auto"/>
        </w:rPr>
        <w:t>土壤环境质量现状评价</w:t>
      </w:r>
    </w:p>
    <w:p>
      <w:pPr>
        <w:pStyle w:val="126"/>
        <w:ind w:left="0" w:firstLine="482"/>
        <w:rPr>
          <w:rStyle w:val="63"/>
          <w:color w:val="auto"/>
        </w:rPr>
      </w:pPr>
      <w:r>
        <w:rPr>
          <w:rStyle w:val="63"/>
          <w:rFonts w:hint="eastAsia"/>
          <w:color w:val="auto"/>
        </w:rPr>
        <w:t>评价标准</w:t>
      </w:r>
    </w:p>
    <w:p>
      <w:pPr>
        <w:ind w:firstLine="480"/>
        <w:rPr>
          <w:rStyle w:val="63"/>
          <w:color w:val="auto"/>
        </w:rPr>
      </w:pPr>
      <w:bookmarkStart w:id="406" w:name="_Hlk11705527"/>
      <w:r>
        <w:rPr>
          <w:rFonts w:hint="eastAsia"/>
          <w:color w:val="000000"/>
        </w:rPr>
        <w:t>本项目土壤质量监测按《土壤环境质量标准》（</w:t>
      </w:r>
      <w:r>
        <w:rPr>
          <w:color w:val="000000"/>
        </w:rPr>
        <w:t>GB15618-1995</w:t>
      </w:r>
      <w:r>
        <w:rPr>
          <w:rFonts w:hint="eastAsia"/>
          <w:color w:val="000000"/>
        </w:rPr>
        <w:t>）和《土壤环境监测技术规范》（</w:t>
      </w:r>
      <w:r>
        <w:rPr>
          <w:color w:val="000000"/>
        </w:rPr>
        <w:t>HJ/R166-2004</w:t>
      </w:r>
      <w:r>
        <w:rPr>
          <w:rFonts w:hint="eastAsia"/>
          <w:color w:val="000000"/>
        </w:rPr>
        <w:t>）等相关规范和要求执行</w:t>
      </w:r>
      <w:r>
        <w:rPr>
          <w:rStyle w:val="63"/>
          <w:rFonts w:hint="eastAsia"/>
          <w:color w:val="auto"/>
        </w:rPr>
        <w:t>。本项目所执行的评价标准限值摘录详见</w:t>
      </w:r>
      <w:r>
        <w:rPr>
          <w:rStyle w:val="63"/>
          <w:color w:val="auto"/>
        </w:rPr>
        <w:fldChar w:fldCharType="begin"/>
      </w:r>
      <w:r>
        <w:rPr>
          <w:rStyle w:val="63"/>
          <w:color w:val="auto"/>
        </w:rPr>
        <w:instrText xml:space="preserve"> </w:instrText>
      </w:r>
      <w:r>
        <w:rPr>
          <w:rStyle w:val="63"/>
          <w:rFonts w:hint="eastAsia"/>
          <w:color w:val="auto"/>
        </w:rPr>
        <w:instrText xml:space="preserve">REF _Ref2540490 \r \h</w:instrText>
      </w:r>
      <w:r>
        <w:rPr>
          <w:rStyle w:val="63"/>
          <w:color w:val="auto"/>
        </w:rPr>
        <w:instrText xml:space="preserve">  \* MERGEFORMAT </w:instrText>
      </w:r>
      <w:r>
        <w:rPr>
          <w:rStyle w:val="63"/>
          <w:color w:val="auto"/>
        </w:rPr>
        <w:fldChar w:fldCharType="separate"/>
      </w:r>
      <w:r>
        <w:rPr>
          <w:rStyle w:val="63"/>
          <w:color w:val="auto"/>
        </w:rPr>
        <w:t>1.4.2</w:t>
      </w:r>
      <w:r>
        <w:rPr>
          <w:rStyle w:val="63"/>
          <w:color w:val="auto"/>
        </w:rPr>
        <w:fldChar w:fldCharType="end"/>
      </w:r>
      <w:r>
        <w:rPr>
          <w:rStyle w:val="63"/>
          <w:rFonts w:hint="eastAsia"/>
          <w:color w:val="auto"/>
        </w:rPr>
        <w:t>节</w:t>
      </w:r>
      <w:r>
        <w:rPr>
          <w:rStyle w:val="63"/>
          <w:color w:val="auto"/>
        </w:rPr>
        <w:fldChar w:fldCharType="begin"/>
      </w:r>
      <w:r>
        <w:rPr>
          <w:rStyle w:val="63"/>
          <w:color w:val="auto"/>
        </w:rPr>
        <w:instrText xml:space="preserve"> </w:instrText>
      </w:r>
      <w:r>
        <w:rPr>
          <w:rStyle w:val="63"/>
          <w:rFonts w:hint="eastAsia"/>
          <w:color w:val="auto"/>
        </w:rPr>
        <w:instrText xml:space="preserve">REF _Ref2540277 \h</w:instrText>
      </w:r>
      <w:r>
        <w:rPr>
          <w:rStyle w:val="63"/>
          <w:color w:val="auto"/>
        </w:rPr>
        <w:instrText xml:space="preserve">  \* MERGEFORMAT </w:instrText>
      </w:r>
      <w:r>
        <w:rPr>
          <w:rStyle w:val="63"/>
          <w:color w:val="auto"/>
        </w:rPr>
        <w:fldChar w:fldCharType="separate"/>
      </w:r>
      <w:r>
        <w:rPr>
          <w:rStyle w:val="63"/>
          <w:rFonts w:hint="eastAsia"/>
          <w:color w:val="auto"/>
        </w:rPr>
        <w:t xml:space="preserve">表 </w:t>
      </w:r>
      <w:r>
        <w:rPr>
          <w:rStyle w:val="63"/>
          <w:color w:val="auto"/>
        </w:rPr>
        <w:t>1.4</w:t>
      </w:r>
      <w:r>
        <w:rPr>
          <w:rStyle w:val="63"/>
          <w:color w:val="auto"/>
        </w:rPr>
        <w:noBreakHyphen/>
      </w:r>
      <w:r>
        <w:rPr>
          <w:rStyle w:val="63"/>
          <w:color w:val="auto"/>
        </w:rPr>
        <w:t>5</w:t>
      </w:r>
      <w:r>
        <w:rPr>
          <w:rStyle w:val="63"/>
          <w:color w:val="auto"/>
        </w:rPr>
        <w:fldChar w:fldCharType="end"/>
      </w:r>
      <w:r>
        <w:rPr>
          <w:rStyle w:val="63"/>
          <w:rFonts w:hint="eastAsia"/>
          <w:color w:val="auto"/>
        </w:rPr>
        <w:t>。</w:t>
      </w:r>
    </w:p>
    <w:bookmarkEnd w:id="406"/>
    <w:p>
      <w:pPr>
        <w:pStyle w:val="126"/>
        <w:ind w:left="0" w:firstLine="482"/>
        <w:rPr>
          <w:rStyle w:val="63"/>
          <w:color w:val="auto"/>
        </w:rPr>
      </w:pPr>
      <w:r>
        <w:rPr>
          <w:rStyle w:val="63"/>
          <w:rFonts w:hint="eastAsia"/>
          <w:color w:val="auto"/>
        </w:rPr>
        <w:t>评价方法</w:t>
      </w:r>
    </w:p>
    <w:p>
      <w:pPr>
        <w:ind w:firstLine="480"/>
        <w:rPr>
          <w:rStyle w:val="63"/>
          <w:color w:val="auto"/>
        </w:rPr>
      </w:pPr>
      <w:r>
        <w:rPr>
          <w:rStyle w:val="63"/>
          <w:rFonts w:hint="eastAsia"/>
          <w:color w:val="auto"/>
        </w:rPr>
        <w:t>采用与评价标准对比的评价方法。</w:t>
      </w:r>
    </w:p>
    <w:p>
      <w:pPr>
        <w:pStyle w:val="126"/>
        <w:ind w:left="0" w:firstLine="482"/>
        <w:rPr>
          <w:rStyle w:val="63"/>
          <w:color w:val="auto"/>
        </w:rPr>
      </w:pPr>
      <w:r>
        <w:rPr>
          <w:rStyle w:val="63"/>
          <w:rFonts w:hint="eastAsia"/>
          <w:color w:val="auto"/>
        </w:rPr>
        <w:t>监测结果</w:t>
      </w:r>
    </w:p>
    <w:p>
      <w:pPr>
        <w:ind w:firstLine="480"/>
        <w:rPr>
          <w:rStyle w:val="63"/>
          <w:color w:val="auto"/>
        </w:rPr>
      </w:pPr>
      <w:r>
        <w:rPr>
          <w:rStyle w:val="63"/>
          <w:rFonts w:hint="eastAsia"/>
          <w:color w:val="auto"/>
        </w:rPr>
        <w:t>土壤环境现状监测和评价结果见</w:t>
      </w:r>
      <w:r>
        <w:rPr>
          <w:rStyle w:val="63"/>
          <w:color w:val="auto"/>
        </w:rPr>
        <w:fldChar w:fldCharType="begin"/>
      </w:r>
      <w:r>
        <w:rPr>
          <w:rStyle w:val="63"/>
          <w:color w:val="auto"/>
        </w:rPr>
        <w:instrText xml:space="preserve"> </w:instrText>
      </w:r>
      <w:r>
        <w:rPr>
          <w:rStyle w:val="63"/>
          <w:rFonts w:hint="eastAsia"/>
          <w:color w:val="auto"/>
        </w:rPr>
        <w:instrText xml:space="preserve">REF _Ref2602602 \h</w:instrText>
      </w:r>
      <w:r>
        <w:rPr>
          <w:rStyle w:val="63"/>
          <w:color w:val="auto"/>
        </w:rPr>
        <w:instrText xml:space="preserve"> </w:instrText>
      </w:r>
      <w:r>
        <w:rPr>
          <w:rStyle w:val="63"/>
          <w:color w:val="auto"/>
        </w:rPr>
        <w:fldChar w:fldCharType="separate"/>
      </w:r>
      <w:r>
        <w:rPr>
          <w:rStyle w:val="63"/>
          <w:rFonts w:hint="eastAsia"/>
          <w:color w:val="auto"/>
        </w:rPr>
        <w:t xml:space="preserve">表 </w:t>
      </w:r>
      <w:r>
        <w:rPr>
          <w:rStyle w:val="63"/>
          <w:color w:val="auto"/>
        </w:rPr>
        <w:t>3.3</w:t>
      </w:r>
      <w:r>
        <w:rPr>
          <w:rStyle w:val="63"/>
          <w:color w:val="auto"/>
        </w:rPr>
        <w:noBreakHyphen/>
      </w:r>
      <w:r>
        <w:rPr>
          <w:rStyle w:val="63"/>
          <w:color w:val="auto"/>
        </w:rPr>
        <w:t>20</w:t>
      </w:r>
      <w:r>
        <w:rPr>
          <w:rStyle w:val="63"/>
          <w:color w:val="auto"/>
        </w:rPr>
        <w:fldChar w:fldCharType="end"/>
      </w:r>
      <w:r>
        <w:rPr>
          <w:rStyle w:val="63"/>
          <w:rFonts w:hint="eastAsia"/>
          <w:color w:val="auto"/>
        </w:rPr>
        <w:t>。</w:t>
      </w:r>
    </w:p>
    <w:p>
      <w:pPr>
        <w:pStyle w:val="18"/>
        <w:rPr>
          <w:rStyle w:val="63"/>
          <w:color w:val="auto"/>
        </w:rPr>
      </w:pPr>
      <w:bookmarkStart w:id="407" w:name="_Ref2602602"/>
      <w:r>
        <w:rPr>
          <w:rStyle w:val="63"/>
          <w:rFonts w:hint="eastAsia"/>
          <w:color w:val="auto"/>
        </w:rPr>
        <w:t xml:space="preserve">表 </w:t>
      </w:r>
      <w:r>
        <w:rPr>
          <w:rStyle w:val="63"/>
          <w:color w:val="auto"/>
        </w:rPr>
        <w:fldChar w:fldCharType="begin"/>
      </w:r>
      <w:r>
        <w:rPr>
          <w:rStyle w:val="63"/>
          <w:color w:val="auto"/>
        </w:rPr>
        <w:instrText xml:space="preserve"> </w:instrText>
      </w:r>
      <w:r>
        <w:rPr>
          <w:rStyle w:val="63"/>
          <w:rFonts w:hint="eastAsia"/>
          <w:color w:val="auto"/>
        </w:rPr>
        <w:instrText xml:space="preserve">STYLEREF 2 \s</w:instrText>
      </w:r>
      <w:r>
        <w:rPr>
          <w:rStyle w:val="63"/>
          <w:color w:val="auto"/>
        </w:rPr>
        <w:instrText xml:space="preserve"> </w:instrText>
      </w:r>
      <w:r>
        <w:rPr>
          <w:rStyle w:val="63"/>
          <w:color w:val="auto"/>
        </w:rPr>
        <w:fldChar w:fldCharType="separate"/>
      </w:r>
      <w:r>
        <w:rPr>
          <w:rStyle w:val="63"/>
          <w:color w:val="auto"/>
        </w:rPr>
        <w:t>3.3</w:t>
      </w:r>
      <w:r>
        <w:rPr>
          <w:rStyle w:val="63"/>
          <w:color w:val="auto"/>
        </w:rPr>
        <w:fldChar w:fldCharType="end"/>
      </w:r>
      <w:r>
        <w:rPr>
          <w:rStyle w:val="63"/>
          <w:color w:val="auto"/>
        </w:rPr>
        <w:noBreakHyphen/>
      </w:r>
      <w:r>
        <w:rPr>
          <w:rStyle w:val="63"/>
          <w:color w:val="auto"/>
        </w:rPr>
        <w:fldChar w:fldCharType="begin"/>
      </w:r>
      <w:r>
        <w:rPr>
          <w:rStyle w:val="63"/>
          <w:color w:val="auto"/>
        </w:rPr>
        <w:instrText xml:space="preserve"> </w:instrText>
      </w:r>
      <w:r>
        <w:rPr>
          <w:rStyle w:val="63"/>
          <w:rFonts w:hint="eastAsia"/>
          <w:color w:val="auto"/>
        </w:rPr>
        <w:instrText xml:space="preserve">SEQ 表 \* ARABIC \s 2</w:instrText>
      </w:r>
      <w:r>
        <w:rPr>
          <w:rStyle w:val="63"/>
          <w:color w:val="auto"/>
        </w:rPr>
        <w:instrText xml:space="preserve"> </w:instrText>
      </w:r>
      <w:r>
        <w:rPr>
          <w:rStyle w:val="63"/>
          <w:color w:val="auto"/>
        </w:rPr>
        <w:fldChar w:fldCharType="separate"/>
      </w:r>
      <w:r>
        <w:rPr>
          <w:rStyle w:val="63"/>
          <w:color w:val="auto"/>
        </w:rPr>
        <w:t>20</w:t>
      </w:r>
      <w:r>
        <w:rPr>
          <w:rStyle w:val="63"/>
          <w:color w:val="auto"/>
        </w:rPr>
        <w:fldChar w:fldCharType="end"/>
      </w:r>
      <w:bookmarkEnd w:id="407"/>
      <w:r>
        <w:rPr>
          <w:rStyle w:val="63"/>
          <w:color w:val="auto"/>
        </w:rPr>
        <w:t xml:space="preserve"> </w:t>
      </w:r>
      <w:r>
        <w:rPr>
          <w:rStyle w:val="63"/>
          <w:rFonts w:hint="eastAsia"/>
          <w:color w:val="auto"/>
        </w:rPr>
        <w:t>厂区内土壤环境质量现状监测结果</w:t>
      </w:r>
      <w:r>
        <w:rPr>
          <w:rStyle w:val="63"/>
          <w:color w:val="auto"/>
        </w:rPr>
        <w:tab/>
      </w:r>
      <w:r>
        <w:rPr>
          <w:rStyle w:val="63"/>
          <w:rFonts w:hint="eastAsia"/>
          <w:color w:val="auto"/>
        </w:rPr>
        <w:t>单位：μg/kg，注明除外</w:t>
      </w:r>
    </w:p>
    <w:tbl>
      <w:tblPr>
        <w:tblStyle w:val="56"/>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2399"/>
        <w:gridCol w:w="2568"/>
        <w:gridCol w:w="3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trPr>
        <w:tc>
          <w:tcPr>
            <w:tcW w:w="840" w:type="dxa"/>
            <w:shd w:val="clear" w:color="auto" w:fill="auto"/>
            <w:noWrap/>
            <w:vAlign w:val="center"/>
          </w:tcPr>
          <w:p>
            <w:pPr>
              <w:pStyle w:val="107"/>
              <w:rPr>
                <w:rStyle w:val="63"/>
                <w:b/>
                <w:color w:val="auto"/>
              </w:rPr>
            </w:pPr>
            <w:r>
              <w:rPr>
                <w:rStyle w:val="63"/>
                <w:rFonts w:hint="eastAsia"/>
                <w:b/>
                <w:color w:val="auto"/>
              </w:rPr>
              <w:t>序号</w:t>
            </w:r>
          </w:p>
        </w:tc>
        <w:tc>
          <w:tcPr>
            <w:tcW w:w="2399" w:type="dxa"/>
            <w:shd w:val="clear" w:color="auto" w:fill="auto"/>
            <w:vAlign w:val="center"/>
          </w:tcPr>
          <w:p>
            <w:pPr>
              <w:pStyle w:val="107"/>
              <w:rPr>
                <w:rStyle w:val="63"/>
                <w:b/>
                <w:color w:val="auto"/>
              </w:rPr>
            </w:pPr>
            <w:r>
              <w:rPr>
                <w:rStyle w:val="63"/>
                <w:rFonts w:hint="eastAsia"/>
                <w:b/>
                <w:color w:val="auto"/>
              </w:rPr>
              <w:t>检测项目</w:t>
            </w:r>
          </w:p>
        </w:tc>
        <w:tc>
          <w:tcPr>
            <w:tcW w:w="2568" w:type="dxa"/>
            <w:shd w:val="clear" w:color="auto" w:fill="auto"/>
            <w:vAlign w:val="center"/>
          </w:tcPr>
          <w:p>
            <w:pPr>
              <w:pStyle w:val="107"/>
              <w:rPr>
                <w:rStyle w:val="63"/>
                <w:b/>
                <w:color w:val="auto"/>
              </w:rPr>
            </w:pPr>
            <w:r>
              <w:rPr>
                <w:rStyle w:val="63"/>
                <w:rFonts w:hint="eastAsia"/>
                <w:b/>
                <w:color w:val="auto"/>
              </w:rPr>
              <w:t>检测结果</w:t>
            </w:r>
          </w:p>
        </w:tc>
        <w:tc>
          <w:tcPr>
            <w:tcW w:w="3260" w:type="dxa"/>
            <w:shd w:val="clear" w:color="auto" w:fill="auto"/>
          </w:tcPr>
          <w:p>
            <w:pPr>
              <w:pStyle w:val="107"/>
              <w:rPr>
                <w:rStyle w:val="63"/>
                <w:b/>
                <w:color w:val="auto"/>
              </w:rPr>
            </w:pPr>
            <w:r>
              <w:rPr>
                <w:rStyle w:val="63"/>
                <w:rFonts w:hint="eastAsia"/>
                <w:b/>
                <w:color w:val="auto"/>
              </w:rPr>
              <w:t>《土壤环境质量标准》（</w:t>
            </w:r>
            <w:r>
              <w:rPr>
                <w:rStyle w:val="63"/>
                <w:b/>
                <w:color w:val="auto"/>
              </w:rPr>
              <w:t>GB15618-1995</w:t>
            </w:r>
            <w:r>
              <w:rPr>
                <w:rStyle w:val="63"/>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auto"/>
              </w:rPr>
            </w:pPr>
            <w:r>
              <w:rPr>
                <w:rStyle w:val="63"/>
                <w:color w:val="auto"/>
              </w:rPr>
              <w:t>1</w:t>
            </w:r>
          </w:p>
        </w:tc>
        <w:tc>
          <w:tcPr>
            <w:tcW w:w="2399" w:type="dxa"/>
            <w:shd w:val="clear" w:color="auto" w:fill="auto"/>
            <w:vAlign w:val="center"/>
          </w:tcPr>
          <w:p>
            <w:pPr>
              <w:pStyle w:val="107"/>
              <w:rPr>
                <w:rStyle w:val="63"/>
                <w:color w:val="auto"/>
              </w:rPr>
            </w:pPr>
            <w:r>
              <w:rPr>
                <w:rStyle w:val="63"/>
                <w:rFonts w:hint="eastAsia"/>
                <w:color w:val="auto"/>
              </w:rPr>
              <w:t>pH值（无量纲）</w:t>
            </w:r>
          </w:p>
        </w:tc>
        <w:tc>
          <w:tcPr>
            <w:tcW w:w="2568" w:type="dxa"/>
            <w:vAlign w:val="center"/>
          </w:tcPr>
          <w:p>
            <w:pPr>
              <w:pStyle w:val="107"/>
              <w:rPr>
                <w:rStyle w:val="63"/>
                <w:color w:val="auto"/>
              </w:rPr>
            </w:pPr>
            <w:r>
              <w:rPr>
                <w:rStyle w:val="63"/>
                <w:color w:val="auto"/>
              </w:rPr>
              <w:t>6.74</w:t>
            </w:r>
          </w:p>
        </w:tc>
        <w:tc>
          <w:tcPr>
            <w:tcW w:w="3260" w:type="dxa"/>
            <w:shd w:val="clear" w:color="auto" w:fill="auto"/>
            <w:noWrap/>
            <w:vAlign w:val="center"/>
          </w:tcPr>
          <w:p>
            <w:pPr>
              <w:pStyle w:val="107"/>
              <w:rPr>
                <w:rStyle w:val="63"/>
                <w:color w:val="auto"/>
              </w:rPr>
            </w:pPr>
            <w:r>
              <w:rPr>
                <w:rStyle w:val="63"/>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auto"/>
              </w:rPr>
            </w:pPr>
            <w:r>
              <w:rPr>
                <w:rStyle w:val="63"/>
                <w:color w:val="auto"/>
              </w:rPr>
              <w:t>2</w:t>
            </w:r>
          </w:p>
        </w:tc>
        <w:tc>
          <w:tcPr>
            <w:tcW w:w="2399" w:type="dxa"/>
            <w:shd w:val="clear" w:color="auto" w:fill="auto"/>
            <w:vAlign w:val="center"/>
          </w:tcPr>
          <w:p>
            <w:pPr>
              <w:pStyle w:val="107"/>
              <w:rPr>
                <w:rStyle w:val="63"/>
                <w:color w:val="auto"/>
              </w:rPr>
            </w:pPr>
            <w:r>
              <w:rPr>
                <w:rStyle w:val="63"/>
                <w:rFonts w:hint="eastAsia"/>
                <w:color w:val="auto"/>
              </w:rPr>
              <w:t>砷（</w:t>
            </w:r>
            <w:r>
              <w:rPr>
                <w:rStyle w:val="63"/>
                <w:color w:val="auto"/>
              </w:rPr>
              <w:t>mg/kg</w:t>
            </w:r>
            <w:r>
              <w:rPr>
                <w:rStyle w:val="63"/>
                <w:rFonts w:hint="eastAsia"/>
                <w:color w:val="auto"/>
              </w:rPr>
              <w:t>）</w:t>
            </w:r>
          </w:p>
        </w:tc>
        <w:tc>
          <w:tcPr>
            <w:tcW w:w="2568" w:type="dxa"/>
            <w:shd w:val="clear" w:color="auto" w:fill="auto"/>
            <w:vAlign w:val="center"/>
          </w:tcPr>
          <w:p>
            <w:pPr>
              <w:pStyle w:val="107"/>
              <w:rPr>
                <w:rStyle w:val="63"/>
                <w:color w:val="auto"/>
              </w:rPr>
            </w:pPr>
            <w:r>
              <w:rPr>
                <w:rStyle w:val="63"/>
                <w:color w:val="auto"/>
              </w:rPr>
              <w:t>ND</w:t>
            </w:r>
          </w:p>
        </w:tc>
        <w:tc>
          <w:tcPr>
            <w:tcW w:w="3260" w:type="dxa"/>
            <w:shd w:val="clear" w:color="auto" w:fill="auto"/>
            <w:noWrap/>
            <w:vAlign w:val="center"/>
          </w:tcPr>
          <w:p>
            <w:pPr>
              <w:pStyle w:val="107"/>
              <w:rPr>
                <w:rStyle w:val="63"/>
                <w:color w:val="auto"/>
              </w:rPr>
            </w:pPr>
            <w:r>
              <w:rPr>
                <w:rFonts w:ascii="Times New Roman" w:hAnsi="Times New Roma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auto"/>
              </w:rPr>
            </w:pPr>
            <w:r>
              <w:rPr>
                <w:rStyle w:val="63"/>
                <w:color w:val="auto"/>
              </w:rPr>
              <w:t>3</w:t>
            </w:r>
          </w:p>
        </w:tc>
        <w:tc>
          <w:tcPr>
            <w:tcW w:w="2399" w:type="dxa"/>
            <w:shd w:val="clear" w:color="auto" w:fill="auto"/>
            <w:vAlign w:val="center"/>
          </w:tcPr>
          <w:p>
            <w:pPr>
              <w:pStyle w:val="107"/>
              <w:rPr>
                <w:rStyle w:val="63"/>
                <w:color w:val="auto"/>
              </w:rPr>
            </w:pPr>
            <w:r>
              <w:rPr>
                <w:rStyle w:val="63"/>
                <w:rFonts w:hint="eastAsia"/>
                <w:color w:val="auto"/>
              </w:rPr>
              <w:t>汞（</w:t>
            </w:r>
            <w:r>
              <w:rPr>
                <w:rStyle w:val="63"/>
                <w:color w:val="auto"/>
              </w:rPr>
              <w:t>mg/kg</w:t>
            </w:r>
            <w:r>
              <w:rPr>
                <w:rStyle w:val="63"/>
                <w:rFonts w:hint="eastAsia"/>
                <w:color w:val="auto"/>
              </w:rPr>
              <w:t>）</w:t>
            </w:r>
          </w:p>
        </w:tc>
        <w:tc>
          <w:tcPr>
            <w:tcW w:w="2568" w:type="dxa"/>
            <w:shd w:val="clear" w:color="auto" w:fill="auto"/>
            <w:vAlign w:val="center"/>
          </w:tcPr>
          <w:p>
            <w:pPr>
              <w:pStyle w:val="107"/>
              <w:rPr>
                <w:rStyle w:val="63"/>
                <w:color w:val="auto"/>
              </w:rPr>
            </w:pPr>
            <w:r>
              <w:rPr>
                <w:rStyle w:val="63"/>
                <w:color w:val="auto"/>
              </w:rPr>
              <w:t>ND</w:t>
            </w:r>
          </w:p>
        </w:tc>
        <w:tc>
          <w:tcPr>
            <w:tcW w:w="3260" w:type="dxa"/>
            <w:shd w:val="clear" w:color="auto" w:fill="auto"/>
            <w:noWrap/>
            <w:vAlign w:val="center"/>
          </w:tcPr>
          <w:p>
            <w:pPr>
              <w:pStyle w:val="107"/>
              <w:rPr>
                <w:rStyle w:val="63"/>
                <w:color w:val="auto"/>
              </w:rPr>
            </w:pPr>
            <w:r>
              <w:rPr>
                <w:rFonts w:ascii="Times New Roman" w:hAnsi="Times New Roma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auto"/>
              </w:rPr>
            </w:pPr>
            <w:r>
              <w:rPr>
                <w:rStyle w:val="63"/>
                <w:color w:val="auto"/>
              </w:rPr>
              <w:t>4</w:t>
            </w:r>
          </w:p>
        </w:tc>
        <w:tc>
          <w:tcPr>
            <w:tcW w:w="2399" w:type="dxa"/>
            <w:shd w:val="clear" w:color="auto" w:fill="auto"/>
            <w:vAlign w:val="center"/>
          </w:tcPr>
          <w:p>
            <w:pPr>
              <w:pStyle w:val="107"/>
              <w:rPr>
                <w:rStyle w:val="63"/>
                <w:color w:val="auto"/>
              </w:rPr>
            </w:pPr>
            <w:r>
              <w:rPr>
                <w:rStyle w:val="63"/>
                <w:rFonts w:hint="eastAsia"/>
                <w:color w:val="auto"/>
              </w:rPr>
              <w:t>铜（</w:t>
            </w:r>
            <w:r>
              <w:rPr>
                <w:rStyle w:val="63"/>
                <w:color w:val="auto"/>
              </w:rPr>
              <w:t>mg/kg</w:t>
            </w:r>
            <w:r>
              <w:rPr>
                <w:rStyle w:val="63"/>
                <w:rFonts w:hint="eastAsia"/>
                <w:color w:val="auto"/>
              </w:rPr>
              <w:t>）</w:t>
            </w:r>
          </w:p>
        </w:tc>
        <w:tc>
          <w:tcPr>
            <w:tcW w:w="2568" w:type="dxa"/>
            <w:shd w:val="clear" w:color="auto" w:fill="auto"/>
            <w:vAlign w:val="center"/>
          </w:tcPr>
          <w:p>
            <w:pPr>
              <w:pStyle w:val="107"/>
              <w:rPr>
                <w:rStyle w:val="63"/>
                <w:color w:val="auto"/>
              </w:rPr>
            </w:pPr>
            <w:r>
              <w:rPr>
                <w:rStyle w:val="63"/>
                <w:color w:val="auto"/>
              </w:rPr>
              <w:t>28</w:t>
            </w:r>
          </w:p>
        </w:tc>
        <w:tc>
          <w:tcPr>
            <w:tcW w:w="3260" w:type="dxa"/>
            <w:shd w:val="clear" w:color="auto" w:fill="auto"/>
            <w:noWrap/>
            <w:vAlign w:val="center"/>
          </w:tcPr>
          <w:p>
            <w:pPr>
              <w:pStyle w:val="107"/>
              <w:rPr>
                <w:rStyle w:val="63"/>
                <w:color w:val="auto"/>
              </w:rPr>
            </w:pPr>
            <w:r>
              <w:rPr>
                <w:rFonts w:ascii="Times New Roman" w:hAnsi="Times New Roma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auto"/>
              </w:rPr>
            </w:pPr>
            <w:r>
              <w:rPr>
                <w:rStyle w:val="63"/>
                <w:color w:val="auto"/>
              </w:rPr>
              <w:t>5</w:t>
            </w:r>
          </w:p>
        </w:tc>
        <w:tc>
          <w:tcPr>
            <w:tcW w:w="2399" w:type="dxa"/>
            <w:shd w:val="clear" w:color="auto" w:fill="auto"/>
            <w:vAlign w:val="center"/>
          </w:tcPr>
          <w:p>
            <w:pPr>
              <w:pStyle w:val="107"/>
              <w:rPr>
                <w:rStyle w:val="63"/>
                <w:color w:val="auto"/>
              </w:rPr>
            </w:pPr>
            <w:r>
              <w:rPr>
                <w:rStyle w:val="63"/>
                <w:rFonts w:hint="eastAsia"/>
                <w:color w:val="auto"/>
              </w:rPr>
              <w:t>镍（</w:t>
            </w:r>
            <w:r>
              <w:rPr>
                <w:rStyle w:val="63"/>
                <w:color w:val="auto"/>
              </w:rPr>
              <w:t>mg/kg</w:t>
            </w:r>
            <w:r>
              <w:rPr>
                <w:rStyle w:val="63"/>
                <w:rFonts w:hint="eastAsia"/>
                <w:color w:val="auto"/>
              </w:rPr>
              <w:t>）</w:t>
            </w:r>
          </w:p>
        </w:tc>
        <w:tc>
          <w:tcPr>
            <w:tcW w:w="2568" w:type="dxa"/>
            <w:shd w:val="clear" w:color="auto" w:fill="auto"/>
            <w:vAlign w:val="center"/>
          </w:tcPr>
          <w:p>
            <w:pPr>
              <w:pStyle w:val="107"/>
              <w:rPr>
                <w:rStyle w:val="63"/>
                <w:color w:val="auto"/>
              </w:rPr>
            </w:pPr>
            <w:r>
              <w:rPr>
                <w:rStyle w:val="63"/>
                <w:color w:val="auto"/>
              </w:rPr>
              <w:t>ND</w:t>
            </w:r>
          </w:p>
        </w:tc>
        <w:tc>
          <w:tcPr>
            <w:tcW w:w="3260" w:type="dxa"/>
            <w:shd w:val="clear" w:color="auto" w:fill="auto"/>
            <w:noWrap/>
            <w:vAlign w:val="center"/>
          </w:tcPr>
          <w:p>
            <w:pPr>
              <w:pStyle w:val="107"/>
              <w:rPr>
                <w:rStyle w:val="63"/>
                <w:color w:val="auto"/>
              </w:rPr>
            </w:pPr>
            <w:r>
              <w:rPr>
                <w:rFonts w:ascii="Times New Roman" w:hAnsi="Times New Roma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auto"/>
              </w:rPr>
            </w:pPr>
            <w:r>
              <w:rPr>
                <w:rStyle w:val="63"/>
                <w:color w:val="auto"/>
              </w:rPr>
              <w:t>6</w:t>
            </w:r>
          </w:p>
        </w:tc>
        <w:tc>
          <w:tcPr>
            <w:tcW w:w="2399" w:type="dxa"/>
            <w:shd w:val="clear" w:color="auto" w:fill="auto"/>
            <w:vAlign w:val="center"/>
          </w:tcPr>
          <w:p>
            <w:pPr>
              <w:pStyle w:val="107"/>
              <w:rPr>
                <w:rStyle w:val="63"/>
                <w:color w:val="auto"/>
              </w:rPr>
            </w:pPr>
            <w:r>
              <w:rPr>
                <w:rStyle w:val="63"/>
                <w:rFonts w:hint="eastAsia"/>
                <w:color w:val="auto"/>
              </w:rPr>
              <w:t>镉（</w:t>
            </w:r>
            <w:r>
              <w:rPr>
                <w:rStyle w:val="63"/>
                <w:color w:val="auto"/>
              </w:rPr>
              <w:t>mg/kg</w:t>
            </w:r>
            <w:r>
              <w:rPr>
                <w:rStyle w:val="63"/>
                <w:rFonts w:hint="eastAsia"/>
                <w:color w:val="auto"/>
              </w:rPr>
              <w:t>）</w:t>
            </w:r>
          </w:p>
        </w:tc>
        <w:tc>
          <w:tcPr>
            <w:tcW w:w="2568" w:type="dxa"/>
            <w:shd w:val="clear" w:color="auto" w:fill="auto"/>
            <w:vAlign w:val="center"/>
          </w:tcPr>
          <w:p>
            <w:pPr>
              <w:pStyle w:val="107"/>
              <w:rPr>
                <w:rStyle w:val="63"/>
                <w:color w:val="auto"/>
              </w:rPr>
            </w:pPr>
            <w:r>
              <w:rPr>
                <w:rStyle w:val="63"/>
                <w:color w:val="auto"/>
              </w:rPr>
              <w:t>0.13</w:t>
            </w:r>
          </w:p>
        </w:tc>
        <w:tc>
          <w:tcPr>
            <w:tcW w:w="3260" w:type="dxa"/>
            <w:shd w:val="clear" w:color="auto" w:fill="auto"/>
            <w:noWrap/>
            <w:vAlign w:val="center"/>
          </w:tcPr>
          <w:p>
            <w:pPr>
              <w:pStyle w:val="107"/>
              <w:rPr>
                <w:rStyle w:val="63"/>
                <w:color w:val="auto"/>
              </w:rPr>
            </w:pPr>
            <w:r>
              <w:rPr>
                <w:rFonts w:ascii="Times New Roman" w:hAnsi="Times New Roma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auto"/>
              </w:rPr>
            </w:pPr>
            <w:r>
              <w:rPr>
                <w:rStyle w:val="63"/>
                <w:color w:val="auto"/>
              </w:rPr>
              <w:t>7</w:t>
            </w:r>
          </w:p>
        </w:tc>
        <w:tc>
          <w:tcPr>
            <w:tcW w:w="2399" w:type="dxa"/>
            <w:shd w:val="clear" w:color="auto" w:fill="auto"/>
            <w:vAlign w:val="center"/>
          </w:tcPr>
          <w:p>
            <w:pPr>
              <w:pStyle w:val="107"/>
              <w:rPr>
                <w:rStyle w:val="63"/>
                <w:color w:val="auto"/>
              </w:rPr>
            </w:pPr>
            <w:r>
              <w:rPr>
                <w:rStyle w:val="63"/>
                <w:rFonts w:hint="eastAsia"/>
                <w:color w:val="auto"/>
              </w:rPr>
              <w:t>铅（</w:t>
            </w:r>
            <w:r>
              <w:rPr>
                <w:rStyle w:val="63"/>
                <w:color w:val="auto"/>
              </w:rPr>
              <w:t>mg/kg</w:t>
            </w:r>
            <w:r>
              <w:rPr>
                <w:rStyle w:val="63"/>
                <w:rFonts w:hint="eastAsia"/>
                <w:color w:val="auto"/>
              </w:rPr>
              <w:t>）</w:t>
            </w:r>
          </w:p>
        </w:tc>
        <w:tc>
          <w:tcPr>
            <w:tcW w:w="2568" w:type="dxa"/>
            <w:shd w:val="clear" w:color="auto" w:fill="auto"/>
            <w:vAlign w:val="center"/>
          </w:tcPr>
          <w:p>
            <w:pPr>
              <w:pStyle w:val="107"/>
              <w:rPr>
                <w:rStyle w:val="63"/>
                <w:color w:val="auto"/>
              </w:rPr>
            </w:pPr>
            <w:r>
              <w:rPr>
                <w:rStyle w:val="63"/>
                <w:color w:val="auto"/>
              </w:rPr>
              <w:t>1.6</w:t>
            </w:r>
          </w:p>
        </w:tc>
        <w:tc>
          <w:tcPr>
            <w:tcW w:w="3260" w:type="dxa"/>
            <w:shd w:val="clear" w:color="auto" w:fill="auto"/>
            <w:noWrap/>
            <w:vAlign w:val="center"/>
          </w:tcPr>
          <w:p>
            <w:pPr>
              <w:pStyle w:val="107"/>
              <w:rPr>
                <w:rStyle w:val="63"/>
                <w:color w:val="auto"/>
              </w:rPr>
            </w:pPr>
            <w:r>
              <w:rPr>
                <w:rFonts w:ascii="Times New Roman" w:hAnsi="Times New Roma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auto"/>
              </w:rPr>
            </w:pPr>
            <w:r>
              <w:rPr>
                <w:rStyle w:val="63"/>
                <w:rFonts w:hint="eastAsia"/>
                <w:color w:val="auto"/>
              </w:rPr>
              <w:t>8</w:t>
            </w:r>
          </w:p>
        </w:tc>
        <w:tc>
          <w:tcPr>
            <w:tcW w:w="2399" w:type="dxa"/>
            <w:shd w:val="clear" w:color="auto" w:fill="auto"/>
            <w:vAlign w:val="center"/>
          </w:tcPr>
          <w:p>
            <w:pPr>
              <w:pStyle w:val="107"/>
              <w:rPr>
                <w:rStyle w:val="63"/>
                <w:color w:val="auto"/>
              </w:rPr>
            </w:pPr>
            <w:r>
              <w:rPr>
                <w:rStyle w:val="63"/>
                <w:rFonts w:hint="eastAsia"/>
                <w:color w:val="auto"/>
              </w:rPr>
              <w:t>铬（</w:t>
            </w:r>
            <w:r>
              <w:rPr>
                <w:rStyle w:val="63"/>
                <w:color w:val="auto"/>
              </w:rPr>
              <w:t>mg/kg</w:t>
            </w:r>
            <w:r>
              <w:rPr>
                <w:rStyle w:val="63"/>
                <w:rFonts w:hint="eastAsia"/>
                <w:color w:val="auto"/>
              </w:rPr>
              <w:t>）</w:t>
            </w:r>
          </w:p>
        </w:tc>
        <w:tc>
          <w:tcPr>
            <w:tcW w:w="2568" w:type="dxa"/>
            <w:shd w:val="clear" w:color="auto" w:fill="auto"/>
            <w:vAlign w:val="center"/>
          </w:tcPr>
          <w:p>
            <w:pPr>
              <w:pStyle w:val="107"/>
              <w:rPr>
                <w:rStyle w:val="63"/>
                <w:color w:val="auto"/>
              </w:rPr>
            </w:pPr>
            <w:r>
              <w:rPr>
                <w:rStyle w:val="63"/>
                <w:rFonts w:hint="eastAsia"/>
                <w:color w:val="auto"/>
              </w:rPr>
              <w:t>N</w:t>
            </w:r>
            <w:r>
              <w:rPr>
                <w:rStyle w:val="63"/>
                <w:color w:val="auto"/>
              </w:rPr>
              <w:t>D</w:t>
            </w:r>
          </w:p>
        </w:tc>
        <w:tc>
          <w:tcPr>
            <w:tcW w:w="3260" w:type="dxa"/>
            <w:shd w:val="clear" w:color="auto" w:fill="auto"/>
            <w:noWrap/>
            <w:vAlign w:val="center"/>
          </w:tcPr>
          <w:p>
            <w:pPr>
              <w:pStyle w:val="107"/>
              <w:rPr>
                <w:rStyle w:val="63"/>
                <w:color w:val="auto"/>
              </w:rPr>
            </w:pPr>
            <w:r>
              <w:rPr>
                <w:rFonts w:ascii="Times New Roman" w:hAnsi="Times New Roma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auto"/>
              </w:rPr>
            </w:pPr>
            <w:r>
              <w:rPr>
                <w:rStyle w:val="63"/>
                <w:rFonts w:hint="eastAsia"/>
                <w:color w:val="auto"/>
              </w:rPr>
              <w:t>9</w:t>
            </w:r>
          </w:p>
        </w:tc>
        <w:tc>
          <w:tcPr>
            <w:tcW w:w="2399" w:type="dxa"/>
            <w:shd w:val="clear" w:color="auto" w:fill="auto"/>
            <w:vAlign w:val="center"/>
          </w:tcPr>
          <w:p>
            <w:pPr>
              <w:pStyle w:val="107"/>
              <w:rPr>
                <w:rStyle w:val="63"/>
                <w:color w:val="auto"/>
              </w:rPr>
            </w:pPr>
            <w:r>
              <w:rPr>
                <w:rStyle w:val="63"/>
                <w:rFonts w:hint="eastAsia"/>
                <w:color w:val="auto"/>
              </w:rPr>
              <w:t>锌（</w:t>
            </w:r>
            <w:r>
              <w:rPr>
                <w:rStyle w:val="63"/>
                <w:color w:val="auto"/>
              </w:rPr>
              <w:t>mg/kg</w:t>
            </w:r>
            <w:r>
              <w:rPr>
                <w:rStyle w:val="63"/>
                <w:rFonts w:hint="eastAsia"/>
                <w:color w:val="auto"/>
              </w:rPr>
              <w:t>）</w:t>
            </w:r>
          </w:p>
        </w:tc>
        <w:tc>
          <w:tcPr>
            <w:tcW w:w="2568" w:type="dxa"/>
            <w:shd w:val="clear" w:color="auto" w:fill="auto"/>
            <w:vAlign w:val="center"/>
          </w:tcPr>
          <w:p>
            <w:pPr>
              <w:pStyle w:val="107"/>
              <w:rPr>
                <w:rStyle w:val="63"/>
                <w:color w:val="auto"/>
              </w:rPr>
            </w:pPr>
            <w:r>
              <w:rPr>
                <w:rStyle w:val="63"/>
                <w:rFonts w:hint="eastAsia"/>
                <w:color w:val="auto"/>
              </w:rPr>
              <w:t>0</w:t>
            </w:r>
            <w:r>
              <w:rPr>
                <w:rStyle w:val="63"/>
                <w:color w:val="auto"/>
              </w:rPr>
              <w:t>.7</w:t>
            </w:r>
          </w:p>
        </w:tc>
        <w:tc>
          <w:tcPr>
            <w:tcW w:w="3260" w:type="dxa"/>
            <w:shd w:val="clear" w:color="auto" w:fill="auto"/>
            <w:noWrap/>
            <w:vAlign w:val="center"/>
          </w:tcPr>
          <w:p>
            <w:pPr>
              <w:pStyle w:val="107"/>
              <w:rPr>
                <w:rStyle w:val="63"/>
                <w:color w:val="auto"/>
              </w:rPr>
            </w:pPr>
            <w:r>
              <w:rPr>
                <w:rFonts w:hint="eastAsia" w:ascii="Times New Roman" w:hAnsi="Times New Roman"/>
              </w:rPr>
              <w:t>2</w:t>
            </w:r>
            <w:r>
              <w:rPr>
                <w:rFonts w:ascii="Times New Roman" w:hAnsi="Times New Roma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840"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auto"/>
              </w:rPr>
            </w:pPr>
            <w:r>
              <w:rPr>
                <w:rStyle w:val="63"/>
                <w:color w:val="auto"/>
              </w:rPr>
              <w:t>10</w:t>
            </w:r>
          </w:p>
        </w:tc>
        <w:tc>
          <w:tcPr>
            <w:tcW w:w="2399" w:type="dxa"/>
            <w:shd w:val="clear" w:color="auto" w:fill="auto"/>
            <w:vAlign w:val="center"/>
          </w:tcPr>
          <w:p>
            <w:pPr>
              <w:pStyle w:val="107"/>
              <w:rPr>
                <w:rStyle w:val="63"/>
                <w:color w:val="auto"/>
              </w:rPr>
            </w:pPr>
            <w:r>
              <w:rPr>
                <w:rStyle w:val="63"/>
                <w:rFonts w:hint="eastAsia"/>
                <w:color w:val="auto"/>
              </w:rPr>
              <w:t>总石油烃（</w:t>
            </w:r>
            <w:r>
              <w:rPr>
                <w:rStyle w:val="63"/>
                <w:color w:val="auto"/>
              </w:rPr>
              <w:t>mg/kg</w:t>
            </w:r>
            <w:r>
              <w:rPr>
                <w:rStyle w:val="63"/>
                <w:rFonts w:hint="eastAsia"/>
                <w:color w:val="auto"/>
              </w:rPr>
              <w:t>）</w:t>
            </w:r>
          </w:p>
        </w:tc>
        <w:tc>
          <w:tcPr>
            <w:tcW w:w="2568" w:type="dxa"/>
            <w:shd w:val="clear" w:color="auto" w:fill="auto"/>
            <w:vAlign w:val="center"/>
          </w:tcPr>
          <w:p>
            <w:pPr>
              <w:pStyle w:val="107"/>
              <w:rPr>
                <w:rStyle w:val="63"/>
                <w:color w:val="auto"/>
              </w:rPr>
            </w:pPr>
            <w:r>
              <w:rPr>
                <w:rStyle w:val="63"/>
                <w:rFonts w:hint="eastAsia"/>
                <w:color w:val="auto"/>
              </w:rPr>
              <w:t>N</w:t>
            </w:r>
            <w:r>
              <w:rPr>
                <w:rStyle w:val="63"/>
                <w:color w:val="auto"/>
              </w:rPr>
              <w:t>D</w:t>
            </w:r>
          </w:p>
        </w:tc>
        <w:tc>
          <w:tcPr>
            <w:tcW w:w="3260" w:type="dxa"/>
            <w:shd w:val="clear" w:color="auto" w:fill="auto"/>
            <w:noWrap/>
            <w:vAlign w:val="center"/>
          </w:tcPr>
          <w:p>
            <w:pPr>
              <w:pStyle w:val="107"/>
              <w:rPr>
                <w:rStyle w:val="63"/>
                <w:color w:val="auto"/>
              </w:rPr>
            </w:pPr>
            <w:r>
              <w:rPr>
                <w:rStyle w:val="63"/>
                <w:rFonts w:hint="eastAsia"/>
                <w:color w:val="auto"/>
              </w:rPr>
              <w:t>/</w:t>
            </w:r>
          </w:p>
        </w:tc>
      </w:tr>
    </w:tbl>
    <w:p>
      <w:pPr>
        <w:spacing w:before="93" w:beforeLines="30"/>
        <w:ind w:firstLine="480"/>
        <w:rPr>
          <w:rStyle w:val="63"/>
          <w:color w:val="000000"/>
          <w:kern w:val="2"/>
        </w:rPr>
      </w:pPr>
      <w:r>
        <w:rPr>
          <w:rStyle w:val="63"/>
          <w:rFonts w:hint="eastAsia"/>
          <w:color w:val="auto"/>
        </w:rPr>
        <w:t>土壤环境质量现状结果表明，厂区内S1监测点位中各污染物含量低于</w:t>
      </w:r>
      <w:r>
        <w:rPr>
          <w:rFonts w:hint="eastAsia"/>
          <w:color w:val="000000"/>
        </w:rPr>
        <w:t>《土壤环境质量标准》</w:t>
      </w:r>
      <w:r>
        <w:rPr>
          <w:color w:val="000000"/>
        </w:rPr>
        <w:t>(GB15618-1995)</w:t>
      </w:r>
      <w:r>
        <w:rPr>
          <w:rFonts w:hint="eastAsia"/>
          <w:color w:val="000000"/>
        </w:rPr>
        <w:t>二级标准要求</w:t>
      </w:r>
      <w:r>
        <w:rPr>
          <w:rStyle w:val="63"/>
          <w:rFonts w:hint="eastAsia"/>
          <w:color w:val="auto"/>
        </w:rPr>
        <w:t>，土壤污染风险一般情况下可以忽略。</w:t>
      </w:r>
    </w:p>
    <w:p>
      <w:pPr>
        <w:pStyle w:val="107"/>
      </w:pPr>
    </w:p>
    <w:p>
      <w:pPr>
        <w:pStyle w:val="107"/>
        <w:sectPr>
          <w:headerReference r:id="rId19" w:type="first"/>
          <w:footerReference r:id="rId22" w:type="first"/>
          <w:footerReference r:id="rId20" w:type="default"/>
          <w:headerReference r:id="rId18" w:type="even"/>
          <w:footerReference r:id="rId21" w:type="even"/>
          <w:pgSz w:w="11906" w:h="16838"/>
          <w:pgMar w:top="1418" w:right="1418" w:bottom="1418" w:left="1418" w:header="851" w:footer="709" w:gutter="0"/>
          <w:cols w:space="425" w:num="1"/>
          <w:docGrid w:type="lines" w:linePitch="312" w:charSpace="0"/>
        </w:sectPr>
      </w:pPr>
    </w:p>
    <w:p>
      <w:pPr>
        <w:pStyle w:val="107"/>
        <w:keepNext/>
      </w:pPr>
      <w:r>
        <w:drawing>
          <wp:anchor distT="0" distB="0" distL="114300" distR="114300" simplePos="0" relativeHeight="252012544" behindDoc="0" locked="0" layoutInCell="1" allowOverlap="1">
            <wp:simplePos x="0" y="0"/>
            <wp:positionH relativeFrom="column">
              <wp:posOffset>0</wp:posOffset>
            </wp:positionH>
            <wp:positionV relativeFrom="paragraph">
              <wp:posOffset>4448810</wp:posOffset>
            </wp:positionV>
            <wp:extent cx="872490" cy="208915"/>
            <wp:effectExtent l="0" t="0" r="4445" b="1270"/>
            <wp:wrapNone/>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872197" cy="208685"/>
                    </a:xfrm>
                    <a:prstGeom prst="rect">
                      <a:avLst/>
                    </a:prstGeom>
                  </pic:spPr>
                </pic:pic>
              </a:graphicData>
            </a:graphic>
          </wp:anchor>
        </w:drawing>
      </w:r>
      <w:r>
        <w:rPr>
          <w:rFonts w:ascii="Arial" w:hAnsi="Arial"/>
        </w:rPr>
        <mc:AlternateContent>
          <mc:Choice Requires="wps">
            <w:drawing>
              <wp:anchor distT="0" distB="0" distL="114300" distR="114300" simplePos="0" relativeHeight="251661312" behindDoc="0" locked="0" layoutInCell="1" allowOverlap="1">
                <wp:simplePos x="0" y="0"/>
                <wp:positionH relativeFrom="column">
                  <wp:posOffset>8331835</wp:posOffset>
                </wp:positionH>
                <wp:positionV relativeFrom="paragraph">
                  <wp:posOffset>97790</wp:posOffset>
                </wp:positionV>
                <wp:extent cx="1405255" cy="1381125"/>
                <wp:effectExtent l="9525" t="6985" r="13970" b="12065"/>
                <wp:wrapNone/>
                <wp:docPr id="33" name="文本框 33"/>
                <wp:cNvGraphicFramePr/>
                <a:graphic xmlns:a="http://schemas.openxmlformats.org/drawingml/2006/main">
                  <a:graphicData uri="http://schemas.microsoft.com/office/word/2010/wordprocessingShape">
                    <wps:wsp>
                      <wps:cNvSpPr txBox="1">
                        <a:spLocks noChangeArrowheads="1"/>
                      </wps:cNvSpPr>
                      <wps:spPr bwMode="auto">
                        <a:xfrm>
                          <a:off x="0" y="0"/>
                          <a:ext cx="1405255" cy="1381125"/>
                        </a:xfrm>
                        <a:prstGeom prst="rect">
                          <a:avLst/>
                        </a:prstGeom>
                        <a:solidFill>
                          <a:srgbClr val="FFFFFF"/>
                        </a:solidFill>
                        <a:ln w="9525">
                          <a:solidFill>
                            <a:srgbClr val="000000"/>
                          </a:solidFill>
                          <a:miter lim="800000"/>
                        </a:ln>
                        <a:effectLst/>
                      </wps:spPr>
                      <wps:txbx>
                        <w:txbxContent>
                          <w:p>
                            <w:pPr>
                              <w:pStyle w:val="107"/>
                            </w:pPr>
                            <w:r>
                              <w:drawing>
                                <wp:inline distT="0" distB="0" distL="0" distR="0">
                                  <wp:extent cx="1212215" cy="1201420"/>
                                  <wp:effectExtent l="0" t="0" r="6985"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212215" cy="12014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anchor>
            </w:drawing>
          </mc:Choice>
          <mc:Fallback>
            <w:pict>
              <v:shape id="_x0000_s1026" o:spid="_x0000_s1026" o:spt="202" type="#_x0000_t202" style="position:absolute;left:0pt;margin-left:656.05pt;margin-top:7.7pt;height:108.75pt;width:110.65pt;mso-wrap-style:none;z-index:251661312;mso-width-relative:page;mso-height-relative:page;" fillcolor="#FFFFFF" filled="t" stroked="t" coordsize="21600,21600" o:gfxdata="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e21rj2wAAAAwBAAAPAAAAAAAAAAEAIAAAACIAAABkcnMvZG93bnJldi54bWxQSwEC&#10;FAAUAAAACACHTuJADMODYyoCAABIBAAADgAAAAAAAAABACAAAAAqAQAAZHJzL2Uyb0RvYy54bWxQ&#10;SwUGAAAAAAYABgBZAQAAxgUAAAAA&#10;">
                <v:fill on="t" focussize="0,0"/>
                <v:stroke color="#000000" miterlimit="8" joinstyle="miter"/>
                <v:imagedata o:title=""/>
                <o:lock v:ext="edit" aspectratio="f"/>
                <v:textbox style="mso-fit-shape-to-text:t;">
                  <w:txbxContent>
                    <w:p>
                      <w:pPr>
                        <w:pStyle w:val="107"/>
                      </w:pPr>
                      <w:r>
                        <w:drawing>
                          <wp:inline distT="0" distB="0" distL="0" distR="0">
                            <wp:extent cx="1212215" cy="1201420"/>
                            <wp:effectExtent l="0" t="0" r="6985"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212215" cy="1201420"/>
                                    </a:xfrm>
                                    <a:prstGeom prst="rect">
                                      <a:avLst/>
                                    </a:prstGeom>
                                    <a:noFill/>
                                    <a:ln>
                                      <a:noFill/>
                                    </a:ln>
                                  </pic:spPr>
                                </pic:pic>
                              </a:graphicData>
                            </a:graphic>
                          </wp:inline>
                        </w:drawing>
                      </w:r>
                    </w:p>
                  </w:txbxContent>
                </v:textbox>
              </v:shape>
            </w:pict>
          </mc:Fallback>
        </mc:AlternateContent>
      </w:r>
      <w:r>
        <w:drawing>
          <wp:inline distT="0" distB="0" distL="0" distR="0">
            <wp:extent cx="9777730" cy="4562475"/>
            <wp:effectExtent l="0" t="0" r="0" b="9525"/>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pic:cNvPicPr>
                      <a:picLocks noChangeAspect="1"/>
                    </pic:cNvPicPr>
                  </pic:nvPicPr>
                  <pic:blipFill>
                    <a:blip r:embed="rId71"/>
                    <a:stretch>
                      <a:fillRect/>
                    </a:stretch>
                  </pic:blipFill>
                  <pic:spPr>
                    <a:xfrm>
                      <a:off x="0" y="0"/>
                      <a:ext cx="9777730" cy="4562475"/>
                    </a:xfrm>
                    <a:prstGeom prst="rect">
                      <a:avLst/>
                    </a:prstGeom>
                  </pic:spPr>
                </pic:pic>
              </a:graphicData>
            </a:graphic>
          </wp:inline>
        </w:drawing>
      </w:r>
    </w:p>
    <w:p>
      <w:pPr>
        <w:pStyle w:val="18"/>
      </w:pPr>
      <w:bookmarkStart w:id="408" w:name="_Ref2532749"/>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3.3</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5</w:t>
      </w:r>
      <w:r>
        <w:fldChar w:fldCharType="end"/>
      </w:r>
      <w:bookmarkEnd w:id="408"/>
      <w:r>
        <w:t xml:space="preserve"> </w:t>
      </w:r>
      <w:r>
        <w:rPr>
          <w:rFonts w:hint="eastAsia"/>
        </w:rPr>
        <w:t>土壤环境监测布点</w:t>
      </w:r>
    </w:p>
    <w:p>
      <w:pPr>
        <w:pStyle w:val="107"/>
        <w:sectPr>
          <w:pgSz w:w="16838" w:h="11906" w:orient="landscape"/>
          <w:pgMar w:top="720" w:right="720" w:bottom="720" w:left="720" w:header="851" w:footer="709" w:gutter="0"/>
          <w:cols w:space="425" w:num="1"/>
          <w:docGrid w:type="lines" w:linePitch="326" w:charSpace="0"/>
        </w:sectPr>
      </w:pPr>
    </w:p>
    <w:p>
      <w:pPr>
        <w:pStyle w:val="107"/>
      </w:pPr>
    </w:p>
    <w:p>
      <w:pPr>
        <w:pStyle w:val="4"/>
      </w:pPr>
      <w:bookmarkStart w:id="409" w:name="_Toc3538793"/>
      <w:r>
        <w:rPr>
          <w:rFonts w:hint="eastAsia"/>
        </w:rPr>
        <w:t>生态现状调查</w:t>
      </w:r>
      <w:bookmarkEnd w:id="409"/>
    </w:p>
    <w:p>
      <w:pPr>
        <w:ind w:firstLine="480"/>
        <w:rPr>
          <w:rFonts w:eastAsiaTheme="minorEastAsia"/>
        </w:rPr>
      </w:pPr>
      <w:r>
        <w:rPr>
          <w:rFonts w:hint="eastAsia" w:eastAsiaTheme="minorEastAsia"/>
        </w:rPr>
        <w:t>项目所在区域属于南亚热带地区，地带性植被主要为常绿阔叶林。项目位于</w:t>
      </w:r>
      <w:r>
        <w:rPr>
          <w:rFonts w:hint="eastAsia" w:cs="Times New Roman" w:eastAsiaTheme="minorEastAsia"/>
        </w:rPr>
        <w:t>开平市苍城镇西郊工业园三区7号</w:t>
      </w:r>
      <w:r>
        <w:rPr>
          <w:rFonts w:hint="eastAsia" w:eastAsiaTheme="minorEastAsia"/>
        </w:rPr>
        <w:t>，周围是工业企业、田地，地表已无原生植被生长，主要是厂房、道路和少量绿化带，以及农作物植被和塘基植被。植物群落较贫乏，结构结构简单。在长期和频繁的人类活动下，项目厂区范围内的动物种类并不多， 主要是少量的鼠类和鸟类。</w:t>
      </w:r>
    </w:p>
    <w:p>
      <w:pPr>
        <w:ind w:firstLine="480"/>
        <w:rPr>
          <w:rFonts w:eastAsiaTheme="minorEastAsia"/>
        </w:rPr>
      </w:pPr>
      <w:r>
        <w:rPr>
          <w:rFonts w:hint="eastAsia" w:eastAsiaTheme="minorEastAsia"/>
        </w:rPr>
        <w:t>评价范围内不涉及珍稀动植物和濒危物种，区域生态系统敏感程度较低。</w:t>
      </w:r>
    </w:p>
    <w:p>
      <w:pPr>
        <w:pStyle w:val="4"/>
      </w:pPr>
      <w:bookmarkStart w:id="410" w:name="_Toc3538794"/>
      <w:r>
        <w:rPr>
          <w:rFonts w:hint="eastAsia"/>
        </w:rPr>
        <w:t>区域污染源调查</w:t>
      </w:r>
      <w:bookmarkEnd w:id="410"/>
    </w:p>
    <w:p>
      <w:pPr>
        <w:ind w:firstLine="480"/>
        <w:rPr>
          <w:rFonts w:eastAsiaTheme="minorEastAsia"/>
        </w:rPr>
      </w:pPr>
      <w:r>
        <w:rPr>
          <w:rFonts w:hint="eastAsia" w:cs="Times New Roman" w:eastAsiaTheme="minorEastAsia"/>
        </w:rPr>
        <w:t>本项目位于开平市苍城镇西郊工业园三区7号，周边存在工业企业、道路、村庄以及田地。</w:t>
      </w:r>
      <w:r>
        <w:rPr>
          <w:rFonts w:eastAsiaTheme="minorEastAsia"/>
        </w:rPr>
        <w:t>根据现场调查，</w:t>
      </w:r>
      <w:r>
        <w:rPr>
          <w:rFonts w:hint="eastAsia" w:eastAsiaTheme="minorEastAsia"/>
        </w:rPr>
        <w:t>项目所在区域开发强度不大，周围工业企业不多，主要以</w:t>
      </w:r>
      <w:r>
        <w:rPr>
          <w:rFonts w:eastAsiaTheme="minorEastAsia"/>
        </w:rPr>
        <w:t>五金</w:t>
      </w:r>
      <w:r>
        <w:rPr>
          <w:rFonts w:hint="eastAsia" w:eastAsiaTheme="minorEastAsia"/>
        </w:rPr>
        <w:t>加工</w:t>
      </w:r>
      <w:r>
        <w:rPr>
          <w:rFonts w:eastAsiaTheme="minorEastAsia"/>
        </w:rPr>
        <w:t>、</w:t>
      </w:r>
      <w:r>
        <w:rPr>
          <w:rFonts w:hint="eastAsia" w:eastAsiaTheme="minorEastAsia"/>
        </w:rPr>
        <w:t>橡胶加工</w:t>
      </w:r>
      <w:r>
        <w:rPr>
          <w:rFonts w:eastAsiaTheme="minorEastAsia"/>
        </w:rPr>
        <w:t>、</w:t>
      </w:r>
      <w:r>
        <w:rPr>
          <w:rFonts w:hint="eastAsia" w:eastAsiaTheme="minorEastAsia"/>
        </w:rPr>
        <w:t>木材</w:t>
      </w:r>
      <w:r>
        <w:rPr>
          <w:rFonts w:eastAsiaTheme="minorEastAsia"/>
        </w:rPr>
        <w:t>加工</w:t>
      </w:r>
      <w:r>
        <w:rPr>
          <w:rFonts w:hint="eastAsia" w:eastAsiaTheme="minorEastAsia"/>
        </w:rPr>
        <w:t>为主</w:t>
      </w:r>
      <w:r>
        <w:rPr>
          <w:rFonts w:eastAsiaTheme="minorEastAsia"/>
        </w:rPr>
        <w:t>，</w:t>
      </w:r>
      <w:r>
        <w:rPr>
          <w:rFonts w:hint="eastAsia" w:eastAsiaTheme="minorEastAsia"/>
        </w:rPr>
        <w:t>主要污染物为有机废气、粉尘、工业固废、生产废水和噪声等；项目正门靠近道路成业路，污染源主要为交通噪声、汽车尾气等；附近村庄存在生活污染源等。项目区域外环境主要污染源调查情况</w:t>
      </w:r>
      <w:r>
        <w:rPr>
          <w:rFonts w:eastAsiaTheme="minorEastAsia"/>
        </w:rPr>
        <w:t>见</w:t>
      </w:r>
      <w:r>
        <w:rPr>
          <w:rFonts w:hint="eastAsia" w:eastAsiaTheme="minorEastAsia"/>
        </w:rPr>
        <w:t>下</w:t>
      </w:r>
      <w:r>
        <w:rPr>
          <w:rFonts w:eastAsiaTheme="minorEastAsia"/>
        </w:rPr>
        <w:fldChar w:fldCharType="begin"/>
      </w:r>
      <w:r>
        <w:rPr>
          <w:rFonts w:eastAsiaTheme="minorEastAsia"/>
        </w:rPr>
        <w:instrText xml:space="preserve"> </w:instrText>
      </w:r>
      <w:r>
        <w:rPr>
          <w:rFonts w:hint="eastAsia" w:eastAsiaTheme="minorEastAsia"/>
        </w:rPr>
        <w:instrText xml:space="preserve">REF _Ref526760089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3.5</w:t>
      </w:r>
      <w:r>
        <w:rPr>
          <w:rFonts w:eastAsiaTheme="minorEastAsia"/>
        </w:rPr>
        <w:noBreakHyphen/>
      </w:r>
      <w:r>
        <w:rPr>
          <w:rFonts w:eastAsiaTheme="minorEastAsia"/>
        </w:rPr>
        <w:t>1</w:t>
      </w:r>
      <w:r>
        <w:rPr>
          <w:rFonts w:eastAsiaTheme="minorEastAsia"/>
        </w:rPr>
        <w:fldChar w:fldCharType="end"/>
      </w:r>
      <w:r>
        <w:rPr>
          <w:rFonts w:hint="eastAsia" w:eastAsiaTheme="minorEastAsia"/>
        </w:rPr>
        <w:t>。</w:t>
      </w:r>
    </w:p>
    <w:p>
      <w:pPr>
        <w:pStyle w:val="18"/>
      </w:pPr>
      <w:bookmarkStart w:id="411" w:name="_Ref526760089"/>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3.5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bookmarkEnd w:id="411"/>
      <w:r>
        <w:t xml:space="preserve"> </w:t>
      </w:r>
      <w:r>
        <w:rPr>
          <w:rFonts w:hint="eastAsia"/>
        </w:rPr>
        <w:t>项目周边主要污染源情况（5</w:t>
      </w:r>
      <w:r>
        <w:t>00</w:t>
      </w:r>
      <w:r>
        <w:rPr>
          <w:rFonts w:hint="eastAsia"/>
        </w:rPr>
        <w:t>m范围内）</w:t>
      </w:r>
    </w:p>
    <w:tbl>
      <w:tblPr>
        <w:tblStyle w:val="56"/>
        <w:tblW w:w="8931"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75"/>
        <w:gridCol w:w="1442"/>
        <w:gridCol w:w="3329"/>
        <w:gridCol w:w="992"/>
        <w:gridCol w:w="99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jc w:val="center"/>
        </w:trPr>
        <w:tc>
          <w:tcPr>
            <w:tcW w:w="2175" w:type="dxa"/>
            <w:vAlign w:val="center"/>
          </w:tcPr>
          <w:p>
            <w:pPr>
              <w:tabs>
                <w:tab w:val="left" w:pos="0"/>
              </w:tabs>
              <w:spacing w:line="240" w:lineRule="auto"/>
              <w:ind w:firstLine="0" w:firstLineChars="0"/>
              <w:jc w:val="center"/>
              <w:rPr>
                <w:rFonts w:eastAsiaTheme="minorEastAsia"/>
                <w:b/>
                <w:bCs/>
                <w:sz w:val="21"/>
                <w:szCs w:val="21"/>
              </w:rPr>
            </w:pPr>
            <w:r>
              <w:rPr>
                <w:rFonts w:hint="eastAsia" w:eastAsiaTheme="minorEastAsia"/>
                <w:b/>
                <w:bCs/>
                <w:sz w:val="21"/>
                <w:szCs w:val="21"/>
              </w:rPr>
              <w:t>污染源</w:t>
            </w:r>
            <w:r>
              <w:rPr>
                <w:rFonts w:eastAsiaTheme="minorEastAsia"/>
                <w:b/>
                <w:bCs/>
                <w:sz w:val="21"/>
                <w:szCs w:val="21"/>
              </w:rPr>
              <w:t>名称</w:t>
            </w:r>
          </w:p>
        </w:tc>
        <w:tc>
          <w:tcPr>
            <w:tcW w:w="1442" w:type="dxa"/>
            <w:vAlign w:val="center"/>
          </w:tcPr>
          <w:p>
            <w:pPr>
              <w:tabs>
                <w:tab w:val="left" w:pos="0"/>
              </w:tabs>
              <w:spacing w:line="240" w:lineRule="auto"/>
              <w:ind w:firstLine="0" w:firstLineChars="0"/>
              <w:jc w:val="center"/>
              <w:rPr>
                <w:rFonts w:eastAsiaTheme="minorEastAsia"/>
                <w:b/>
                <w:bCs/>
                <w:sz w:val="21"/>
                <w:szCs w:val="21"/>
              </w:rPr>
            </w:pPr>
            <w:r>
              <w:rPr>
                <w:rFonts w:eastAsiaTheme="minorEastAsia"/>
                <w:b/>
                <w:bCs/>
                <w:sz w:val="21"/>
                <w:szCs w:val="21"/>
              </w:rPr>
              <w:t>主要产品</w:t>
            </w:r>
          </w:p>
        </w:tc>
        <w:tc>
          <w:tcPr>
            <w:tcW w:w="3329" w:type="dxa"/>
            <w:tcMar>
              <w:left w:w="0" w:type="dxa"/>
              <w:right w:w="0" w:type="dxa"/>
            </w:tcMar>
            <w:vAlign w:val="center"/>
          </w:tcPr>
          <w:p>
            <w:pPr>
              <w:tabs>
                <w:tab w:val="left" w:pos="0"/>
              </w:tabs>
              <w:spacing w:line="240" w:lineRule="auto"/>
              <w:ind w:firstLine="0" w:firstLineChars="0"/>
              <w:jc w:val="center"/>
              <w:rPr>
                <w:rFonts w:eastAsiaTheme="minorEastAsia"/>
                <w:b/>
                <w:bCs/>
                <w:sz w:val="21"/>
                <w:szCs w:val="21"/>
              </w:rPr>
            </w:pPr>
            <w:r>
              <w:rPr>
                <w:rFonts w:hint="eastAsia" w:eastAsiaTheme="minorEastAsia"/>
                <w:b/>
                <w:bCs/>
                <w:sz w:val="21"/>
                <w:szCs w:val="21"/>
              </w:rPr>
              <w:t>主要污染因子</w:t>
            </w:r>
          </w:p>
        </w:tc>
        <w:tc>
          <w:tcPr>
            <w:tcW w:w="992" w:type="dxa"/>
            <w:tcMar>
              <w:left w:w="0" w:type="dxa"/>
              <w:right w:w="0" w:type="dxa"/>
            </w:tcMar>
            <w:vAlign w:val="center"/>
          </w:tcPr>
          <w:p>
            <w:pPr>
              <w:tabs>
                <w:tab w:val="left" w:pos="0"/>
              </w:tabs>
              <w:spacing w:line="240" w:lineRule="auto"/>
              <w:ind w:firstLine="0" w:firstLineChars="0"/>
              <w:jc w:val="center"/>
              <w:rPr>
                <w:rFonts w:eastAsiaTheme="minorEastAsia"/>
                <w:b/>
                <w:bCs/>
                <w:sz w:val="21"/>
                <w:szCs w:val="21"/>
              </w:rPr>
            </w:pPr>
            <w:r>
              <w:rPr>
                <w:rFonts w:hint="eastAsia" w:eastAsiaTheme="minorEastAsia"/>
                <w:b/>
                <w:bCs/>
                <w:sz w:val="21"/>
                <w:szCs w:val="21"/>
              </w:rPr>
              <w:t>相对方位</w:t>
            </w:r>
          </w:p>
        </w:tc>
        <w:tc>
          <w:tcPr>
            <w:tcW w:w="993" w:type="dxa"/>
            <w:tcMar>
              <w:left w:w="0" w:type="dxa"/>
              <w:right w:w="0" w:type="dxa"/>
            </w:tcMar>
            <w:vAlign w:val="center"/>
          </w:tcPr>
          <w:p>
            <w:pPr>
              <w:tabs>
                <w:tab w:val="left" w:pos="0"/>
              </w:tabs>
              <w:spacing w:line="240" w:lineRule="auto"/>
              <w:ind w:firstLine="0" w:firstLineChars="0"/>
              <w:jc w:val="center"/>
              <w:rPr>
                <w:rFonts w:eastAsiaTheme="minorEastAsia"/>
                <w:b/>
                <w:bCs/>
                <w:sz w:val="21"/>
                <w:szCs w:val="21"/>
              </w:rPr>
            </w:pPr>
            <w:r>
              <w:rPr>
                <w:rFonts w:hint="eastAsia" w:eastAsiaTheme="minorEastAsia"/>
                <w:b/>
                <w:bCs/>
                <w:sz w:val="21"/>
                <w:szCs w:val="21"/>
              </w:rPr>
              <w:t>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jc w:val="center"/>
        </w:trPr>
        <w:tc>
          <w:tcPr>
            <w:tcW w:w="2175"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成业路、联丰路</w:t>
            </w:r>
          </w:p>
        </w:tc>
        <w:tc>
          <w:tcPr>
            <w:tcW w:w="1442"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w:t>
            </w:r>
          </w:p>
        </w:tc>
        <w:tc>
          <w:tcPr>
            <w:tcW w:w="3329"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交通噪声、汽车尾气</w:t>
            </w:r>
          </w:p>
        </w:tc>
        <w:tc>
          <w:tcPr>
            <w:tcW w:w="992"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北面、西面</w:t>
            </w:r>
          </w:p>
        </w:tc>
        <w:tc>
          <w:tcPr>
            <w:tcW w:w="993"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2</w:t>
            </w:r>
            <w:r>
              <w:rPr>
                <w:rFonts w:eastAsiaTheme="minorEastAsia"/>
                <w:sz w:val="21"/>
                <w:szCs w:val="21"/>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jc w:val="center"/>
        </w:trPr>
        <w:tc>
          <w:tcPr>
            <w:tcW w:w="2175"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附近村庄、居民住宅</w:t>
            </w:r>
          </w:p>
        </w:tc>
        <w:tc>
          <w:tcPr>
            <w:tcW w:w="1442"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w:t>
            </w:r>
          </w:p>
        </w:tc>
        <w:tc>
          <w:tcPr>
            <w:tcW w:w="3329"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生活污水、生活垃圾、居民油烟废气、社会噪声</w:t>
            </w:r>
          </w:p>
        </w:tc>
        <w:tc>
          <w:tcPr>
            <w:tcW w:w="992"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w:t>
            </w:r>
          </w:p>
        </w:tc>
        <w:tc>
          <w:tcPr>
            <w:tcW w:w="993"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jc w:val="center"/>
        </w:trPr>
        <w:tc>
          <w:tcPr>
            <w:tcW w:w="2175"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开平市安能物流有限公司苍城分公司</w:t>
            </w:r>
          </w:p>
        </w:tc>
        <w:tc>
          <w:tcPr>
            <w:tcW w:w="1442"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w:t>
            </w:r>
          </w:p>
        </w:tc>
        <w:tc>
          <w:tcPr>
            <w:tcW w:w="3329"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粉尘、固废、噪声</w:t>
            </w:r>
          </w:p>
        </w:tc>
        <w:tc>
          <w:tcPr>
            <w:tcW w:w="992"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东北面</w:t>
            </w:r>
          </w:p>
        </w:tc>
        <w:tc>
          <w:tcPr>
            <w:tcW w:w="993"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jc w:val="center"/>
        </w:trPr>
        <w:tc>
          <w:tcPr>
            <w:tcW w:w="2175"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开平市苍城镇永高五金橡胶制品厂</w:t>
            </w:r>
          </w:p>
        </w:tc>
        <w:tc>
          <w:tcPr>
            <w:tcW w:w="1442"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橡胶制品</w:t>
            </w:r>
          </w:p>
        </w:tc>
        <w:tc>
          <w:tcPr>
            <w:tcW w:w="3329" w:type="dxa"/>
            <w:vAlign w:val="center"/>
          </w:tcPr>
          <w:p>
            <w:pPr>
              <w:tabs>
                <w:tab w:val="left" w:pos="0"/>
              </w:tabs>
              <w:spacing w:line="240" w:lineRule="auto"/>
              <w:ind w:firstLine="0" w:firstLineChars="0"/>
              <w:jc w:val="center"/>
              <w:rPr>
                <w:rFonts w:eastAsiaTheme="minorEastAsia"/>
                <w:sz w:val="21"/>
                <w:szCs w:val="21"/>
              </w:rPr>
            </w:pPr>
            <w:r>
              <w:rPr>
                <w:rFonts w:eastAsiaTheme="minorEastAsia"/>
                <w:sz w:val="21"/>
                <w:szCs w:val="21"/>
              </w:rPr>
              <w:t>有机废气</w:t>
            </w:r>
            <w:r>
              <w:rPr>
                <w:rFonts w:hint="eastAsia" w:eastAsiaTheme="minorEastAsia"/>
                <w:sz w:val="21"/>
                <w:szCs w:val="21"/>
              </w:rPr>
              <w:t>、粉尘</w:t>
            </w:r>
            <w:r>
              <w:rPr>
                <w:rFonts w:eastAsiaTheme="minorEastAsia"/>
                <w:sz w:val="21"/>
                <w:szCs w:val="21"/>
              </w:rPr>
              <w:t>、固废、噪声</w:t>
            </w:r>
          </w:p>
        </w:tc>
        <w:tc>
          <w:tcPr>
            <w:tcW w:w="992"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西面</w:t>
            </w:r>
          </w:p>
        </w:tc>
        <w:tc>
          <w:tcPr>
            <w:tcW w:w="993"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jc w:val="center"/>
        </w:trPr>
        <w:tc>
          <w:tcPr>
            <w:tcW w:w="2175"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富邦木业</w:t>
            </w:r>
          </w:p>
        </w:tc>
        <w:tc>
          <w:tcPr>
            <w:tcW w:w="1442"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木材</w:t>
            </w:r>
          </w:p>
        </w:tc>
        <w:tc>
          <w:tcPr>
            <w:tcW w:w="3329"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粉尘、固废、噪声</w:t>
            </w:r>
          </w:p>
        </w:tc>
        <w:tc>
          <w:tcPr>
            <w:tcW w:w="992"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东面</w:t>
            </w:r>
          </w:p>
        </w:tc>
        <w:tc>
          <w:tcPr>
            <w:tcW w:w="993"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jc w:val="center"/>
        </w:trPr>
        <w:tc>
          <w:tcPr>
            <w:tcW w:w="2175"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苍晟五金厂</w:t>
            </w:r>
          </w:p>
        </w:tc>
        <w:tc>
          <w:tcPr>
            <w:tcW w:w="1442"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五金件</w:t>
            </w:r>
          </w:p>
        </w:tc>
        <w:tc>
          <w:tcPr>
            <w:tcW w:w="3329"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粉尘</w:t>
            </w:r>
            <w:r>
              <w:rPr>
                <w:rFonts w:eastAsiaTheme="minorEastAsia"/>
                <w:sz w:val="21"/>
                <w:szCs w:val="21"/>
              </w:rPr>
              <w:t>、固废、噪声</w:t>
            </w:r>
          </w:p>
        </w:tc>
        <w:tc>
          <w:tcPr>
            <w:tcW w:w="992"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东南面</w:t>
            </w:r>
          </w:p>
        </w:tc>
        <w:tc>
          <w:tcPr>
            <w:tcW w:w="993" w:type="dxa"/>
            <w:vAlign w:val="center"/>
          </w:tcPr>
          <w:p>
            <w:pPr>
              <w:tabs>
                <w:tab w:val="left" w:pos="0"/>
              </w:tabs>
              <w:spacing w:line="240" w:lineRule="auto"/>
              <w:ind w:firstLine="0" w:firstLineChars="0"/>
              <w:jc w:val="center"/>
              <w:rPr>
                <w:rFonts w:eastAsiaTheme="minorEastAsia"/>
                <w:sz w:val="21"/>
                <w:szCs w:val="21"/>
              </w:rPr>
            </w:pPr>
            <w:r>
              <w:rPr>
                <w:rFonts w:hint="eastAsia" w:eastAsiaTheme="minorEastAsia"/>
                <w:sz w:val="21"/>
                <w:szCs w:val="21"/>
              </w:rPr>
              <w:t>100</w:t>
            </w:r>
          </w:p>
        </w:tc>
      </w:tr>
    </w:tbl>
    <w:p>
      <w:pPr>
        <w:ind w:firstLine="480"/>
        <w:rPr>
          <w:rFonts w:cs="Times New Roman" w:eastAsiaTheme="minorEastAsia"/>
        </w:rPr>
      </w:pPr>
      <w:r>
        <w:rPr>
          <w:rFonts w:hint="eastAsia" w:cs="Times New Roman" w:eastAsiaTheme="minorEastAsia"/>
        </w:rPr>
        <w:t>项目选址周边无重大污染的企业。总体来看，不存在制约项目建设的外环境污染源问题。</w:t>
      </w:r>
    </w:p>
    <w:p>
      <w:pPr>
        <w:ind w:firstLine="480"/>
        <w:rPr>
          <w:rFonts w:cs="Times New Roman" w:eastAsiaTheme="minorEastAsia"/>
        </w:rPr>
      </w:pPr>
      <w:r>
        <w:rPr>
          <w:rFonts w:cs="Times New Roman" w:eastAsiaTheme="minorEastAsia"/>
        </w:rPr>
        <w:br w:type="page"/>
      </w:r>
    </w:p>
    <w:p>
      <w:pPr>
        <w:pStyle w:val="3"/>
        <w:rPr>
          <w:rFonts w:eastAsiaTheme="minorEastAsia"/>
        </w:rPr>
      </w:pPr>
      <w:bookmarkStart w:id="412" w:name="_Ref532412366"/>
      <w:bookmarkStart w:id="413" w:name="_Toc3538795"/>
      <w:r>
        <w:rPr>
          <w:rFonts w:eastAsiaTheme="minorEastAsia"/>
        </w:rPr>
        <w:t>环境影响预测与评价</w:t>
      </w:r>
      <w:bookmarkEnd w:id="400"/>
      <w:bookmarkEnd w:id="401"/>
      <w:bookmarkEnd w:id="402"/>
      <w:bookmarkEnd w:id="403"/>
      <w:bookmarkEnd w:id="404"/>
      <w:bookmarkEnd w:id="412"/>
      <w:bookmarkEnd w:id="413"/>
    </w:p>
    <w:bookmarkEnd w:id="294"/>
    <w:p>
      <w:pPr>
        <w:pStyle w:val="4"/>
      </w:pPr>
      <w:bookmarkStart w:id="414" w:name="_Toc307847900"/>
      <w:bookmarkStart w:id="415" w:name="_Toc329784216"/>
      <w:bookmarkStart w:id="416" w:name="_Toc19168"/>
      <w:bookmarkStart w:id="417" w:name="_Toc11836"/>
      <w:bookmarkStart w:id="418" w:name="_Toc331536206"/>
      <w:bookmarkStart w:id="419" w:name="_Toc3538796"/>
      <w:bookmarkStart w:id="420" w:name="_Toc307847896"/>
      <w:bookmarkStart w:id="421" w:name="_Toc331536184"/>
      <w:bookmarkStart w:id="422" w:name="_Toc329784211"/>
      <w:bookmarkStart w:id="423" w:name="_Toc5433"/>
      <w:bookmarkStart w:id="424" w:name="_Toc28035"/>
      <w:r>
        <w:t>施工期环境影响评价</w:t>
      </w:r>
      <w:bookmarkEnd w:id="414"/>
      <w:bookmarkEnd w:id="415"/>
      <w:bookmarkEnd w:id="416"/>
      <w:bookmarkEnd w:id="417"/>
      <w:bookmarkEnd w:id="418"/>
      <w:bookmarkEnd w:id="419"/>
    </w:p>
    <w:p>
      <w:pPr>
        <w:snapToGrid w:val="0"/>
        <w:ind w:firstLine="480"/>
        <w:rPr>
          <w:rFonts w:eastAsiaTheme="minorEastAsia"/>
          <w:color w:val="000000"/>
        </w:rPr>
      </w:pPr>
      <w:r>
        <w:rPr>
          <w:rFonts w:eastAsiaTheme="minorEastAsia"/>
          <w:snapToGrid w:val="0"/>
        </w:rPr>
        <w:t>本项目</w:t>
      </w:r>
      <w:r>
        <w:rPr>
          <w:rFonts w:hint="eastAsia" w:eastAsiaTheme="minorEastAsia"/>
          <w:snapToGrid w:val="0"/>
        </w:rPr>
        <w:t>为新建项目，利用现有厂房及设备，不涉及土建施工。</w:t>
      </w:r>
    </w:p>
    <w:p>
      <w:pPr>
        <w:pStyle w:val="4"/>
      </w:pPr>
      <w:bookmarkStart w:id="425" w:name="_Toc3538797"/>
      <w:r>
        <w:rPr>
          <w:rFonts w:hint="eastAsia"/>
        </w:rPr>
        <w:t>营运期</w:t>
      </w:r>
      <w:r>
        <w:t>地表水环境影响</w:t>
      </w:r>
      <w:r>
        <w:rPr>
          <w:rFonts w:hint="eastAsia"/>
        </w:rPr>
        <w:t>分析</w:t>
      </w:r>
      <w:r>
        <w:t>与评价</w:t>
      </w:r>
      <w:bookmarkEnd w:id="420"/>
      <w:bookmarkEnd w:id="421"/>
      <w:bookmarkEnd w:id="422"/>
      <w:bookmarkEnd w:id="423"/>
      <w:bookmarkEnd w:id="424"/>
      <w:bookmarkEnd w:id="425"/>
    </w:p>
    <w:p>
      <w:pPr>
        <w:pStyle w:val="5"/>
        <w:rPr>
          <w:snapToGrid w:val="0"/>
        </w:rPr>
      </w:pPr>
      <w:r>
        <w:rPr>
          <w:rFonts w:hint="eastAsia"/>
          <w:snapToGrid w:val="0"/>
        </w:rPr>
        <w:t>项目水污染源</w:t>
      </w:r>
    </w:p>
    <w:p>
      <w:pPr>
        <w:ind w:firstLine="480"/>
        <w:rPr>
          <w:rFonts w:eastAsiaTheme="minorEastAsia"/>
          <w:snapToGrid w:val="0"/>
        </w:rPr>
      </w:pPr>
      <w:r>
        <w:rPr>
          <w:rFonts w:hint="eastAsia" w:eastAsiaTheme="minorEastAsia"/>
          <w:snapToGrid w:val="0"/>
        </w:rPr>
        <w:t>本项目废水主要来源于生活污水</w:t>
      </w:r>
      <w:r>
        <w:rPr>
          <w:rStyle w:val="63"/>
          <w:rFonts w:hint="eastAsia"/>
          <w:color w:val="auto"/>
        </w:rPr>
        <w:t>和废气处理系统的喷淋废水，其中喷淋废水每半年更换一次，每次更换水量约5m</w:t>
      </w:r>
      <w:r>
        <w:rPr>
          <w:rStyle w:val="63"/>
          <w:rFonts w:hint="eastAsia"/>
          <w:color w:val="auto"/>
          <w:vertAlign w:val="superscript"/>
        </w:rPr>
        <w:t>3</w:t>
      </w:r>
      <w:r>
        <w:rPr>
          <w:rStyle w:val="63"/>
          <w:rFonts w:hint="eastAsia"/>
          <w:color w:val="auto"/>
        </w:rPr>
        <w:t>，则喷淋废水年更换量为10m</w:t>
      </w:r>
      <w:r>
        <w:rPr>
          <w:rStyle w:val="63"/>
          <w:rFonts w:hint="eastAsia"/>
          <w:color w:val="auto"/>
          <w:vertAlign w:val="superscript"/>
        </w:rPr>
        <w:t>3</w:t>
      </w:r>
      <w:r>
        <w:rPr>
          <w:rStyle w:val="63"/>
          <w:rFonts w:hint="eastAsia"/>
          <w:color w:val="auto"/>
        </w:rPr>
        <w:t>，更换的喷淋废水直接委托有资质的单位用运走，本项目厂区内不设废水收集池，本项目无生产废水排放。</w:t>
      </w:r>
      <w:r>
        <w:rPr>
          <w:rFonts w:hint="eastAsia" w:eastAsiaTheme="minorEastAsia"/>
          <w:snapToGrid w:val="0"/>
        </w:rPr>
        <w:t>项目对外排放的废水主要为生活污水，</w:t>
      </w:r>
      <w:r>
        <w:rPr>
          <w:rFonts w:hint="eastAsia" w:eastAsiaTheme="minorEastAsia"/>
        </w:rPr>
        <w:t>排放总量约</w:t>
      </w:r>
      <w:r>
        <w:rPr>
          <w:rFonts w:eastAsiaTheme="minorEastAsia"/>
        </w:rPr>
        <w:t>1</w:t>
      </w:r>
      <w:r>
        <w:rPr>
          <w:rFonts w:hint="eastAsia" w:eastAsiaTheme="minorEastAsia"/>
        </w:rPr>
        <w:t>.</w:t>
      </w:r>
      <w:r>
        <w:rPr>
          <w:rFonts w:eastAsiaTheme="minorEastAsia"/>
        </w:rPr>
        <w:t>0</w:t>
      </w:r>
      <w:r>
        <w:rPr>
          <w:rFonts w:hint="eastAsia" w:eastAsiaTheme="minorEastAsia"/>
        </w:rPr>
        <w:t xml:space="preserve">8 </w:t>
      </w:r>
      <w:r>
        <w:rPr>
          <w:rFonts w:eastAsiaTheme="minorEastAsia"/>
        </w:rPr>
        <w:t>m</w:t>
      </w:r>
      <w:r>
        <w:rPr>
          <w:rFonts w:eastAsiaTheme="minorEastAsia"/>
          <w:vertAlign w:val="superscript"/>
        </w:rPr>
        <w:t>3</w:t>
      </w:r>
      <w:r>
        <w:rPr>
          <w:rFonts w:eastAsiaTheme="minorEastAsia"/>
        </w:rPr>
        <w:t>/d</w:t>
      </w:r>
      <w:r>
        <w:rPr>
          <w:rFonts w:hint="eastAsia" w:eastAsiaTheme="minorEastAsia"/>
          <w:snapToGrid w:val="0"/>
        </w:rPr>
        <w:t>，废水中主要含COD</w:t>
      </w:r>
      <w:r>
        <w:rPr>
          <w:rFonts w:hint="eastAsia" w:eastAsiaTheme="minorEastAsia"/>
          <w:snapToGrid w:val="0"/>
          <w:vertAlign w:val="subscript"/>
        </w:rPr>
        <w:t>Cr</w:t>
      </w:r>
      <w:r>
        <w:rPr>
          <w:rFonts w:hint="eastAsia" w:eastAsiaTheme="minorEastAsia"/>
          <w:snapToGrid w:val="0"/>
        </w:rPr>
        <w:t>、BOD</w:t>
      </w:r>
      <w:r>
        <w:rPr>
          <w:rFonts w:hint="eastAsia" w:eastAsiaTheme="minorEastAsia"/>
          <w:snapToGrid w:val="0"/>
          <w:vertAlign w:val="subscript"/>
        </w:rPr>
        <w:t>5</w:t>
      </w:r>
      <w:r>
        <w:rPr>
          <w:rFonts w:hint="eastAsia" w:eastAsiaTheme="minorEastAsia"/>
          <w:snapToGrid w:val="0"/>
        </w:rPr>
        <w:t>、氨氮、悬浮物等污染物，具体的水污染负荷见前文</w:t>
      </w:r>
      <w:r>
        <w:rPr>
          <w:rFonts w:eastAsiaTheme="minorEastAsia"/>
          <w:snapToGrid w:val="0"/>
        </w:rPr>
        <w:fldChar w:fldCharType="begin"/>
      </w:r>
      <w:r>
        <w:rPr>
          <w:rFonts w:eastAsiaTheme="minorEastAsia"/>
          <w:snapToGrid w:val="0"/>
        </w:rPr>
        <w:instrText xml:space="preserve"> </w:instrText>
      </w:r>
      <w:r>
        <w:rPr>
          <w:rFonts w:hint="eastAsia" w:eastAsiaTheme="minorEastAsia"/>
          <w:snapToGrid w:val="0"/>
        </w:rPr>
        <w:instrText xml:space="preserve">REF _Ref528136888 \h</w:instrText>
      </w:r>
      <w:r>
        <w:rPr>
          <w:rFonts w:eastAsiaTheme="minorEastAsia"/>
          <w:snapToGrid w:val="0"/>
        </w:rPr>
        <w:instrText xml:space="preserve">  \* MERGEFORMAT </w:instrText>
      </w:r>
      <w:r>
        <w:rPr>
          <w:rFonts w:eastAsiaTheme="minorEastAsia"/>
          <w:snapToGrid w:val="0"/>
        </w:rPr>
        <w:fldChar w:fldCharType="separate"/>
      </w:r>
      <w:r>
        <w:rPr>
          <w:rFonts w:hint="eastAsia" w:eastAsiaTheme="minorEastAsia"/>
        </w:rPr>
        <w:t xml:space="preserve">表 </w:t>
      </w:r>
      <w:r>
        <w:rPr>
          <w:rFonts w:eastAsiaTheme="minorEastAsia"/>
        </w:rPr>
        <w:t>2.8</w:t>
      </w:r>
      <w:r>
        <w:rPr>
          <w:rFonts w:eastAsiaTheme="minorEastAsia"/>
        </w:rPr>
        <w:noBreakHyphen/>
      </w:r>
      <w:r>
        <w:rPr>
          <w:rFonts w:eastAsiaTheme="minorEastAsia"/>
        </w:rPr>
        <w:t>23</w:t>
      </w:r>
      <w:r>
        <w:rPr>
          <w:rFonts w:eastAsiaTheme="minorEastAsia"/>
          <w:snapToGrid w:val="0"/>
        </w:rPr>
        <w:fldChar w:fldCharType="end"/>
      </w:r>
      <w:r>
        <w:rPr>
          <w:rFonts w:hint="eastAsia" w:eastAsiaTheme="minorEastAsia"/>
          <w:snapToGrid w:val="0"/>
        </w:rPr>
        <w:t>。</w:t>
      </w:r>
    </w:p>
    <w:p>
      <w:pPr>
        <w:ind w:firstLine="480"/>
        <w:rPr>
          <w:rFonts w:ascii="Times New Roman" w:hAnsi="Times New Roman" w:cs="Times New Roman"/>
          <w:kern w:val="2"/>
        </w:rPr>
      </w:pPr>
      <w:r>
        <w:rPr>
          <w:rFonts w:hint="eastAsia" w:ascii="Times New Roman" w:hAnsi="Times New Roman" w:cs="Times New Roman"/>
          <w:kern w:val="2"/>
        </w:rPr>
        <w:t>根据《环境影响评价技术导则——地表水环境》（</w:t>
      </w:r>
      <w:r>
        <w:rPr>
          <w:rFonts w:ascii="Times New Roman" w:hAnsi="Times New Roman" w:cs="Times New Roman"/>
          <w:kern w:val="2"/>
        </w:rPr>
        <w:t>HJ 2.3-2018）的规定，对项</w:t>
      </w:r>
      <w:r>
        <w:rPr>
          <w:rFonts w:hint="eastAsia" w:ascii="Times New Roman" w:hAnsi="Times New Roman" w:cs="Times New Roman"/>
          <w:kern w:val="2"/>
        </w:rPr>
        <w:t>目外排废水按评价工作分级判据进行分级。由于项目外排废水为生活污水、生产废水，水量较小不影响纳污水体的水温、径流，故本项目属于水污染影响型建设项目，</w:t>
      </w:r>
      <w:r>
        <w:rPr>
          <w:rFonts w:ascii="Times New Roman" w:hAnsi="Times New Roman" w:cs="Times New Roman"/>
          <w:kern w:val="2"/>
        </w:rPr>
        <w:t xml:space="preserve"> 评价等级判定见下表</w:t>
      </w:r>
      <w:r>
        <w:rPr>
          <w:rFonts w:hint="eastAsia" w:ascii="Times New Roman" w:hAnsi="Times New Roman" w:cs="Times New Roman"/>
          <w:kern w:val="2"/>
        </w:rPr>
        <w:t>：</w:t>
      </w:r>
    </w:p>
    <w:p>
      <w:pPr>
        <w:ind w:firstLine="482"/>
        <w:jc w:val="center"/>
        <w:rPr>
          <w:rFonts w:ascii="Times New Roman" w:hAnsi="Times New Roman" w:cs="Times New Roman"/>
          <w:b/>
          <w:kern w:val="2"/>
        </w:rPr>
      </w:pPr>
      <w:r>
        <w:rPr>
          <w:rFonts w:ascii="Times New Roman" w:hAnsi="Times New Roman" w:cs="Times New Roman"/>
          <w:b/>
          <w:kern w:val="2"/>
        </w:rPr>
        <w:t>表4.1-1 水污染影响型建设项目评价等级判定</w:t>
      </w:r>
    </w:p>
    <w:tbl>
      <w:tblPr>
        <w:tblStyle w:val="57"/>
        <w:tblW w:w="9344"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928"/>
        <w:gridCol w:w="2710"/>
        <w:gridCol w:w="37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8" w:type="dxa"/>
            <w:vMerge w:val="restart"/>
            <w:vAlign w:val="center"/>
          </w:tcPr>
          <w:p>
            <w:pPr>
              <w:ind w:firstLine="420"/>
              <w:jc w:val="center"/>
              <w:rPr>
                <w:rFonts w:ascii="Times New Roman" w:hAnsi="Times New Roman" w:eastAsia="Times New Roman" w:cs="Times New Roman"/>
                <w:kern w:val="2"/>
                <w:sz w:val="21"/>
                <w:szCs w:val="21"/>
              </w:rPr>
            </w:pPr>
            <w:r>
              <w:rPr>
                <w:rFonts w:hint="eastAsia" w:ascii="宋体" w:hAnsi="宋体" w:eastAsia="宋体"/>
                <w:kern w:val="2"/>
                <w:sz w:val="21"/>
                <w:szCs w:val="21"/>
              </w:rPr>
              <w:t>评价等级</w:t>
            </w:r>
          </w:p>
        </w:tc>
        <w:tc>
          <w:tcPr>
            <w:tcW w:w="6416" w:type="dxa"/>
            <w:gridSpan w:val="2"/>
            <w:vAlign w:val="center"/>
          </w:tcPr>
          <w:p>
            <w:pPr>
              <w:ind w:firstLine="420"/>
              <w:jc w:val="center"/>
              <w:rPr>
                <w:rFonts w:ascii="Times New Roman" w:hAnsi="Times New Roman" w:eastAsia="Times New Roman" w:cs="Times New Roman"/>
                <w:kern w:val="2"/>
                <w:sz w:val="21"/>
                <w:szCs w:val="21"/>
              </w:rPr>
            </w:pPr>
            <w:r>
              <w:rPr>
                <w:rFonts w:hint="eastAsia" w:ascii="宋体" w:hAnsi="宋体" w:eastAsia="宋体"/>
                <w:kern w:val="2"/>
                <w:sz w:val="21"/>
                <w:szCs w:val="21"/>
              </w:rPr>
              <w:t>判定依据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8" w:type="dxa"/>
            <w:vMerge w:val="continue"/>
            <w:vAlign w:val="center"/>
          </w:tcPr>
          <w:p>
            <w:pPr>
              <w:ind w:firstLine="420"/>
              <w:jc w:val="center"/>
              <w:rPr>
                <w:rFonts w:ascii="Times New Roman" w:hAnsi="Times New Roman" w:eastAsia="Times New Roman" w:cs="Times New Roman"/>
                <w:kern w:val="2"/>
                <w:sz w:val="21"/>
                <w:szCs w:val="21"/>
              </w:rPr>
            </w:pPr>
          </w:p>
        </w:tc>
        <w:tc>
          <w:tcPr>
            <w:tcW w:w="2710" w:type="dxa"/>
            <w:vAlign w:val="center"/>
          </w:tcPr>
          <w:p>
            <w:pPr>
              <w:ind w:firstLine="420"/>
              <w:jc w:val="center"/>
              <w:rPr>
                <w:rFonts w:ascii="Times New Roman" w:hAnsi="Times New Roman" w:eastAsia="Times New Roman" w:cs="Times New Roman"/>
                <w:kern w:val="2"/>
                <w:sz w:val="21"/>
                <w:szCs w:val="21"/>
              </w:rPr>
            </w:pPr>
            <w:r>
              <w:rPr>
                <w:rFonts w:hint="eastAsia" w:ascii="宋体" w:hAnsi="宋体" w:eastAsia="宋体"/>
                <w:kern w:val="2"/>
                <w:sz w:val="21"/>
                <w:szCs w:val="21"/>
              </w:rPr>
              <w:t>排放方式</w:t>
            </w:r>
          </w:p>
          <w:p>
            <w:pPr>
              <w:ind w:firstLine="420"/>
              <w:jc w:val="center"/>
              <w:rPr>
                <w:rFonts w:ascii="Times New Roman" w:hAnsi="Times New Roman" w:eastAsia="Times New Roman" w:cs="Times New Roman"/>
                <w:kern w:val="2"/>
                <w:sz w:val="21"/>
                <w:szCs w:val="21"/>
              </w:rPr>
            </w:pPr>
          </w:p>
        </w:tc>
        <w:tc>
          <w:tcPr>
            <w:tcW w:w="3706" w:type="dxa"/>
            <w:vAlign w:val="center"/>
          </w:tcPr>
          <w:p>
            <w:pPr>
              <w:ind w:firstLine="420"/>
              <w:jc w:val="center"/>
              <w:rPr>
                <w:rFonts w:ascii="Times New Roman" w:hAnsi="Times New Roman" w:eastAsia="Times New Roman" w:cs="Times New Roman"/>
                <w:kern w:val="2"/>
                <w:sz w:val="21"/>
                <w:szCs w:val="21"/>
              </w:rPr>
            </w:pPr>
            <w:r>
              <w:rPr>
                <w:rFonts w:hint="eastAsia" w:ascii="宋体" w:hAnsi="宋体" w:eastAsia="宋体"/>
                <w:kern w:val="2"/>
                <w:sz w:val="21"/>
                <w:szCs w:val="21"/>
              </w:rPr>
              <w:t>废水排放量</w:t>
            </w:r>
            <w:r>
              <w:rPr>
                <w:rFonts w:ascii="Times New Roman" w:hAnsi="Times New Roman" w:eastAsia="Times New Roman" w:cs="Times New Roman"/>
                <w:kern w:val="2"/>
                <w:sz w:val="21"/>
                <w:szCs w:val="21"/>
              </w:rPr>
              <w:t xml:space="preserve"> Q/</w:t>
            </w:r>
            <w:r>
              <w:rPr>
                <w:rFonts w:hint="eastAsia" w:ascii="宋体" w:hAnsi="宋体" w:eastAsia="宋体"/>
                <w:kern w:val="2"/>
                <w:sz w:val="21"/>
                <w:szCs w:val="21"/>
              </w:rPr>
              <w:t>（</w:t>
            </w:r>
            <w:r>
              <w:rPr>
                <w:rFonts w:ascii="Times New Roman" w:hAnsi="Times New Roman" w:eastAsia="Times New Roman" w:cs="Times New Roman"/>
                <w:kern w:val="2"/>
                <w:sz w:val="21"/>
                <w:szCs w:val="21"/>
              </w:rPr>
              <w:t>m</w:t>
            </w:r>
            <w:r>
              <w:rPr>
                <w:rFonts w:ascii="Times New Roman" w:hAnsi="Times New Roman" w:eastAsia="Times New Roman" w:cs="Times New Roman"/>
                <w:kern w:val="2"/>
                <w:sz w:val="21"/>
                <w:szCs w:val="21"/>
                <w:vertAlign w:val="superscript"/>
              </w:rPr>
              <w:t>3</w:t>
            </w:r>
            <w:r>
              <w:rPr>
                <w:rFonts w:ascii="Times New Roman" w:hAnsi="Times New Roman" w:eastAsia="Times New Roman" w:cs="Times New Roman"/>
                <w:kern w:val="2"/>
                <w:sz w:val="21"/>
                <w:szCs w:val="21"/>
              </w:rPr>
              <w:t>/d</w:t>
            </w:r>
            <w:r>
              <w:rPr>
                <w:rFonts w:hint="eastAsia" w:ascii="宋体" w:hAnsi="宋体" w:eastAsia="宋体"/>
                <w:kern w:val="2"/>
                <w:sz w:val="21"/>
                <w:szCs w:val="21"/>
              </w:rPr>
              <w:t>）</w:t>
            </w:r>
            <w:r>
              <w:rPr>
                <w:rFonts w:ascii="Times New Roman" w:hAnsi="Times New Roman" w:eastAsia="Times New Roman" w:cs="Times New Roman"/>
                <w:kern w:val="2"/>
                <w:sz w:val="21"/>
                <w:szCs w:val="21"/>
              </w:rPr>
              <w:t xml:space="preserve"> </w:t>
            </w:r>
          </w:p>
          <w:p>
            <w:pPr>
              <w:ind w:firstLine="420"/>
              <w:jc w:val="center"/>
              <w:rPr>
                <w:rFonts w:ascii="Times New Roman" w:hAnsi="Times New Roman" w:eastAsia="Times New Roman" w:cs="Times New Roman"/>
                <w:kern w:val="2"/>
                <w:sz w:val="21"/>
                <w:szCs w:val="21"/>
              </w:rPr>
            </w:pPr>
            <w:r>
              <w:rPr>
                <w:rFonts w:hint="eastAsia" w:ascii="宋体" w:hAnsi="宋体" w:eastAsia="宋体"/>
                <w:kern w:val="2"/>
                <w:sz w:val="21"/>
                <w:szCs w:val="21"/>
              </w:rPr>
              <w:t>水污染物当量数</w:t>
            </w:r>
            <w:r>
              <w:rPr>
                <w:rFonts w:ascii="Times New Roman" w:hAnsi="Times New Roman" w:eastAsia="Times New Roman" w:cs="Times New Roman"/>
                <w:kern w:val="2"/>
                <w:sz w:val="21"/>
                <w:szCs w:val="21"/>
              </w:rPr>
              <w:t xml:space="preserve"> W/</w:t>
            </w:r>
            <w:r>
              <w:rPr>
                <w:rFonts w:hint="eastAsia" w:ascii="宋体" w:hAnsi="宋体" w:eastAsia="宋体"/>
                <w:kern w:val="2"/>
                <w:sz w:val="21"/>
                <w:szCs w:val="21"/>
              </w:rPr>
              <w:t>（无量纲）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8" w:type="dxa"/>
            <w:vAlign w:val="center"/>
          </w:tcPr>
          <w:p>
            <w:pPr>
              <w:ind w:firstLine="420"/>
              <w:jc w:val="center"/>
              <w:rPr>
                <w:rFonts w:ascii="Times New Roman" w:hAnsi="Times New Roman" w:eastAsia="Times New Roman" w:cs="Times New Roman"/>
                <w:kern w:val="2"/>
                <w:sz w:val="21"/>
                <w:szCs w:val="21"/>
              </w:rPr>
            </w:pPr>
            <w:r>
              <w:rPr>
                <w:rFonts w:hint="eastAsia" w:ascii="宋体" w:hAnsi="宋体" w:eastAsia="宋体"/>
                <w:kern w:val="2"/>
                <w:sz w:val="21"/>
                <w:szCs w:val="21"/>
              </w:rPr>
              <w:t>一级</w:t>
            </w:r>
          </w:p>
        </w:tc>
        <w:tc>
          <w:tcPr>
            <w:tcW w:w="2710" w:type="dxa"/>
            <w:vAlign w:val="center"/>
          </w:tcPr>
          <w:p>
            <w:pPr>
              <w:ind w:firstLine="420"/>
              <w:jc w:val="center"/>
              <w:rPr>
                <w:rFonts w:ascii="Times New Roman" w:hAnsi="Times New Roman" w:eastAsia="Times New Roman" w:cs="Times New Roman"/>
                <w:kern w:val="2"/>
                <w:sz w:val="21"/>
                <w:szCs w:val="21"/>
              </w:rPr>
            </w:pPr>
            <w:r>
              <w:rPr>
                <w:rFonts w:hint="eastAsia" w:ascii="宋体" w:hAnsi="宋体" w:eastAsia="宋体"/>
                <w:sz w:val="21"/>
                <w:szCs w:val="21"/>
              </w:rPr>
              <w:t>直接排放</w:t>
            </w:r>
          </w:p>
        </w:tc>
        <w:tc>
          <w:tcPr>
            <w:tcW w:w="3706" w:type="dxa"/>
            <w:vAlign w:val="center"/>
          </w:tcPr>
          <w:p>
            <w:pPr>
              <w:ind w:firstLine="420"/>
              <w:jc w:val="center"/>
              <w:rPr>
                <w:rFonts w:ascii="Times New Roman" w:hAnsi="Times New Roman" w:eastAsia="Times New Roman" w:cs="Times New Roman"/>
                <w:kern w:val="2"/>
                <w:sz w:val="21"/>
                <w:szCs w:val="21"/>
              </w:rPr>
            </w:pPr>
            <w:r>
              <w:rPr>
                <w:rFonts w:hint="eastAsia" w:ascii="Times New Roman" w:hAnsi="Times New Roman" w:eastAsia="Times New Roman" w:cs="Times New Roman"/>
                <w:kern w:val="2"/>
                <w:sz w:val="21"/>
                <w:szCs w:val="21"/>
              </w:rPr>
              <w:t>Q≥</w:t>
            </w:r>
            <w:r>
              <w:rPr>
                <w:rFonts w:ascii="Times New Roman" w:hAnsi="Times New Roman" w:eastAsia="Times New Roman" w:cs="Times New Roman"/>
                <w:kern w:val="2"/>
                <w:sz w:val="21"/>
                <w:szCs w:val="21"/>
              </w:rPr>
              <w:t xml:space="preserve">20000 </w:t>
            </w:r>
            <w:r>
              <w:rPr>
                <w:rFonts w:hint="eastAsia" w:ascii="宋体" w:hAnsi="宋体" w:eastAsia="宋体"/>
                <w:kern w:val="2"/>
                <w:sz w:val="21"/>
                <w:szCs w:val="21"/>
              </w:rPr>
              <w:t>或</w:t>
            </w:r>
            <w:r>
              <w:rPr>
                <w:rFonts w:ascii="Times New Roman" w:hAnsi="Times New Roman" w:eastAsia="Times New Roman" w:cs="Times New Roman"/>
                <w:kern w:val="2"/>
                <w:sz w:val="21"/>
                <w:szCs w:val="21"/>
              </w:rPr>
              <w:t xml:space="preserve"> W≥600000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8" w:type="dxa"/>
            <w:vAlign w:val="center"/>
          </w:tcPr>
          <w:p>
            <w:pPr>
              <w:ind w:firstLine="420"/>
              <w:jc w:val="center"/>
              <w:rPr>
                <w:rFonts w:ascii="Times New Roman" w:hAnsi="Times New Roman" w:eastAsia="Times New Roman" w:cs="Times New Roman"/>
                <w:kern w:val="2"/>
                <w:sz w:val="21"/>
                <w:szCs w:val="21"/>
              </w:rPr>
            </w:pPr>
            <w:r>
              <w:rPr>
                <w:rFonts w:hint="eastAsia" w:ascii="宋体" w:hAnsi="宋体" w:eastAsia="宋体"/>
                <w:kern w:val="2"/>
                <w:sz w:val="21"/>
                <w:szCs w:val="21"/>
              </w:rPr>
              <w:t>二级</w:t>
            </w:r>
          </w:p>
        </w:tc>
        <w:tc>
          <w:tcPr>
            <w:tcW w:w="2710" w:type="dxa"/>
            <w:vAlign w:val="center"/>
          </w:tcPr>
          <w:p>
            <w:pPr>
              <w:ind w:firstLine="420"/>
              <w:jc w:val="center"/>
              <w:rPr>
                <w:rFonts w:ascii="Times New Roman" w:hAnsi="Times New Roman" w:eastAsia="Times New Roman" w:cs="Times New Roman"/>
                <w:kern w:val="2"/>
                <w:sz w:val="21"/>
                <w:szCs w:val="21"/>
              </w:rPr>
            </w:pPr>
            <w:r>
              <w:rPr>
                <w:rFonts w:hint="eastAsia" w:ascii="宋体" w:hAnsi="宋体" w:eastAsia="宋体"/>
                <w:sz w:val="21"/>
                <w:szCs w:val="21"/>
              </w:rPr>
              <w:t>直接排放</w:t>
            </w:r>
          </w:p>
        </w:tc>
        <w:tc>
          <w:tcPr>
            <w:tcW w:w="3706" w:type="dxa"/>
            <w:vAlign w:val="center"/>
          </w:tcPr>
          <w:p>
            <w:pPr>
              <w:ind w:firstLine="420"/>
              <w:jc w:val="center"/>
              <w:rPr>
                <w:rFonts w:ascii="Times New Roman" w:hAnsi="Times New Roman" w:eastAsia="Times New Roman" w:cs="Times New Roman"/>
                <w:kern w:val="2"/>
                <w:sz w:val="21"/>
                <w:szCs w:val="21"/>
              </w:rPr>
            </w:pPr>
            <w:r>
              <w:rPr>
                <w:rFonts w:hint="eastAsia" w:ascii="宋体" w:hAnsi="宋体" w:eastAsia="宋体"/>
                <w:kern w:val="2"/>
                <w:sz w:val="21"/>
                <w:szCs w:val="21"/>
              </w:rPr>
              <w:t>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8" w:type="dxa"/>
            <w:vAlign w:val="center"/>
          </w:tcPr>
          <w:p>
            <w:pPr>
              <w:ind w:firstLine="420"/>
              <w:jc w:val="center"/>
              <w:rPr>
                <w:rFonts w:ascii="Times New Roman" w:hAnsi="Times New Roman" w:eastAsia="Times New Roman" w:cs="Times New Roman"/>
                <w:kern w:val="2"/>
                <w:sz w:val="21"/>
                <w:szCs w:val="21"/>
              </w:rPr>
            </w:pPr>
            <w:r>
              <w:rPr>
                <w:rFonts w:hint="eastAsia" w:ascii="宋体" w:hAnsi="宋体" w:eastAsia="宋体"/>
                <w:kern w:val="2"/>
                <w:sz w:val="21"/>
                <w:szCs w:val="21"/>
              </w:rPr>
              <w:t>三级</w:t>
            </w:r>
            <w:r>
              <w:rPr>
                <w:rFonts w:hint="eastAsia" w:ascii="Times New Roman" w:hAnsi="Times New Roman" w:eastAsia="Times New Roman" w:cs="Times New Roman"/>
                <w:kern w:val="2"/>
                <w:sz w:val="21"/>
                <w:szCs w:val="21"/>
              </w:rPr>
              <w:t>A</w:t>
            </w:r>
          </w:p>
        </w:tc>
        <w:tc>
          <w:tcPr>
            <w:tcW w:w="2710" w:type="dxa"/>
            <w:vAlign w:val="center"/>
          </w:tcPr>
          <w:p>
            <w:pPr>
              <w:ind w:firstLine="420"/>
              <w:jc w:val="center"/>
              <w:rPr>
                <w:rFonts w:ascii="Times New Roman" w:hAnsi="Times New Roman" w:eastAsia="Times New Roman" w:cs="Times New Roman"/>
                <w:kern w:val="2"/>
                <w:sz w:val="21"/>
                <w:szCs w:val="21"/>
              </w:rPr>
            </w:pPr>
            <w:r>
              <w:rPr>
                <w:rFonts w:hint="eastAsia" w:ascii="宋体" w:hAnsi="宋体" w:eastAsia="宋体"/>
                <w:sz w:val="21"/>
                <w:szCs w:val="21"/>
              </w:rPr>
              <w:t>直接排放</w:t>
            </w:r>
          </w:p>
        </w:tc>
        <w:tc>
          <w:tcPr>
            <w:tcW w:w="3706" w:type="dxa"/>
            <w:vAlign w:val="center"/>
          </w:tcPr>
          <w:p>
            <w:pPr>
              <w:ind w:firstLine="420"/>
              <w:jc w:val="center"/>
              <w:rPr>
                <w:rFonts w:ascii="Times New Roman" w:hAnsi="Times New Roman" w:eastAsia="Times New Roman" w:cs="Times New Roman"/>
                <w:kern w:val="2"/>
                <w:sz w:val="21"/>
                <w:szCs w:val="21"/>
              </w:rPr>
            </w:pPr>
            <w:r>
              <w:rPr>
                <w:rFonts w:eastAsia="Times New Roman"/>
                <w:sz w:val="21"/>
                <w:szCs w:val="21"/>
              </w:rPr>
              <w:t>Q</w:t>
            </w:r>
            <w:r>
              <w:rPr>
                <w:rFonts w:hint="eastAsia" w:ascii="宋体" w:hAnsi="宋体" w:eastAsia="宋体"/>
                <w:sz w:val="21"/>
                <w:szCs w:val="21"/>
              </w:rPr>
              <w:t>＜</w:t>
            </w:r>
            <w:r>
              <w:rPr>
                <w:rFonts w:eastAsia="Times New Roman"/>
                <w:sz w:val="21"/>
                <w:szCs w:val="21"/>
              </w:rPr>
              <w:t xml:space="preserve">200 </w:t>
            </w:r>
            <w:r>
              <w:rPr>
                <w:rFonts w:hint="eastAsia" w:ascii="宋体" w:hAnsi="宋体" w:eastAsia="宋体"/>
                <w:sz w:val="21"/>
                <w:szCs w:val="21"/>
              </w:rPr>
              <w:t>且</w:t>
            </w:r>
            <w:r>
              <w:rPr>
                <w:rFonts w:eastAsia="Times New Roman"/>
                <w:sz w:val="21"/>
                <w:szCs w:val="21"/>
              </w:rPr>
              <w:t xml:space="preserve"> W</w:t>
            </w:r>
            <w:r>
              <w:rPr>
                <w:rFonts w:hint="eastAsia" w:ascii="宋体" w:hAnsi="宋体" w:eastAsia="宋体"/>
                <w:sz w:val="21"/>
                <w:szCs w:val="21"/>
              </w:rPr>
              <w:t>＜</w:t>
            </w:r>
            <w:r>
              <w:rPr>
                <w:rFonts w:eastAsia="Times New Roman"/>
                <w:sz w:val="21"/>
                <w:szCs w:val="21"/>
              </w:rPr>
              <w:t>6000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2928" w:type="dxa"/>
            <w:vAlign w:val="center"/>
          </w:tcPr>
          <w:p>
            <w:pPr>
              <w:ind w:firstLine="420"/>
              <w:jc w:val="center"/>
              <w:rPr>
                <w:rFonts w:ascii="Times New Roman" w:hAnsi="Times New Roman" w:eastAsia="Times New Roman" w:cs="Times New Roman"/>
                <w:kern w:val="2"/>
                <w:sz w:val="21"/>
                <w:szCs w:val="21"/>
              </w:rPr>
            </w:pPr>
            <w:r>
              <w:rPr>
                <w:rFonts w:hint="eastAsia" w:ascii="宋体" w:hAnsi="宋体" w:eastAsia="宋体"/>
                <w:sz w:val="21"/>
                <w:szCs w:val="21"/>
              </w:rPr>
              <w:t>三级</w:t>
            </w:r>
            <w:r>
              <w:rPr>
                <w:rFonts w:eastAsia="Times New Roman"/>
                <w:sz w:val="21"/>
                <w:szCs w:val="21"/>
              </w:rPr>
              <w:t>B</w:t>
            </w:r>
          </w:p>
        </w:tc>
        <w:tc>
          <w:tcPr>
            <w:tcW w:w="2710" w:type="dxa"/>
            <w:vAlign w:val="center"/>
          </w:tcPr>
          <w:p>
            <w:pPr>
              <w:ind w:firstLine="420"/>
              <w:jc w:val="center"/>
              <w:rPr>
                <w:rFonts w:ascii="Times New Roman" w:hAnsi="Times New Roman" w:eastAsia="Times New Roman" w:cs="Times New Roman"/>
                <w:kern w:val="2"/>
                <w:sz w:val="21"/>
                <w:szCs w:val="21"/>
              </w:rPr>
            </w:pPr>
            <w:r>
              <w:rPr>
                <w:rFonts w:hint="eastAsia" w:ascii="宋体" w:hAnsi="宋体" w:eastAsia="宋体"/>
                <w:sz w:val="21"/>
                <w:szCs w:val="21"/>
              </w:rPr>
              <w:t>间接排放</w:t>
            </w:r>
          </w:p>
        </w:tc>
        <w:tc>
          <w:tcPr>
            <w:tcW w:w="3706" w:type="dxa"/>
            <w:vAlign w:val="center"/>
          </w:tcPr>
          <w:p>
            <w:pPr>
              <w:ind w:firstLine="420"/>
              <w:jc w:val="center"/>
              <w:rPr>
                <w:rFonts w:ascii="Times New Roman" w:hAnsi="Times New Roman" w:eastAsia="Times New Roman" w:cs="Times New Roman"/>
                <w:kern w:val="2"/>
                <w:sz w:val="21"/>
                <w:szCs w:val="21"/>
              </w:rPr>
            </w:pPr>
            <w:r>
              <w:rPr>
                <w:rFonts w:hint="eastAsia" w:eastAsia="Times New Roman"/>
                <w:sz w:val="21"/>
                <w:szCs w:val="21"/>
              </w:rPr>
              <w:t>/</w:t>
            </w:r>
          </w:p>
        </w:tc>
      </w:tr>
    </w:tbl>
    <w:p>
      <w:pPr>
        <w:ind w:firstLine="480"/>
        <w:rPr>
          <w:rFonts w:eastAsiaTheme="minorEastAsia"/>
        </w:rPr>
      </w:pPr>
    </w:p>
    <w:p>
      <w:pPr>
        <w:ind w:firstLine="480"/>
        <w:rPr>
          <w:rFonts w:eastAsiaTheme="minorEastAsia"/>
          <w:snapToGrid w:val="0"/>
        </w:rPr>
      </w:pPr>
      <w:r>
        <w:rPr>
          <w:rFonts w:hint="eastAsia" w:eastAsiaTheme="minorEastAsia"/>
        </w:rPr>
        <w:t>根据项目工程分析的结果，项目生产过程不产生工业废水，对外排放的废水主要为生活污水，排放量约</w:t>
      </w:r>
      <w:r>
        <w:rPr>
          <w:rFonts w:eastAsiaTheme="minorEastAsia"/>
        </w:rPr>
        <w:t>1.08</w:t>
      </w:r>
      <w:r>
        <w:rPr>
          <w:rFonts w:hint="eastAsia" w:eastAsiaTheme="minorEastAsia"/>
        </w:rPr>
        <w:t xml:space="preserve"> </w:t>
      </w:r>
      <w:r>
        <w:rPr>
          <w:rFonts w:eastAsiaTheme="minorEastAsia"/>
        </w:rPr>
        <w:t>m</w:t>
      </w:r>
      <w:r>
        <w:rPr>
          <w:rFonts w:eastAsiaTheme="minorEastAsia"/>
          <w:vertAlign w:val="superscript"/>
        </w:rPr>
        <w:t>3</w:t>
      </w:r>
      <w:r>
        <w:rPr>
          <w:rFonts w:eastAsiaTheme="minorEastAsia"/>
        </w:rPr>
        <w:t>/d</w:t>
      </w:r>
      <w:r>
        <w:rPr>
          <w:rFonts w:hint="eastAsia" w:eastAsiaTheme="minorEastAsia"/>
        </w:rPr>
        <w:t>。生活污水经三级化粪池预处理后达到《橡胶制品工业污染物排放标准》（GB</w:t>
      </w:r>
      <w:r>
        <w:rPr>
          <w:rFonts w:eastAsiaTheme="minorEastAsia"/>
        </w:rPr>
        <w:t xml:space="preserve"> </w:t>
      </w:r>
      <w:r>
        <w:rPr>
          <w:rFonts w:hint="eastAsia" w:eastAsiaTheme="minorEastAsia"/>
        </w:rPr>
        <w:t>27632-2011）表2 新建企业水污染物排放限值中轮胎企业和其他制品企业间接排放限值和</w:t>
      </w:r>
      <w:r>
        <w:rPr>
          <w:rFonts w:hint="eastAsia" w:cs="Times New Roman" w:eastAsiaTheme="minorEastAsia"/>
          <w:bCs/>
        </w:rPr>
        <w:t>（DB</w:t>
      </w:r>
      <w:r>
        <w:rPr>
          <w:rFonts w:cs="Times New Roman" w:eastAsiaTheme="minorEastAsia"/>
          <w:bCs/>
        </w:rPr>
        <w:t xml:space="preserve"> </w:t>
      </w:r>
      <w:r>
        <w:rPr>
          <w:rFonts w:hint="eastAsia" w:cs="Times New Roman" w:eastAsiaTheme="minorEastAsia"/>
          <w:bCs/>
        </w:rPr>
        <w:t>44/26-2001）第二时段三级标准两者间较严者后</w:t>
      </w:r>
      <w:r>
        <w:rPr>
          <w:rFonts w:ascii="Times New Roman" w:hAnsi="Times New Roman" w:cs="Times New Roman"/>
          <w:kern w:val="2"/>
        </w:rPr>
        <w:t>，经</w:t>
      </w:r>
      <w:r>
        <w:rPr>
          <w:rFonts w:hint="eastAsia" w:ascii="Times New Roman" w:hAnsi="Times New Roman" w:cs="Times New Roman"/>
          <w:kern w:val="2"/>
        </w:rPr>
        <w:t>园区</w:t>
      </w:r>
      <w:r>
        <w:rPr>
          <w:rFonts w:ascii="Times New Roman" w:hAnsi="Times New Roman" w:cs="Times New Roman"/>
          <w:kern w:val="2"/>
        </w:rPr>
        <w:t>污水管网</w:t>
      </w:r>
      <w:r>
        <w:rPr>
          <w:rFonts w:hint="eastAsia" w:ascii="Times New Roman" w:hAnsi="Times New Roman" w:cs="Times New Roman"/>
          <w:kern w:val="2"/>
        </w:rPr>
        <w:t>排入苍城污水处理厂进一步处理，本项目废水排放方式属于间接排放，根据等级判定表</w:t>
      </w:r>
      <w:r>
        <w:rPr>
          <w:rFonts w:ascii="Times New Roman" w:hAnsi="Times New Roman" w:cs="Times New Roman"/>
          <w:kern w:val="2"/>
        </w:rPr>
        <w:t>4.1</w:t>
      </w:r>
      <w:r>
        <w:rPr>
          <w:rFonts w:hint="eastAsia" w:ascii="Times New Roman" w:hAnsi="Times New Roman" w:cs="Times New Roman"/>
          <w:kern w:val="2"/>
        </w:rPr>
        <w:t>-</w:t>
      </w:r>
      <w:r>
        <w:rPr>
          <w:rFonts w:ascii="Times New Roman" w:hAnsi="Times New Roman" w:cs="Times New Roman"/>
          <w:kern w:val="2"/>
        </w:rPr>
        <w:t>1</w:t>
      </w:r>
      <w:r>
        <w:rPr>
          <w:rFonts w:hint="eastAsia" w:eastAsiaTheme="minorEastAsia"/>
        </w:rPr>
        <w:t>本项目地表水评价等级为三级B。</w:t>
      </w:r>
      <w:r>
        <w:rPr>
          <w:rFonts w:hint="eastAsia"/>
        </w:rPr>
        <w:t>根据《环境影响评价技术导则——地表水环境》（H</w:t>
      </w:r>
      <w:r>
        <w:t>J2.3-2018</w:t>
      </w:r>
      <w:r>
        <w:rPr>
          <w:rFonts w:hint="eastAsia"/>
        </w:rPr>
        <w:t>）的要求，地表水评价主要从水污染控制和水环境影响减缓措施有效性、依托污水处理设施的环境可行性方面进行分析评价。</w:t>
      </w:r>
    </w:p>
    <w:p>
      <w:pPr>
        <w:pStyle w:val="5"/>
        <w:rPr>
          <w:snapToGrid w:val="0"/>
        </w:rPr>
      </w:pPr>
      <w:r>
        <w:rPr>
          <w:rFonts w:hint="eastAsia"/>
          <w:snapToGrid w:val="0"/>
        </w:rPr>
        <w:t>水污染控制和水环境影响减缓措施有效性评价</w:t>
      </w:r>
    </w:p>
    <w:p>
      <w:pPr>
        <w:topLinePunct/>
        <w:ind w:firstLine="480"/>
        <w:textAlignment w:val="baseline"/>
        <w:rPr>
          <w:color w:val="000000" w:themeColor="text1"/>
          <w14:textFill>
            <w14:solidFill>
              <w14:schemeClr w14:val="tx1"/>
            </w14:solidFill>
          </w14:textFill>
        </w:rPr>
      </w:pP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废水</w:t>
      </w:r>
      <w:r>
        <w:rPr>
          <w:color w:val="000000" w:themeColor="text1"/>
          <w14:textFill>
            <w14:solidFill>
              <w14:schemeClr w14:val="tx1"/>
            </w14:solidFill>
          </w14:textFill>
        </w:rPr>
        <w:t>主要为</w:t>
      </w:r>
      <w:r>
        <w:rPr>
          <w:rFonts w:hint="eastAsia" w:hAnsi="宋体"/>
          <w:color w:val="000000" w:themeColor="text1"/>
          <w14:textFill>
            <w14:solidFill>
              <w14:schemeClr w14:val="tx1"/>
            </w14:solidFill>
          </w14:textFill>
        </w:rPr>
        <w:t>职工生活污水。</w:t>
      </w: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生产废水</w:t>
      </w:r>
      <w:r>
        <w:rPr>
          <w:color w:val="000000" w:themeColor="text1"/>
          <w14:textFill>
            <w14:solidFill>
              <w14:schemeClr w14:val="tx1"/>
            </w14:solidFill>
          </w14:textFill>
        </w:rPr>
        <w:t>排放总量为1.08m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color w:val="000000" w:themeColor="text1"/>
          <w:spacing w:val="-6"/>
          <w14:textFill>
            <w14:solidFill>
              <w14:schemeClr w14:val="tx1"/>
            </w14:solidFill>
          </w14:textFill>
        </w:rPr>
        <w:t xml:space="preserve"> (</w:t>
      </w:r>
      <w:r>
        <w:rPr>
          <w:rStyle w:val="182"/>
          <w:color w:val="000000" w:themeColor="text1"/>
          <w14:textFill>
            <w14:solidFill>
              <w14:schemeClr w14:val="tx1"/>
            </w14:solidFill>
          </w14:textFill>
        </w:rPr>
        <w:t>324</w:t>
      </w:r>
      <w:r>
        <w:rPr>
          <w:color w:val="000000" w:themeColor="text1"/>
          <w:spacing w:val="-6"/>
          <w14:textFill>
            <w14:solidFill>
              <w14:schemeClr w14:val="tx1"/>
            </w14:solidFill>
          </w14:textFill>
        </w:rPr>
        <w:t>t/a)</w:t>
      </w:r>
      <w:r>
        <w:rPr>
          <w:rFonts w:hint="eastAsia"/>
          <w:color w:val="000000" w:themeColor="text1"/>
          <w14:textFill>
            <w14:solidFill>
              <w14:schemeClr w14:val="tx1"/>
            </w14:solidFill>
          </w14:textFill>
        </w:rPr>
        <w:t>，废水经三级化粪池预处理后达到</w:t>
      </w:r>
      <w:r>
        <w:rPr>
          <w:rFonts w:hint="eastAsia" w:eastAsiaTheme="minorEastAsia"/>
        </w:rPr>
        <w:t>《橡胶制品工业污染物排放标准》（GB</w:t>
      </w:r>
      <w:r>
        <w:rPr>
          <w:rFonts w:eastAsiaTheme="minorEastAsia"/>
        </w:rPr>
        <w:t xml:space="preserve"> </w:t>
      </w:r>
      <w:r>
        <w:rPr>
          <w:rFonts w:hint="eastAsia" w:eastAsiaTheme="minorEastAsia"/>
        </w:rPr>
        <w:t>27632-2011）表2 新建企业水污染物排放限值中轮胎企业和其他制品企业间接排放限值和</w:t>
      </w:r>
      <w:r>
        <w:rPr>
          <w:rFonts w:hint="eastAsia" w:cs="Times New Roman" w:eastAsiaTheme="minorEastAsia"/>
          <w:bCs/>
        </w:rPr>
        <w:t>（DB</w:t>
      </w:r>
      <w:r>
        <w:rPr>
          <w:rFonts w:cs="Times New Roman" w:eastAsiaTheme="minorEastAsia"/>
          <w:bCs/>
        </w:rPr>
        <w:t xml:space="preserve"> </w:t>
      </w:r>
      <w:r>
        <w:rPr>
          <w:rFonts w:hint="eastAsia" w:cs="Times New Roman" w:eastAsiaTheme="minorEastAsia"/>
          <w:bCs/>
        </w:rPr>
        <w:t>44/26-2001）第二时段三级标准两者间较严者后</w:t>
      </w:r>
      <w:r>
        <w:rPr>
          <w:rFonts w:hint="eastAsia"/>
          <w:color w:val="000000" w:themeColor="text1"/>
          <w14:textFill>
            <w14:solidFill>
              <w14:schemeClr w14:val="tx1"/>
            </w14:solidFill>
          </w14:textFill>
        </w:rPr>
        <w:t>；项目废水</w:t>
      </w:r>
      <w:r>
        <w:rPr>
          <w:color w:val="000000" w:themeColor="text1"/>
          <w14:textFill>
            <w14:solidFill>
              <w14:schemeClr w14:val="tx1"/>
            </w14:solidFill>
          </w14:textFill>
        </w:rPr>
        <w:t>后</w:t>
      </w:r>
      <w:r>
        <w:rPr>
          <w:rFonts w:hint="eastAsia"/>
          <w:color w:val="000000" w:themeColor="text1"/>
          <w14:textFill>
            <w14:solidFill>
              <w14:schemeClr w14:val="tx1"/>
            </w14:solidFill>
          </w14:textFill>
        </w:rPr>
        <w:t>经厂区总排放口接入园区污水管网</w:t>
      </w:r>
      <w:r>
        <w:rPr>
          <w:color w:val="000000" w:themeColor="text1"/>
          <w14:textFill>
            <w14:solidFill>
              <w14:schemeClr w14:val="tx1"/>
            </w14:solidFill>
          </w14:textFill>
        </w:rPr>
        <w:t>，然后</w:t>
      </w:r>
      <w:r>
        <w:rPr>
          <w:rFonts w:hint="eastAsia"/>
          <w:color w:val="000000" w:themeColor="text1"/>
          <w14:textFill>
            <w14:solidFill>
              <w14:schemeClr w14:val="tx1"/>
            </w14:solidFill>
          </w14:textFill>
        </w:rPr>
        <w:t>纳入苍城</w:t>
      </w:r>
      <w:r>
        <w:rPr>
          <w:color w:val="000000" w:themeColor="text1"/>
          <w14:textFill>
            <w14:solidFill>
              <w14:schemeClr w14:val="tx1"/>
            </w14:solidFill>
          </w14:textFill>
        </w:rPr>
        <w:t>污水处理厂处理，</w:t>
      </w:r>
      <w:r>
        <w:rPr>
          <w:rFonts w:hint="eastAsia" w:cs="Times New Roman" w:eastAsiaTheme="minorEastAsia"/>
        </w:rPr>
        <w:t>该污水处理厂处理出水水质设计为《城镇污水处理厂污染物排放标准》（</w:t>
      </w:r>
      <w:r>
        <w:rPr>
          <w:rFonts w:cs="Times New Roman" w:eastAsiaTheme="minorEastAsia"/>
        </w:rPr>
        <w:t>GB 18918-2002</w:t>
      </w:r>
      <w:r>
        <w:rPr>
          <w:rFonts w:hint="eastAsia" w:cs="Times New Roman" w:eastAsiaTheme="minorEastAsia"/>
        </w:rPr>
        <w:t>）一级</w:t>
      </w:r>
      <w:r>
        <w:rPr>
          <w:rFonts w:cs="Times New Roman" w:eastAsiaTheme="minorEastAsia"/>
        </w:rPr>
        <w:t>A</w:t>
      </w:r>
      <w:r>
        <w:rPr>
          <w:rFonts w:hint="eastAsia" w:cs="Times New Roman" w:eastAsiaTheme="minorEastAsia"/>
        </w:rPr>
        <w:t>标准和广东省《水污染物排放限值》（</w:t>
      </w:r>
      <w:r>
        <w:rPr>
          <w:rFonts w:cs="Times New Roman" w:eastAsiaTheme="minorEastAsia"/>
        </w:rPr>
        <w:t>DB 44/26-2001）</w:t>
      </w:r>
      <w:r>
        <w:rPr>
          <w:rFonts w:hint="eastAsia" w:cs="Times New Roman" w:eastAsiaTheme="minorEastAsia"/>
        </w:rPr>
        <w:t>中的第二时段一级标准中的严值</w:t>
      </w:r>
      <w:r>
        <w:rPr>
          <w:color w:val="000000" w:themeColor="text1"/>
          <w14:textFill>
            <w14:solidFill>
              <w14:schemeClr w14:val="tx1"/>
            </w14:solidFill>
          </w14:textFill>
        </w:rPr>
        <w:t>。</w:t>
      </w:r>
    </w:p>
    <w:p>
      <w:pPr>
        <w:pStyle w:val="165"/>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综上所述，项目污水处理设施能够满足本项目处理污水的要求。同时本项目厂区设有</w:t>
      </w:r>
      <w:r>
        <w:rPr>
          <w:color w:val="000000" w:themeColor="text1"/>
          <w14:textFill>
            <w14:solidFill>
              <w14:schemeClr w14:val="tx1"/>
            </w14:solidFill>
          </w14:textFill>
        </w:rPr>
        <w:t>82m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的事故废水收集池，可避免事故废水外排。</w:t>
      </w:r>
    </w:p>
    <w:p>
      <w:pPr>
        <w:pStyle w:val="5"/>
        <w:rPr>
          <w:snapToGrid w:val="0"/>
        </w:rPr>
      </w:pPr>
      <w:r>
        <w:rPr>
          <w:rFonts w:hint="eastAsia"/>
          <w:snapToGrid w:val="0"/>
        </w:rPr>
        <w:t>依托污水处理设施的环境可行性评价</w:t>
      </w:r>
    </w:p>
    <w:p>
      <w:pPr>
        <w:topLinePunct/>
        <w:ind w:firstLine="480"/>
        <w:textAlignment w:val="baseline"/>
        <w:rPr>
          <w:color w:val="000000" w:themeColor="text1"/>
          <w14:textFill>
            <w14:solidFill>
              <w14:schemeClr w14:val="tx1"/>
            </w14:solidFill>
          </w14:textFill>
        </w:rPr>
      </w:pPr>
      <w:r>
        <w:rPr>
          <w:rFonts w:hint="eastAsia"/>
          <w:color w:val="000000" w:themeColor="text1"/>
          <w14:textFill>
            <w14:solidFill>
              <w14:schemeClr w14:val="tx1"/>
            </w14:solidFill>
          </w14:textFill>
        </w:rPr>
        <w:t>（1）依托污水处理设施处理能力及处理工艺</w:t>
      </w:r>
    </w:p>
    <w:p>
      <w:pPr>
        <w:topLinePunct/>
        <w:ind w:firstLine="480"/>
        <w:textAlignment w:val="baseline"/>
        <w:rPr>
          <w:rFonts w:ascii="宋体" w:hAnsi="宋体"/>
        </w:rPr>
      </w:pPr>
      <w:r>
        <w:rPr>
          <w:rFonts w:ascii="宋体" w:hAnsi="宋体"/>
        </w:rPr>
        <w:t>苍城污水处理厂选址在开平市苍城镇南郊区北立山山脚，占地面积8093.60平方米（12.14亩），建筑面积1852平方米，在2009年4月9日苍城污水处理厂在开平市发展和改革局立项（开发改投【2009】8号文），2009年7月3日由江门市环境科学研究所编制出建设项目环境影响报告表。污水处理厂工程项目从2009年9月10日开始动工，到2010年5月20日全面完成所有工程，2010年5月25日开始运行调试，在2010年6月25日通过市环境保护局的检查验收（开环验【2010】69号），污水厂正式投入运行。收集我镇城区和工业园区的生活污水进行处理，处理后尾水水质达到国家《城镇污水处理厂污染物排放标准》一级</w:t>
      </w:r>
      <w:r>
        <w:rPr>
          <w:rFonts w:hint="eastAsia" w:ascii="宋体" w:hAnsi="宋体"/>
        </w:rPr>
        <w:t>A</w:t>
      </w:r>
      <w:r>
        <w:rPr>
          <w:rFonts w:ascii="宋体" w:hAnsi="宋体"/>
        </w:rPr>
        <w:t>标准以及广东省地方标准《广东省地方水污染物排放标准》中的第二时段一级标准。</w:t>
      </w:r>
      <w:r>
        <w:rPr>
          <w:rFonts w:hint="eastAsia" w:ascii="宋体" w:hAnsi="宋体"/>
        </w:rPr>
        <w:t>污水厂设计处理规模5000吨/天，实际3600吨/每天，处理工艺：生物好氧生化+人工湿地，尾水排放直接排入镇海水</w:t>
      </w:r>
      <w:r>
        <w:rPr>
          <w:rFonts w:ascii="宋体" w:hAnsi="宋体"/>
        </w:rPr>
        <w:t xml:space="preserve">。 </w:t>
      </w:r>
    </w:p>
    <w:p>
      <w:pPr>
        <w:topLinePunct/>
        <w:ind w:firstLine="480"/>
        <w:textAlignment w:val="baseline"/>
        <w:rPr>
          <w:color w:val="000000" w:themeColor="text1"/>
          <w14:textFill>
            <w14:solidFill>
              <w14:schemeClr w14:val="tx1"/>
            </w14:solidFill>
          </w14:textFill>
        </w:rPr>
      </w:pPr>
      <w:r>
        <w:rPr>
          <w:rFonts w:hint="eastAsia"/>
          <w:color w:val="000000" w:themeColor="text1"/>
          <w14:textFill>
            <w14:solidFill>
              <w14:schemeClr w14:val="tx1"/>
            </w14:solidFill>
          </w14:textFill>
        </w:rPr>
        <w:t>（2）依托污水处理设施管网衔接性分析</w:t>
      </w:r>
    </w:p>
    <w:p>
      <w:pPr>
        <w:topLinePunct/>
        <w:ind w:firstLine="480"/>
        <w:textAlignment w:val="baseline"/>
        <w:rPr>
          <w:color w:val="000000" w:themeColor="text1"/>
          <w14:textFill>
            <w14:solidFill>
              <w14:schemeClr w14:val="tx1"/>
            </w14:solidFill>
          </w14:textFill>
        </w:rPr>
      </w:pPr>
      <w:r>
        <w:rPr>
          <w:rFonts w:hint="eastAsia" w:ascii="宋体" w:hAnsi="宋体"/>
        </w:rPr>
        <w:t>本项目属于苍城污水处理厂的纳污范围，污水管网已经铺设完成</w:t>
      </w:r>
      <w:r>
        <w:rPr>
          <w:rFonts w:ascii="宋体" w:hAnsi="宋体"/>
        </w:rPr>
        <w:t>。本项目生活污水每天排放量约 1.08m</w:t>
      </w:r>
      <w:r>
        <w:rPr>
          <w:rFonts w:ascii="宋体" w:hAnsi="宋体"/>
          <w:vertAlign w:val="superscript"/>
        </w:rPr>
        <w:t>3</w:t>
      </w:r>
      <w:r>
        <w:rPr>
          <w:rFonts w:hint="eastAsia" w:ascii="宋体" w:hAnsi="宋体"/>
        </w:rPr>
        <w:t>，</w:t>
      </w:r>
      <w:r>
        <w:rPr>
          <w:rFonts w:ascii="宋体" w:hAnsi="宋体"/>
        </w:rPr>
        <w:t>约占</w:t>
      </w:r>
      <w:r>
        <w:rPr>
          <w:rFonts w:hint="eastAsia" w:ascii="宋体" w:hAnsi="宋体"/>
        </w:rPr>
        <w:t>苍城</w:t>
      </w:r>
      <w:r>
        <w:rPr>
          <w:rFonts w:ascii="宋体" w:hAnsi="宋体"/>
        </w:rPr>
        <w:t>污水处理厂剩余污水处理能力</w:t>
      </w:r>
      <w:r>
        <w:rPr>
          <w:rFonts w:hint="eastAsia" w:ascii="宋体" w:hAnsi="宋体"/>
        </w:rPr>
        <w:t>为1</w:t>
      </w:r>
      <w:r>
        <w:rPr>
          <w:rFonts w:ascii="宋体" w:hAnsi="宋体"/>
        </w:rPr>
        <w:t>400</w:t>
      </w:r>
      <w:r>
        <w:rPr>
          <w:rFonts w:hint="eastAsia" w:ascii="宋体" w:hAnsi="宋体"/>
        </w:rPr>
        <w:t>吨/每天，本项目污水站剩余处理能力</w:t>
      </w:r>
      <w:r>
        <w:rPr>
          <w:rFonts w:ascii="宋体" w:hAnsi="宋体"/>
        </w:rPr>
        <w:t>的0.077%，因此，</w:t>
      </w:r>
      <w:r>
        <w:rPr>
          <w:rFonts w:hint="eastAsia" w:ascii="宋体" w:hAnsi="宋体"/>
        </w:rPr>
        <w:t>苍城</w:t>
      </w:r>
      <w:r>
        <w:rPr>
          <w:rFonts w:ascii="宋体" w:hAnsi="宋体"/>
        </w:rPr>
        <w:t>污水处理厂仍富有处理能力处理项目所产生的生活污水</w:t>
      </w:r>
      <w:r>
        <w:rPr>
          <w:rFonts w:hint="eastAsia"/>
          <w:color w:val="000000" w:themeColor="text1"/>
          <w14:textFill>
            <w14:solidFill>
              <w14:schemeClr w14:val="tx1"/>
            </w14:solidFill>
          </w14:textFill>
        </w:rPr>
        <w:t>。</w:t>
      </w:r>
    </w:p>
    <w:p>
      <w:pPr>
        <w:topLinePunct/>
        <w:ind w:firstLine="480"/>
        <w:textAlignment w:val="baseline"/>
        <w:rPr>
          <w:color w:val="000000" w:themeColor="text1"/>
          <w14:textFill>
            <w14:solidFill>
              <w14:schemeClr w14:val="tx1"/>
            </w14:solidFill>
          </w14:textFill>
        </w:rPr>
      </w:pPr>
      <w:r>
        <w:rPr>
          <w:rFonts w:hint="eastAsia"/>
          <w:color w:val="000000" w:themeColor="text1"/>
          <w14:textFill>
            <w14:solidFill>
              <w14:schemeClr w14:val="tx1"/>
            </w14:solidFill>
          </w14:textFill>
        </w:rPr>
        <w:t>（3）依托污水处理设施稳定达标分析</w:t>
      </w:r>
    </w:p>
    <w:p>
      <w:pPr>
        <w:topLinePunct/>
        <w:ind w:firstLine="480"/>
        <w:textAlignment w:val="baseline"/>
      </w:pPr>
      <w:r>
        <w:rPr>
          <w:rFonts w:hint="eastAsia"/>
          <w:color w:val="000000" w:themeColor="text1"/>
          <w14:textFill>
            <w14:solidFill>
              <w14:schemeClr w14:val="tx1"/>
            </w14:solidFill>
          </w14:textFill>
        </w:rPr>
        <w:t>项目生产废水主要是生活污水，排放量小</w:t>
      </w:r>
      <w:r>
        <w:rPr>
          <w:rFonts w:hint="eastAsia"/>
        </w:rPr>
        <w:t>；生活</w:t>
      </w:r>
      <w:r>
        <w:t>污水</w:t>
      </w:r>
      <w:r>
        <w:rPr>
          <w:rFonts w:hint="eastAsia"/>
        </w:rPr>
        <w:t>的主要污染物为</w:t>
      </w:r>
      <w:r>
        <w:t>COD、BOD</w:t>
      </w:r>
      <w:r>
        <w:rPr>
          <w:vertAlign w:val="subscript"/>
        </w:rPr>
        <w:t>5</w:t>
      </w:r>
      <w:r>
        <w:rPr>
          <w:rFonts w:hint="eastAsia"/>
        </w:rPr>
        <w:t>，</w:t>
      </w:r>
      <w:r>
        <w:t>浓度低，污染物成分简单，不含有腐蚀成分</w:t>
      </w:r>
      <w:r>
        <w:rPr>
          <w:rFonts w:hint="eastAsia"/>
        </w:rPr>
        <w:t>。上述综合废水处理后经厂区总排放口达标排放，接入市政污水管网纳入</w:t>
      </w:r>
      <w:r>
        <w:rPr>
          <w:rFonts w:hint="eastAsia" w:ascii="宋体" w:hAnsi="宋体"/>
        </w:rPr>
        <w:t>苍城</w:t>
      </w:r>
      <w:r>
        <w:t>污水处理厂处理</w:t>
      </w:r>
      <w:r>
        <w:rPr>
          <w:rFonts w:hint="eastAsia"/>
        </w:rPr>
        <w:t>。</w:t>
      </w:r>
      <w:r>
        <w:rPr>
          <w:rFonts w:ascii="宋体" w:hAnsi="宋体"/>
        </w:rPr>
        <w:t>项目产生的生活污水经三级化粪池进行预处理，出水水质符合</w:t>
      </w:r>
      <w:r>
        <w:rPr>
          <w:rFonts w:hint="eastAsia" w:ascii="宋体" w:hAnsi="宋体"/>
        </w:rPr>
        <w:t>苍城</w:t>
      </w:r>
      <w:r>
        <w:rPr>
          <w:rFonts w:ascii="宋体" w:hAnsi="宋体"/>
        </w:rPr>
        <w:t>污水处理厂进水水质要求。因此从水质分析，</w:t>
      </w:r>
      <w:r>
        <w:rPr>
          <w:rFonts w:hint="eastAsia" w:ascii="宋体" w:hAnsi="宋体"/>
        </w:rPr>
        <w:t>苍城</w:t>
      </w:r>
      <w:r>
        <w:rPr>
          <w:rFonts w:ascii="宋体" w:hAnsi="宋体"/>
        </w:rPr>
        <w:t>污水处理厂能够接纳本项目的生活污水</w:t>
      </w:r>
      <w:r>
        <w:rPr>
          <w:rFonts w:hint="eastAsia" w:ascii="宋体" w:hAnsi="宋体"/>
        </w:rPr>
        <w:t>。</w:t>
      </w:r>
      <w:r>
        <w:rPr>
          <w:rFonts w:hint="eastAsia"/>
        </w:rPr>
        <w:t>排污情况见表4.2.1-1。</w:t>
      </w:r>
    </w:p>
    <w:p>
      <w:pPr>
        <w:ind w:firstLine="0" w:firstLineChars="0"/>
        <w:jc w:val="center"/>
        <w:rPr>
          <w:b/>
          <w:szCs w:val="28"/>
        </w:rPr>
      </w:pPr>
      <w:r>
        <w:rPr>
          <w:rFonts w:hint="eastAsia"/>
          <w:b/>
        </w:rPr>
        <w:t>表4.2-1  项目废水排放特征一览表</w:t>
      </w:r>
    </w:p>
    <w:tbl>
      <w:tblPr>
        <w:tblStyle w:val="56"/>
        <w:tblpPr w:leftFromText="180" w:rightFromText="180" w:vertAnchor="text" w:horzAnchor="margin" w:tblpXSpec="center" w:tblpY="73"/>
        <w:tblW w:w="92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9"/>
        <w:gridCol w:w="1264"/>
        <w:gridCol w:w="1490"/>
        <w:gridCol w:w="1219"/>
        <w:gridCol w:w="989"/>
        <w:gridCol w:w="989"/>
        <w:gridCol w:w="866"/>
        <w:gridCol w:w="12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2" w:hRule="atLeast"/>
        </w:trPr>
        <w:tc>
          <w:tcPr>
            <w:tcW w:w="1119" w:type="dxa"/>
            <w:vAlign w:val="center"/>
          </w:tcPr>
          <w:p>
            <w:pPr>
              <w:pStyle w:val="183"/>
              <w:ind w:left="400" w:hanging="400"/>
            </w:pPr>
            <w:r>
              <w:rPr>
                <w:rFonts w:hint="eastAsia"/>
              </w:rPr>
              <w:t>类别</w:t>
            </w:r>
          </w:p>
        </w:tc>
        <w:tc>
          <w:tcPr>
            <w:tcW w:w="1264" w:type="dxa"/>
            <w:vAlign w:val="center"/>
          </w:tcPr>
          <w:p>
            <w:pPr>
              <w:spacing w:line="280" w:lineRule="exact"/>
              <w:ind w:firstLine="0" w:firstLineChars="0"/>
              <w:jc w:val="center"/>
              <w:rPr>
                <w:sz w:val="20"/>
              </w:rPr>
            </w:pPr>
            <w:r>
              <w:rPr>
                <w:rFonts w:hint="eastAsia"/>
                <w:sz w:val="20"/>
              </w:rPr>
              <w:t>废水量（t/a）</w:t>
            </w:r>
          </w:p>
        </w:tc>
        <w:tc>
          <w:tcPr>
            <w:tcW w:w="1490" w:type="dxa"/>
            <w:vAlign w:val="center"/>
          </w:tcPr>
          <w:p>
            <w:pPr>
              <w:spacing w:line="280" w:lineRule="exact"/>
              <w:ind w:firstLine="0" w:firstLineChars="0"/>
              <w:jc w:val="center"/>
              <w:rPr>
                <w:sz w:val="20"/>
              </w:rPr>
            </w:pPr>
            <w:r>
              <w:rPr>
                <w:rFonts w:hint="eastAsia"/>
                <w:sz w:val="20"/>
              </w:rPr>
              <w:t>项目</w:t>
            </w:r>
          </w:p>
        </w:tc>
        <w:tc>
          <w:tcPr>
            <w:tcW w:w="1219" w:type="dxa"/>
            <w:vAlign w:val="center"/>
          </w:tcPr>
          <w:p>
            <w:pPr>
              <w:spacing w:line="280" w:lineRule="exact"/>
              <w:ind w:firstLine="0" w:firstLineChars="0"/>
              <w:jc w:val="center"/>
              <w:rPr>
                <w:sz w:val="20"/>
              </w:rPr>
            </w:pPr>
            <w:r>
              <w:rPr>
                <w:sz w:val="20"/>
              </w:rPr>
              <w:t>CODcr</w:t>
            </w:r>
          </w:p>
        </w:tc>
        <w:tc>
          <w:tcPr>
            <w:tcW w:w="989" w:type="dxa"/>
            <w:vAlign w:val="center"/>
          </w:tcPr>
          <w:p>
            <w:pPr>
              <w:spacing w:line="280" w:lineRule="exact"/>
              <w:ind w:firstLine="0" w:firstLineChars="0"/>
              <w:jc w:val="center"/>
              <w:rPr>
                <w:sz w:val="20"/>
              </w:rPr>
            </w:pPr>
            <w:r>
              <w:rPr>
                <w:sz w:val="20"/>
              </w:rPr>
              <w:t>BOD5</w:t>
            </w:r>
          </w:p>
        </w:tc>
        <w:tc>
          <w:tcPr>
            <w:tcW w:w="989" w:type="dxa"/>
            <w:vAlign w:val="center"/>
          </w:tcPr>
          <w:p>
            <w:pPr>
              <w:spacing w:line="280" w:lineRule="exact"/>
              <w:ind w:firstLine="0" w:firstLineChars="0"/>
              <w:jc w:val="center"/>
              <w:rPr>
                <w:sz w:val="20"/>
              </w:rPr>
            </w:pPr>
            <w:r>
              <w:rPr>
                <w:sz w:val="20"/>
              </w:rPr>
              <w:t>SS</w:t>
            </w:r>
          </w:p>
        </w:tc>
        <w:tc>
          <w:tcPr>
            <w:tcW w:w="866" w:type="dxa"/>
            <w:vAlign w:val="center"/>
          </w:tcPr>
          <w:p>
            <w:pPr>
              <w:spacing w:line="280" w:lineRule="exact"/>
              <w:ind w:firstLine="0" w:firstLineChars="0"/>
              <w:jc w:val="center"/>
              <w:rPr>
                <w:sz w:val="20"/>
              </w:rPr>
            </w:pPr>
            <w:r>
              <w:rPr>
                <w:sz w:val="20"/>
              </w:rPr>
              <w:t>NH3-N</w:t>
            </w:r>
          </w:p>
        </w:tc>
        <w:tc>
          <w:tcPr>
            <w:tcW w:w="1273" w:type="dxa"/>
            <w:vAlign w:val="center"/>
          </w:tcPr>
          <w:p>
            <w:pPr>
              <w:spacing w:line="280" w:lineRule="exact"/>
              <w:ind w:firstLine="0" w:firstLineChars="0"/>
              <w:jc w:val="center"/>
              <w:rPr>
                <w:sz w:val="20"/>
              </w:rPr>
            </w:pPr>
            <w:r>
              <w:rPr>
                <w:sz w:val="20"/>
              </w:rPr>
              <w:t>动植物油类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2" w:hRule="atLeast"/>
        </w:trPr>
        <w:tc>
          <w:tcPr>
            <w:tcW w:w="1119" w:type="dxa"/>
            <w:vMerge w:val="restart"/>
            <w:vAlign w:val="center"/>
          </w:tcPr>
          <w:p>
            <w:pPr>
              <w:spacing w:line="280" w:lineRule="exact"/>
              <w:ind w:firstLine="0" w:firstLineChars="0"/>
              <w:jc w:val="center"/>
              <w:rPr>
                <w:sz w:val="20"/>
              </w:rPr>
            </w:pPr>
            <w:r>
              <w:rPr>
                <w:rFonts w:hint="eastAsia"/>
                <w:sz w:val="20"/>
              </w:rPr>
              <w:t>废水</w:t>
            </w:r>
          </w:p>
        </w:tc>
        <w:tc>
          <w:tcPr>
            <w:tcW w:w="1264" w:type="dxa"/>
            <w:vMerge w:val="restart"/>
            <w:vAlign w:val="center"/>
          </w:tcPr>
          <w:p>
            <w:pPr>
              <w:spacing w:line="280" w:lineRule="exact"/>
              <w:ind w:firstLine="0" w:firstLineChars="0"/>
              <w:jc w:val="center"/>
              <w:rPr>
                <w:sz w:val="20"/>
              </w:rPr>
            </w:pPr>
            <w:r>
              <w:rPr>
                <w:sz w:val="20"/>
              </w:rPr>
              <w:t>324</w:t>
            </w:r>
          </w:p>
        </w:tc>
        <w:tc>
          <w:tcPr>
            <w:tcW w:w="1490" w:type="dxa"/>
            <w:vAlign w:val="center"/>
          </w:tcPr>
          <w:p>
            <w:pPr>
              <w:spacing w:line="280" w:lineRule="exact"/>
              <w:ind w:firstLine="0" w:firstLineChars="0"/>
              <w:jc w:val="center"/>
              <w:rPr>
                <w:sz w:val="20"/>
              </w:rPr>
            </w:pPr>
            <w:r>
              <w:rPr>
                <w:rFonts w:hint="eastAsia"/>
                <w:sz w:val="20"/>
              </w:rPr>
              <w:t>排放浓度（mg/L）</w:t>
            </w:r>
          </w:p>
        </w:tc>
        <w:tc>
          <w:tcPr>
            <w:tcW w:w="1219" w:type="dxa"/>
            <w:vAlign w:val="center"/>
          </w:tcPr>
          <w:p>
            <w:pPr>
              <w:spacing w:line="280" w:lineRule="exact"/>
              <w:ind w:firstLine="0" w:firstLineChars="0"/>
              <w:jc w:val="center"/>
              <w:rPr>
                <w:sz w:val="20"/>
              </w:rPr>
            </w:pPr>
            <w:r>
              <w:rPr>
                <w:sz w:val="20"/>
              </w:rPr>
              <w:t>25</w:t>
            </w:r>
            <w:r>
              <w:rPr>
                <w:rFonts w:hint="eastAsia"/>
                <w:sz w:val="20"/>
              </w:rPr>
              <w:t>0</w:t>
            </w:r>
          </w:p>
        </w:tc>
        <w:tc>
          <w:tcPr>
            <w:tcW w:w="989" w:type="dxa"/>
            <w:vAlign w:val="center"/>
          </w:tcPr>
          <w:p>
            <w:pPr>
              <w:spacing w:line="280" w:lineRule="exact"/>
              <w:ind w:firstLine="0" w:firstLineChars="0"/>
              <w:jc w:val="center"/>
              <w:rPr>
                <w:sz w:val="20"/>
              </w:rPr>
            </w:pPr>
            <w:r>
              <w:rPr>
                <w:sz w:val="20"/>
              </w:rPr>
              <w:t>120</w:t>
            </w:r>
          </w:p>
        </w:tc>
        <w:tc>
          <w:tcPr>
            <w:tcW w:w="989" w:type="dxa"/>
            <w:vAlign w:val="center"/>
          </w:tcPr>
          <w:p>
            <w:pPr>
              <w:spacing w:line="280" w:lineRule="exact"/>
              <w:ind w:firstLine="0" w:firstLineChars="0"/>
              <w:jc w:val="center"/>
              <w:rPr>
                <w:sz w:val="20"/>
              </w:rPr>
            </w:pPr>
            <w:r>
              <w:rPr>
                <w:sz w:val="20"/>
              </w:rPr>
              <w:t>200</w:t>
            </w:r>
          </w:p>
        </w:tc>
        <w:tc>
          <w:tcPr>
            <w:tcW w:w="866" w:type="dxa"/>
            <w:vAlign w:val="center"/>
          </w:tcPr>
          <w:p>
            <w:pPr>
              <w:spacing w:line="280" w:lineRule="exact"/>
              <w:ind w:firstLine="0" w:firstLineChars="0"/>
              <w:jc w:val="center"/>
              <w:rPr>
                <w:sz w:val="20"/>
              </w:rPr>
            </w:pPr>
            <w:r>
              <w:rPr>
                <w:sz w:val="20"/>
              </w:rPr>
              <w:t>3</w:t>
            </w:r>
            <w:r>
              <w:rPr>
                <w:rFonts w:hint="eastAsia"/>
                <w:sz w:val="20"/>
              </w:rPr>
              <w:t>0</w:t>
            </w:r>
          </w:p>
        </w:tc>
        <w:tc>
          <w:tcPr>
            <w:tcW w:w="1273" w:type="dxa"/>
            <w:vAlign w:val="center"/>
          </w:tcPr>
          <w:p>
            <w:pPr>
              <w:spacing w:line="280" w:lineRule="exact"/>
              <w:ind w:firstLine="0" w:firstLineChars="0"/>
              <w:jc w:val="center"/>
              <w:rPr>
                <w:sz w:val="20"/>
              </w:rPr>
            </w:pPr>
            <w:r>
              <w:rPr>
                <w:sz w:val="20"/>
              </w:rPr>
              <w:t>3</w:t>
            </w:r>
            <w:r>
              <w:rPr>
                <w:rFonts w:hint="eastAsia"/>
                <w:sz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 w:hRule="atLeast"/>
        </w:trPr>
        <w:tc>
          <w:tcPr>
            <w:tcW w:w="1119" w:type="dxa"/>
            <w:vMerge w:val="continue"/>
            <w:vAlign w:val="center"/>
          </w:tcPr>
          <w:p>
            <w:pPr>
              <w:spacing w:line="280" w:lineRule="exact"/>
              <w:ind w:firstLine="0" w:firstLineChars="0"/>
              <w:jc w:val="center"/>
              <w:rPr>
                <w:sz w:val="20"/>
              </w:rPr>
            </w:pPr>
          </w:p>
        </w:tc>
        <w:tc>
          <w:tcPr>
            <w:tcW w:w="1264" w:type="dxa"/>
            <w:vMerge w:val="continue"/>
            <w:vAlign w:val="center"/>
          </w:tcPr>
          <w:p>
            <w:pPr>
              <w:spacing w:line="280" w:lineRule="exact"/>
              <w:ind w:firstLine="0" w:firstLineChars="0"/>
              <w:jc w:val="center"/>
              <w:rPr>
                <w:sz w:val="20"/>
              </w:rPr>
            </w:pPr>
          </w:p>
        </w:tc>
        <w:tc>
          <w:tcPr>
            <w:tcW w:w="1490" w:type="dxa"/>
            <w:vAlign w:val="center"/>
          </w:tcPr>
          <w:p>
            <w:pPr>
              <w:spacing w:line="280" w:lineRule="exact"/>
              <w:ind w:firstLine="0" w:firstLineChars="0"/>
              <w:jc w:val="center"/>
              <w:rPr>
                <w:sz w:val="20"/>
              </w:rPr>
            </w:pPr>
            <w:r>
              <w:rPr>
                <w:rFonts w:hint="eastAsia"/>
                <w:sz w:val="20"/>
              </w:rPr>
              <w:t>排放</w:t>
            </w:r>
            <w:r>
              <w:rPr>
                <w:sz w:val="20"/>
              </w:rPr>
              <w:t>量(t/a)</w:t>
            </w:r>
          </w:p>
        </w:tc>
        <w:tc>
          <w:tcPr>
            <w:tcW w:w="1219" w:type="dxa"/>
            <w:vAlign w:val="bottom"/>
          </w:tcPr>
          <w:p>
            <w:pPr>
              <w:spacing w:line="280" w:lineRule="exact"/>
              <w:ind w:firstLine="0" w:firstLineChars="0"/>
              <w:jc w:val="center"/>
              <w:rPr>
                <w:sz w:val="20"/>
              </w:rPr>
            </w:pPr>
            <w:r>
              <w:rPr>
                <w:sz w:val="20"/>
              </w:rPr>
              <w:t>0.081</w:t>
            </w:r>
          </w:p>
        </w:tc>
        <w:tc>
          <w:tcPr>
            <w:tcW w:w="989" w:type="dxa"/>
            <w:vAlign w:val="bottom"/>
          </w:tcPr>
          <w:p>
            <w:pPr>
              <w:spacing w:line="280" w:lineRule="exact"/>
              <w:ind w:firstLine="0" w:firstLineChars="0"/>
              <w:jc w:val="center"/>
              <w:rPr>
                <w:sz w:val="20"/>
              </w:rPr>
            </w:pPr>
            <w:r>
              <w:rPr>
                <w:sz w:val="20"/>
              </w:rPr>
              <w:t>0.039</w:t>
            </w:r>
          </w:p>
        </w:tc>
        <w:tc>
          <w:tcPr>
            <w:tcW w:w="989" w:type="dxa"/>
            <w:vAlign w:val="bottom"/>
          </w:tcPr>
          <w:p>
            <w:pPr>
              <w:spacing w:line="280" w:lineRule="exact"/>
              <w:ind w:firstLine="0" w:firstLineChars="0"/>
              <w:jc w:val="center"/>
              <w:rPr>
                <w:sz w:val="20"/>
              </w:rPr>
            </w:pPr>
            <w:r>
              <w:rPr>
                <w:sz w:val="20"/>
              </w:rPr>
              <w:t>0.0648</w:t>
            </w:r>
          </w:p>
        </w:tc>
        <w:tc>
          <w:tcPr>
            <w:tcW w:w="866" w:type="dxa"/>
            <w:vAlign w:val="bottom"/>
          </w:tcPr>
          <w:p>
            <w:pPr>
              <w:spacing w:line="280" w:lineRule="exact"/>
              <w:ind w:firstLine="0" w:firstLineChars="0"/>
              <w:jc w:val="center"/>
              <w:rPr>
                <w:sz w:val="20"/>
              </w:rPr>
            </w:pPr>
            <w:r>
              <w:rPr>
                <w:sz w:val="20"/>
              </w:rPr>
              <w:t>0.0097</w:t>
            </w:r>
          </w:p>
        </w:tc>
        <w:tc>
          <w:tcPr>
            <w:tcW w:w="1273" w:type="dxa"/>
            <w:vAlign w:val="bottom"/>
          </w:tcPr>
          <w:p>
            <w:pPr>
              <w:spacing w:line="280" w:lineRule="exact"/>
              <w:ind w:firstLine="0" w:firstLineChars="0"/>
              <w:jc w:val="center"/>
              <w:rPr>
                <w:sz w:val="20"/>
              </w:rPr>
            </w:pPr>
            <w:r>
              <w:rPr>
                <w:sz w:val="20"/>
              </w:rPr>
              <w:t>0.0097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 w:hRule="atLeast"/>
        </w:trPr>
        <w:tc>
          <w:tcPr>
            <w:tcW w:w="1119" w:type="dxa"/>
            <w:vMerge w:val="restart"/>
            <w:vAlign w:val="center"/>
          </w:tcPr>
          <w:p>
            <w:pPr>
              <w:spacing w:line="280" w:lineRule="exact"/>
              <w:ind w:firstLine="0" w:firstLineChars="0"/>
              <w:jc w:val="center"/>
              <w:rPr>
                <w:sz w:val="20"/>
              </w:rPr>
            </w:pPr>
            <w:r>
              <w:rPr>
                <w:rFonts w:hint="eastAsia"/>
                <w:sz w:val="20"/>
              </w:rPr>
              <w:t>厂区总排放口</w:t>
            </w:r>
          </w:p>
        </w:tc>
        <w:tc>
          <w:tcPr>
            <w:tcW w:w="1264" w:type="dxa"/>
            <w:vMerge w:val="restart"/>
            <w:vAlign w:val="center"/>
          </w:tcPr>
          <w:p>
            <w:pPr>
              <w:spacing w:line="280" w:lineRule="exact"/>
              <w:ind w:firstLine="0" w:firstLineChars="0"/>
              <w:jc w:val="center"/>
              <w:rPr>
                <w:sz w:val="20"/>
              </w:rPr>
            </w:pPr>
            <w:r>
              <w:rPr>
                <w:sz w:val="20"/>
              </w:rPr>
              <w:t>324</w:t>
            </w:r>
          </w:p>
        </w:tc>
        <w:tc>
          <w:tcPr>
            <w:tcW w:w="1490" w:type="dxa"/>
            <w:vAlign w:val="center"/>
          </w:tcPr>
          <w:p>
            <w:pPr>
              <w:spacing w:line="280" w:lineRule="exact"/>
              <w:ind w:firstLine="0" w:firstLineChars="0"/>
              <w:jc w:val="center"/>
              <w:rPr>
                <w:sz w:val="20"/>
              </w:rPr>
            </w:pPr>
            <w:r>
              <w:rPr>
                <w:rFonts w:hint="eastAsia"/>
                <w:sz w:val="20"/>
              </w:rPr>
              <w:t>排放浓度（mg/L）</w:t>
            </w:r>
          </w:p>
        </w:tc>
        <w:tc>
          <w:tcPr>
            <w:tcW w:w="1219" w:type="dxa"/>
            <w:vAlign w:val="center"/>
          </w:tcPr>
          <w:p>
            <w:pPr>
              <w:spacing w:line="280" w:lineRule="exact"/>
              <w:ind w:firstLine="0" w:firstLineChars="0"/>
              <w:jc w:val="center"/>
              <w:rPr>
                <w:sz w:val="20"/>
              </w:rPr>
            </w:pPr>
            <w:r>
              <w:rPr>
                <w:sz w:val="20"/>
              </w:rPr>
              <w:t>225</w:t>
            </w:r>
          </w:p>
        </w:tc>
        <w:tc>
          <w:tcPr>
            <w:tcW w:w="989" w:type="dxa"/>
            <w:vAlign w:val="center"/>
          </w:tcPr>
          <w:p>
            <w:pPr>
              <w:spacing w:line="280" w:lineRule="exact"/>
              <w:ind w:firstLine="0" w:firstLineChars="0"/>
              <w:jc w:val="center"/>
              <w:rPr>
                <w:sz w:val="20"/>
              </w:rPr>
            </w:pPr>
            <w:r>
              <w:rPr>
                <w:sz w:val="20"/>
              </w:rPr>
              <w:t>80</w:t>
            </w:r>
          </w:p>
        </w:tc>
        <w:tc>
          <w:tcPr>
            <w:tcW w:w="989" w:type="dxa"/>
            <w:vAlign w:val="center"/>
          </w:tcPr>
          <w:p>
            <w:pPr>
              <w:spacing w:line="280" w:lineRule="exact"/>
              <w:ind w:firstLine="0" w:firstLineChars="0"/>
              <w:jc w:val="center"/>
              <w:rPr>
                <w:sz w:val="20"/>
              </w:rPr>
            </w:pPr>
            <w:r>
              <w:rPr>
                <w:sz w:val="20"/>
              </w:rPr>
              <w:t>1</w:t>
            </w:r>
            <w:r>
              <w:rPr>
                <w:rFonts w:hint="eastAsia"/>
                <w:sz w:val="20"/>
              </w:rPr>
              <w:t>00</w:t>
            </w:r>
          </w:p>
        </w:tc>
        <w:tc>
          <w:tcPr>
            <w:tcW w:w="866" w:type="dxa"/>
            <w:vAlign w:val="center"/>
          </w:tcPr>
          <w:p>
            <w:pPr>
              <w:spacing w:line="280" w:lineRule="exact"/>
              <w:ind w:firstLine="0" w:firstLineChars="0"/>
              <w:jc w:val="center"/>
              <w:rPr>
                <w:sz w:val="20"/>
              </w:rPr>
            </w:pPr>
            <w:r>
              <w:rPr>
                <w:sz w:val="20"/>
              </w:rPr>
              <w:t>30</w:t>
            </w:r>
          </w:p>
        </w:tc>
        <w:tc>
          <w:tcPr>
            <w:tcW w:w="1273" w:type="dxa"/>
            <w:vAlign w:val="center"/>
          </w:tcPr>
          <w:p>
            <w:pPr>
              <w:spacing w:line="280" w:lineRule="exact"/>
              <w:ind w:firstLine="0" w:firstLineChars="0"/>
              <w:jc w:val="center"/>
              <w:rPr>
                <w:sz w:val="20"/>
              </w:rPr>
            </w:pPr>
            <w:r>
              <w:rPr>
                <w:sz w:val="20"/>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 w:hRule="atLeast"/>
        </w:trPr>
        <w:tc>
          <w:tcPr>
            <w:tcW w:w="1119" w:type="dxa"/>
            <w:vMerge w:val="continue"/>
            <w:vAlign w:val="center"/>
          </w:tcPr>
          <w:p>
            <w:pPr>
              <w:spacing w:line="280" w:lineRule="exact"/>
              <w:ind w:firstLine="0" w:firstLineChars="0"/>
              <w:jc w:val="center"/>
              <w:rPr>
                <w:sz w:val="20"/>
              </w:rPr>
            </w:pPr>
          </w:p>
        </w:tc>
        <w:tc>
          <w:tcPr>
            <w:tcW w:w="1264" w:type="dxa"/>
            <w:vMerge w:val="continue"/>
            <w:vAlign w:val="center"/>
          </w:tcPr>
          <w:p>
            <w:pPr>
              <w:spacing w:line="280" w:lineRule="exact"/>
              <w:ind w:firstLine="0" w:firstLineChars="0"/>
              <w:jc w:val="center"/>
              <w:rPr>
                <w:sz w:val="20"/>
              </w:rPr>
            </w:pPr>
          </w:p>
        </w:tc>
        <w:tc>
          <w:tcPr>
            <w:tcW w:w="1490" w:type="dxa"/>
            <w:vAlign w:val="center"/>
          </w:tcPr>
          <w:p>
            <w:pPr>
              <w:spacing w:line="280" w:lineRule="exact"/>
              <w:ind w:firstLine="0" w:firstLineChars="0"/>
              <w:jc w:val="center"/>
              <w:rPr>
                <w:sz w:val="20"/>
              </w:rPr>
            </w:pPr>
            <w:r>
              <w:rPr>
                <w:rFonts w:hint="eastAsia"/>
                <w:sz w:val="20"/>
              </w:rPr>
              <w:t>排放</w:t>
            </w:r>
            <w:r>
              <w:rPr>
                <w:sz w:val="20"/>
              </w:rPr>
              <w:t>量(t/a)</w:t>
            </w:r>
          </w:p>
        </w:tc>
        <w:tc>
          <w:tcPr>
            <w:tcW w:w="1219" w:type="dxa"/>
            <w:vAlign w:val="center"/>
          </w:tcPr>
          <w:p>
            <w:pPr>
              <w:spacing w:line="280" w:lineRule="exact"/>
              <w:ind w:firstLine="0" w:firstLineChars="0"/>
              <w:jc w:val="center"/>
              <w:rPr>
                <w:sz w:val="20"/>
              </w:rPr>
            </w:pPr>
            <w:r>
              <w:rPr>
                <w:sz w:val="20"/>
              </w:rPr>
              <w:t>0.073</w:t>
            </w:r>
          </w:p>
        </w:tc>
        <w:tc>
          <w:tcPr>
            <w:tcW w:w="989" w:type="dxa"/>
            <w:vAlign w:val="center"/>
          </w:tcPr>
          <w:p>
            <w:pPr>
              <w:spacing w:line="280" w:lineRule="exact"/>
              <w:ind w:firstLine="0" w:firstLineChars="0"/>
              <w:jc w:val="center"/>
              <w:rPr>
                <w:sz w:val="20"/>
              </w:rPr>
            </w:pPr>
            <w:r>
              <w:rPr>
                <w:sz w:val="20"/>
              </w:rPr>
              <w:t>0.026</w:t>
            </w:r>
          </w:p>
        </w:tc>
        <w:tc>
          <w:tcPr>
            <w:tcW w:w="989" w:type="dxa"/>
            <w:vAlign w:val="center"/>
          </w:tcPr>
          <w:p>
            <w:pPr>
              <w:spacing w:line="280" w:lineRule="exact"/>
              <w:ind w:firstLine="0" w:firstLineChars="0"/>
              <w:jc w:val="center"/>
              <w:rPr>
                <w:sz w:val="20"/>
              </w:rPr>
            </w:pPr>
            <w:r>
              <w:rPr>
                <w:sz w:val="20"/>
              </w:rPr>
              <w:t>0.0324</w:t>
            </w:r>
          </w:p>
        </w:tc>
        <w:tc>
          <w:tcPr>
            <w:tcW w:w="866" w:type="dxa"/>
            <w:vAlign w:val="center"/>
          </w:tcPr>
          <w:p>
            <w:pPr>
              <w:spacing w:line="280" w:lineRule="exact"/>
              <w:ind w:firstLine="0" w:firstLineChars="0"/>
              <w:jc w:val="center"/>
              <w:rPr>
                <w:sz w:val="20"/>
              </w:rPr>
            </w:pPr>
            <w:r>
              <w:rPr>
                <w:sz w:val="20"/>
              </w:rPr>
              <w:t>0.0097</w:t>
            </w:r>
          </w:p>
        </w:tc>
        <w:tc>
          <w:tcPr>
            <w:tcW w:w="1273" w:type="dxa"/>
            <w:vAlign w:val="center"/>
          </w:tcPr>
          <w:p>
            <w:pPr>
              <w:spacing w:line="280" w:lineRule="exact"/>
              <w:ind w:firstLine="0" w:firstLineChars="0"/>
              <w:jc w:val="center"/>
              <w:rPr>
                <w:sz w:val="20"/>
              </w:rPr>
            </w:pPr>
            <w:r>
              <w:rPr>
                <w:sz w:val="20"/>
              </w:rPr>
              <w:t>0.0049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 w:hRule="atLeast"/>
        </w:trPr>
        <w:tc>
          <w:tcPr>
            <w:tcW w:w="1119" w:type="dxa"/>
            <w:vMerge w:val="restart"/>
            <w:vAlign w:val="center"/>
          </w:tcPr>
          <w:p>
            <w:pPr>
              <w:spacing w:line="280" w:lineRule="exact"/>
              <w:ind w:firstLine="0" w:firstLineChars="0"/>
              <w:jc w:val="center"/>
              <w:rPr>
                <w:sz w:val="20"/>
              </w:rPr>
            </w:pPr>
            <w:r>
              <w:rPr>
                <w:rFonts w:hint="eastAsia"/>
                <w:sz w:val="20"/>
              </w:rPr>
              <w:t>污水处理厂出口</w:t>
            </w:r>
          </w:p>
        </w:tc>
        <w:tc>
          <w:tcPr>
            <w:tcW w:w="1264" w:type="dxa"/>
            <w:vMerge w:val="restart"/>
            <w:vAlign w:val="center"/>
          </w:tcPr>
          <w:p>
            <w:pPr>
              <w:spacing w:line="280" w:lineRule="exact"/>
              <w:ind w:firstLine="0" w:firstLineChars="0"/>
              <w:jc w:val="center"/>
              <w:rPr>
                <w:sz w:val="20"/>
              </w:rPr>
            </w:pPr>
            <w:r>
              <w:rPr>
                <w:sz w:val="20"/>
              </w:rPr>
              <w:t>324</w:t>
            </w:r>
          </w:p>
        </w:tc>
        <w:tc>
          <w:tcPr>
            <w:tcW w:w="1490" w:type="dxa"/>
            <w:vAlign w:val="center"/>
          </w:tcPr>
          <w:p>
            <w:pPr>
              <w:spacing w:line="280" w:lineRule="exact"/>
              <w:ind w:firstLine="0" w:firstLineChars="0"/>
              <w:jc w:val="center"/>
              <w:rPr>
                <w:sz w:val="20"/>
              </w:rPr>
            </w:pPr>
            <w:r>
              <w:rPr>
                <w:rFonts w:hint="eastAsia"/>
                <w:sz w:val="20"/>
              </w:rPr>
              <w:t>排放</w:t>
            </w:r>
            <w:r>
              <w:rPr>
                <w:sz w:val="20"/>
              </w:rPr>
              <w:t>浓</w:t>
            </w:r>
            <w:r>
              <w:rPr>
                <w:rFonts w:hint="eastAsia"/>
                <w:sz w:val="20"/>
              </w:rPr>
              <w:t>（mg/L）</w:t>
            </w:r>
          </w:p>
        </w:tc>
        <w:tc>
          <w:tcPr>
            <w:tcW w:w="1219" w:type="dxa"/>
            <w:vAlign w:val="center"/>
          </w:tcPr>
          <w:p>
            <w:pPr>
              <w:spacing w:line="280" w:lineRule="exact"/>
              <w:ind w:firstLine="0" w:firstLineChars="0"/>
              <w:jc w:val="center"/>
              <w:rPr>
                <w:sz w:val="20"/>
              </w:rPr>
            </w:pPr>
            <w:r>
              <w:rPr>
                <w:sz w:val="20"/>
              </w:rPr>
              <w:t>4</w:t>
            </w:r>
            <w:r>
              <w:rPr>
                <w:rFonts w:hint="eastAsia"/>
                <w:sz w:val="20"/>
              </w:rPr>
              <w:t>0</w:t>
            </w:r>
          </w:p>
        </w:tc>
        <w:tc>
          <w:tcPr>
            <w:tcW w:w="989" w:type="dxa"/>
            <w:vAlign w:val="center"/>
          </w:tcPr>
          <w:p>
            <w:pPr>
              <w:spacing w:line="280" w:lineRule="exact"/>
              <w:ind w:firstLine="0" w:firstLineChars="0"/>
              <w:jc w:val="center"/>
              <w:rPr>
                <w:sz w:val="20"/>
              </w:rPr>
            </w:pPr>
            <w:r>
              <w:rPr>
                <w:rFonts w:hint="eastAsia"/>
                <w:sz w:val="20"/>
              </w:rPr>
              <w:t>10</w:t>
            </w:r>
          </w:p>
        </w:tc>
        <w:tc>
          <w:tcPr>
            <w:tcW w:w="989" w:type="dxa"/>
            <w:vAlign w:val="center"/>
          </w:tcPr>
          <w:p>
            <w:pPr>
              <w:spacing w:line="280" w:lineRule="exact"/>
              <w:ind w:firstLine="0" w:firstLineChars="0"/>
              <w:jc w:val="center"/>
              <w:rPr>
                <w:sz w:val="20"/>
              </w:rPr>
            </w:pPr>
            <w:r>
              <w:rPr>
                <w:rFonts w:hint="eastAsia"/>
                <w:sz w:val="20"/>
              </w:rPr>
              <w:t>10</w:t>
            </w:r>
          </w:p>
        </w:tc>
        <w:tc>
          <w:tcPr>
            <w:tcW w:w="866" w:type="dxa"/>
            <w:vAlign w:val="center"/>
          </w:tcPr>
          <w:p>
            <w:pPr>
              <w:spacing w:line="280" w:lineRule="exact"/>
              <w:ind w:firstLine="0" w:firstLineChars="0"/>
              <w:jc w:val="center"/>
              <w:rPr>
                <w:sz w:val="20"/>
              </w:rPr>
            </w:pPr>
            <w:r>
              <w:rPr>
                <w:rFonts w:hint="eastAsia"/>
                <w:sz w:val="20"/>
              </w:rPr>
              <w:t>5</w:t>
            </w:r>
          </w:p>
        </w:tc>
        <w:tc>
          <w:tcPr>
            <w:tcW w:w="1273" w:type="dxa"/>
            <w:vAlign w:val="center"/>
          </w:tcPr>
          <w:p>
            <w:pPr>
              <w:spacing w:line="280" w:lineRule="exact"/>
              <w:ind w:firstLine="0" w:firstLineChars="0"/>
              <w:jc w:val="center"/>
              <w:rPr>
                <w:sz w:val="20"/>
              </w:rPr>
            </w:pPr>
            <w:r>
              <w:rPr>
                <w:sz w:val="20"/>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 w:hRule="atLeast"/>
        </w:trPr>
        <w:tc>
          <w:tcPr>
            <w:tcW w:w="1119" w:type="dxa"/>
            <w:vMerge w:val="continue"/>
            <w:vAlign w:val="center"/>
          </w:tcPr>
          <w:p>
            <w:pPr>
              <w:pStyle w:val="183"/>
              <w:ind w:left="400" w:hanging="400"/>
            </w:pPr>
          </w:p>
        </w:tc>
        <w:tc>
          <w:tcPr>
            <w:tcW w:w="1264" w:type="dxa"/>
            <w:vMerge w:val="continue"/>
            <w:vAlign w:val="center"/>
          </w:tcPr>
          <w:p>
            <w:pPr>
              <w:spacing w:line="280" w:lineRule="exact"/>
              <w:ind w:firstLine="0" w:firstLineChars="0"/>
              <w:jc w:val="center"/>
              <w:rPr>
                <w:sz w:val="20"/>
              </w:rPr>
            </w:pPr>
          </w:p>
        </w:tc>
        <w:tc>
          <w:tcPr>
            <w:tcW w:w="1490" w:type="dxa"/>
            <w:vAlign w:val="center"/>
          </w:tcPr>
          <w:p>
            <w:pPr>
              <w:spacing w:line="280" w:lineRule="exact"/>
              <w:ind w:firstLine="0" w:firstLineChars="0"/>
              <w:jc w:val="center"/>
              <w:rPr>
                <w:sz w:val="20"/>
              </w:rPr>
            </w:pPr>
            <w:r>
              <w:rPr>
                <w:rFonts w:hint="eastAsia"/>
                <w:sz w:val="20"/>
              </w:rPr>
              <w:t>排放</w:t>
            </w:r>
            <w:r>
              <w:rPr>
                <w:sz w:val="20"/>
              </w:rPr>
              <w:t>量(t/a)</w:t>
            </w:r>
          </w:p>
        </w:tc>
        <w:tc>
          <w:tcPr>
            <w:tcW w:w="1219" w:type="dxa"/>
            <w:vAlign w:val="center"/>
          </w:tcPr>
          <w:p>
            <w:pPr>
              <w:spacing w:line="280" w:lineRule="exact"/>
              <w:ind w:firstLine="0" w:firstLineChars="0"/>
              <w:jc w:val="center"/>
              <w:rPr>
                <w:sz w:val="20"/>
              </w:rPr>
            </w:pPr>
            <w:r>
              <w:rPr>
                <w:sz w:val="20"/>
              </w:rPr>
              <w:t>0.013</w:t>
            </w:r>
          </w:p>
        </w:tc>
        <w:tc>
          <w:tcPr>
            <w:tcW w:w="989" w:type="dxa"/>
            <w:vAlign w:val="center"/>
          </w:tcPr>
          <w:p>
            <w:pPr>
              <w:spacing w:line="280" w:lineRule="exact"/>
              <w:ind w:firstLine="0" w:firstLineChars="0"/>
              <w:jc w:val="center"/>
              <w:rPr>
                <w:sz w:val="20"/>
              </w:rPr>
            </w:pPr>
            <w:r>
              <w:rPr>
                <w:rFonts w:hint="eastAsia"/>
                <w:sz w:val="20"/>
              </w:rPr>
              <w:t>0.</w:t>
            </w:r>
            <w:r>
              <w:rPr>
                <w:sz w:val="20"/>
              </w:rPr>
              <w:t>00324</w:t>
            </w:r>
          </w:p>
        </w:tc>
        <w:tc>
          <w:tcPr>
            <w:tcW w:w="989" w:type="dxa"/>
            <w:vAlign w:val="center"/>
          </w:tcPr>
          <w:p>
            <w:pPr>
              <w:spacing w:line="280" w:lineRule="exact"/>
              <w:ind w:firstLine="0" w:firstLineChars="0"/>
              <w:jc w:val="center"/>
              <w:rPr>
                <w:sz w:val="20"/>
              </w:rPr>
            </w:pPr>
            <w:r>
              <w:rPr>
                <w:rFonts w:hint="eastAsia"/>
                <w:sz w:val="20"/>
              </w:rPr>
              <w:t>0.</w:t>
            </w:r>
            <w:r>
              <w:rPr>
                <w:sz w:val="20"/>
              </w:rPr>
              <w:t>00324</w:t>
            </w:r>
          </w:p>
        </w:tc>
        <w:tc>
          <w:tcPr>
            <w:tcW w:w="866" w:type="dxa"/>
            <w:vAlign w:val="center"/>
          </w:tcPr>
          <w:p>
            <w:pPr>
              <w:spacing w:line="280" w:lineRule="exact"/>
              <w:ind w:firstLine="0" w:firstLineChars="0"/>
              <w:jc w:val="center"/>
              <w:rPr>
                <w:sz w:val="20"/>
              </w:rPr>
            </w:pPr>
            <w:r>
              <w:rPr>
                <w:rFonts w:hint="eastAsia"/>
                <w:sz w:val="20"/>
              </w:rPr>
              <w:t>0.</w:t>
            </w:r>
            <w:r>
              <w:rPr>
                <w:sz w:val="20"/>
              </w:rPr>
              <w:t>00162</w:t>
            </w:r>
          </w:p>
        </w:tc>
        <w:tc>
          <w:tcPr>
            <w:tcW w:w="1273" w:type="dxa"/>
            <w:vAlign w:val="center"/>
          </w:tcPr>
          <w:p>
            <w:pPr>
              <w:spacing w:line="280" w:lineRule="exact"/>
              <w:ind w:firstLine="0" w:firstLineChars="0"/>
              <w:jc w:val="center"/>
              <w:rPr>
                <w:sz w:val="20"/>
              </w:rPr>
            </w:pPr>
            <w:r>
              <w:rPr>
                <w:rFonts w:hint="eastAsia"/>
                <w:sz w:val="20"/>
              </w:rPr>
              <w:t>0.0</w:t>
            </w:r>
            <w:r>
              <w:rPr>
                <w:sz w:val="20"/>
              </w:rPr>
              <w:t>0097</w:t>
            </w:r>
          </w:p>
        </w:tc>
      </w:tr>
    </w:tbl>
    <w:p>
      <w:pPr>
        <w:topLinePunct/>
        <w:ind w:firstLine="480"/>
        <w:textAlignment w:val="baseline"/>
        <w:rPr>
          <w:color w:val="000000" w:themeColor="text1"/>
          <w14:textFill>
            <w14:solidFill>
              <w14:schemeClr w14:val="tx1"/>
            </w14:solidFill>
          </w14:textFill>
        </w:rPr>
      </w:pPr>
      <w:r>
        <w:rPr>
          <w:rFonts w:hint="eastAsia"/>
        </w:rPr>
        <w:t>由上表结果可知，项目对污水处理厂运行的影响如下（日处理规模</w:t>
      </w:r>
      <w:r>
        <w:t>5000</w:t>
      </w:r>
      <w:r>
        <w:rPr>
          <w:rFonts w:hint="eastAsia"/>
        </w:rPr>
        <w:t>t，进水浓度CODcr为</w:t>
      </w:r>
      <w:r>
        <w:t>25</w:t>
      </w:r>
      <w:r>
        <w:rPr>
          <w:rFonts w:hint="eastAsia"/>
        </w:rPr>
        <w:t>0mg/L、氨氮</w:t>
      </w:r>
      <w:r>
        <w:t>3</w:t>
      </w:r>
      <w:r>
        <w:rPr>
          <w:rFonts w:hint="eastAsia"/>
        </w:rPr>
        <w:t>0mg/L）：正常排放状态下，项目废水日排放量占污水处理厂日处理能力的</w:t>
      </w:r>
      <w:r>
        <w:t>0.0216</w:t>
      </w:r>
      <w:r>
        <w:rPr>
          <w:rFonts w:hint="eastAsia"/>
        </w:rPr>
        <w:t>%，污染负荷比CODcr、NH</w:t>
      </w:r>
      <w:r>
        <w:rPr>
          <w:rFonts w:hint="eastAsia"/>
          <w:vertAlign w:val="subscript"/>
        </w:rPr>
        <w:t>3</w:t>
      </w:r>
      <w:r>
        <w:rPr>
          <w:rFonts w:hint="eastAsia"/>
        </w:rPr>
        <w:t>-N分别占</w:t>
      </w:r>
      <w:r>
        <w:t>0.01944</w:t>
      </w:r>
      <w:r>
        <w:rPr>
          <w:rFonts w:hint="eastAsia"/>
        </w:rPr>
        <w:t>%、0.</w:t>
      </w:r>
      <w:r>
        <w:t>072</w:t>
      </w:r>
      <w:r>
        <w:rPr>
          <w:rFonts w:hint="eastAsia"/>
        </w:rPr>
        <w:t>%，基本上不会对污水处理厂的正常运行造成影响；事故状态下，项目废水日排放量占污水处理厂日处理能力的</w:t>
      </w:r>
      <w:r>
        <w:t>0.128</w:t>
      </w:r>
      <w:r>
        <w:rPr>
          <w:rFonts w:hint="eastAsia"/>
        </w:rPr>
        <w:t>%，污染负荷比CODcr、NH</w:t>
      </w:r>
      <w:r>
        <w:rPr>
          <w:rFonts w:hint="eastAsia"/>
          <w:vertAlign w:val="subscript"/>
        </w:rPr>
        <w:t>3</w:t>
      </w:r>
      <w:r>
        <w:rPr>
          <w:rFonts w:hint="eastAsia"/>
        </w:rPr>
        <w:t>-N分别占</w:t>
      </w:r>
      <w:r>
        <w:t>0.0216</w:t>
      </w:r>
      <w:r>
        <w:rPr>
          <w:rFonts w:hint="eastAsia"/>
        </w:rPr>
        <w:t>%、0.</w:t>
      </w:r>
      <w:r>
        <w:t>072</w:t>
      </w:r>
      <w:r>
        <w:rPr>
          <w:rFonts w:hint="eastAsia"/>
        </w:rPr>
        <w:t>%，对污水处理厂的正常运行影</w:t>
      </w:r>
      <w:r>
        <w:rPr>
          <w:rFonts w:hint="eastAsia"/>
          <w:color w:val="000000" w:themeColor="text1"/>
          <w14:textFill>
            <w14:solidFill>
              <w14:schemeClr w14:val="tx1"/>
            </w14:solidFill>
          </w14:textFill>
        </w:rPr>
        <w:t>响较小，可稳定达标排放。同时《城镇污水处理厂污染物综合排放标准》一级A排放标准涵盖了本项目排放的特征水污染物。</w:t>
      </w:r>
    </w:p>
    <w:p>
      <w:pPr>
        <w:topLinePunct/>
        <w:ind w:firstLine="480"/>
        <w:textAlignment w:val="baseline"/>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综上所述，项目水污染控制和水环境影响减缓措施合理有效，依托污水处理设施的环境可行，项目地表水环境影响可接受。</w:t>
      </w:r>
    </w:p>
    <w:p>
      <w:pPr>
        <w:pStyle w:val="5"/>
        <w:rPr>
          <w:snapToGrid w:val="0"/>
        </w:rPr>
      </w:pPr>
      <w:r>
        <w:rPr>
          <w:rFonts w:hint="eastAsia"/>
          <w:snapToGrid w:val="0"/>
        </w:rPr>
        <w:t>污染物排放量核算</w:t>
      </w:r>
    </w:p>
    <w:p>
      <w:pPr>
        <w:topLinePunct/>
        <w:ind w:firstLine="480"/>
        <w:textAlignment w:val="baseline"/>
        <w:rPr>
          <w:color w:val="000000" w:themeColor="text1"/>
          <w14:textFill>
            <w14:solidFill>
              <w14:schemeClr w14:val="tx1"/>
            </w14:solidFill>
          </w14:textFill>
        </w:rPr>
      </w:pPr>
      <w:r>
        <w:rPr>
          <w:rFonts w:hint="eastAsia"/>
          <w:color w:val="000000" w:themeColor="text1"/>
          <w14:textFill>
            <w14:solidFill>
              <w14:schemeClr w14:val="tx1"/>
            </w14:solidFill>
          </w14:textFill>
        </w:rPr>
        <w:t>根据《环境影响评价技术导则-地表水环境》（HJ2.3-2018）需对污染源排放量进行核算。项目废水污染物排放信息表见4.2-</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、4.2-</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 4.2-</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和4.2-</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p>
    <w:p>
      <w:pPr>
        <w:pStyle w:val="2"/>
        <w:rPr>
          <w:color w:val="000000" w:themeColor="text1"/>
          <w14:textFill>
            <w14:solidFill>
              <w14:schemeClr w14:val="tx1"/>
            </w14:solidFill>
          </w14:textFill>
        </w:rPr>
      </w:pPr>
    </w:p>
    <w:p>
      <w:pPr>
        <w:pStyle w:val="178"/>
        <w:spacing w:line="360" w:lineRule="auto"/>
        <w:ind w:firstLine="480"/>
        <w:rPr>
          <w:kern w:val="2"/>
          <w:sz w:val="24"/>
          <w:szCs w:val="24"/>
        </w:rPr>
      </w:pPr>
      <w:r>
        <w:rPr>
          <w:kern w:val="2"/>
          <w:sz w:val="24"/>
          <w:szCs w:val="24"/>
        </w:rPr>
        <w:t>表4.2</w:t>
      </w:r>
      <w:r>
        <w:rPr>
          <w:kern w:val="2"/>
          <w:sz w:val="24"/>
          <w:szCs w:val="24"/>
          <w:lang w:val="en-US" w:eastAsia="zh-CN"/>
        </w:rPr>
        <w:t>-2</w:t>
      </w:r>
      <w:r>
        <w:rPr>
          <w:kern w:val="2"/>
          <w:sz w:val="24"/>
          <w:szCs w:val="24"/>
        </w:rPr>
        <w:t xml:space="preserve"> 废水类别、污染物及污染治理设施信息表</w:t>
      </w:r>
    </w:p>
    <w:tbl>
      <w:tblPr>
        <w:tblStyle w:val="56"/>
        <w:tblW w:w="9372" w:type="dxa"/>
        <w:jc w:val="center"/>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0" w:type="dxa"/>
          <w:bottom w:w="0" w:type="dxa"/>
          <w:right w:w="0" w:type="dxa"/>
        </w:tblCellMar>
      </w:tblPr>
      <w:tblGrid>
        <w:gridCol w:w="569"/>
        <w:gridCol w:w="710"/>
        <w:gridCol w:w="853"/>
        <w:gridCol w:w="709"/>
        <w:gridCol w:w="710"/>
        <w:gridCol w:w="710"/>
        <w:gridCol w:w="710"/>
        <w:gridCol w:w="853"/>
        <w:gridCol w:w="710"/>
        <w:gridCol w:w="1096"/>
        <w:gridCol w:w="1742"/>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0" w:type="dxa"/>
            <w:bottom w:w="0" w:type="dxa"/>
            <w:right w:w="0" w:type="dxa"/>
          </w:tblCellMar>
        </w:tblPrEx>
        <w:trPr>
          <w:trHeight w:val="307" w:hRule="atLeast"/>
          <w:jc w:val="center"/>
        </w:trPr>
        <w:tc>
          <w:tcPr>
            <w:tcW w:w="569" w:type="dxa"/>
            <w:vMerge w:val="restart"/>
          </w:tcPr>
          <w:p>
            <w:pPr>
              <w:pStyle w:val="160"/>
              <w:ind w:left="120" w:leftChars="50" w:right="120" w:rightChars="50"/>
              <w:rPr>
                <w:rFonts w:ascii="Times New Roman" w:hAnsi="Times New Roman" w:cs="Times New Roman"/>
                <w:b/>
                <w:bCs/>
                <w:kern w:val="2"/>
                <w:sz w:val="21"/>
                <w:szCs w:val="21"/>
                <w:lang w:eastAsia="zh-CN"/>
              </w:rPr>
            </w:pPr>
          </w:p>
          <w:p>
            <w:pPr>
              <w:pStyle w:val="160"/>
              <w:spacing w:before="126"/>
              <w:ind w:right="120" w:rightChars="50"/>
              <w:rPr>
                <w:rFonts w:ascii="Times New Roman" w:hAnsi="Times New Roman" w:cs="Times New Roman"/>
                <w:kern w:val="2"/>
                <w:sz w:val="21"/>
                <w:szCs w:val="21"/>
              </w:rPr>
            </w:pPr>
            <w:r>
              <w:rPr>
                <w:rFonts w:ascii="Times New Roman" w:hAnsi="Times New Roman" w:cs="Times New Roman"/>
                <w:kern w:val="2"/>
                <w:sz w:val="21"/>
                <w:szCs w:val="21"/>
              </w:rPr>
              <w:t>序号</w:t>
            </w:r>
          </w:p>
        </w:tc>
        <w:tc>
          <w:tcPr>
            <w:tcW w:w="710" w:type="dxa"/>
            <w:vMerge w:val="restart"/>
          </w:tcPr>
          <w:p>
            <w:pPr>
              <w:pStyle w:val="160"/>
              <w:spacing w:before="6"/>
              <w:ind w:left="120" w:leftChars="50" w:right="120" w:rightChars="50"/>
              <w:rPr>
                <w:rFonts w:ascii="Times New Roman" w:hAnsi="Times New Roman" w:cs="Times New Roman"/>
                <w:b/>
                <w:bCs/>
                <w:kern w:val="2"/>
                <w:sz w:val="21"/>
                <w:szCs w:val="21"/>
              </w:rPr>
            </w:pPr>
          </w:p>
          <w:p>
            <w:pPr>
              <w:pStyle w:val="160"/>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废水类别</w:t>
            </w:r>
          </w:p>
        </w:tc>
        <w:tc>
          <w:tcPr>
            <w:tcW w:w="853" w:type="dxa"/>
            <w:vMerge w:val="restart"/>
          </w:tcPr>
          <w:p>
            <w:pPr>
              <w:pStyle w:val="160"/>
              <w:spacing w:before="6"/>
              <w:ind w:right="120" w:rightChars="50"/>
              <w:rPr>
                <w:rFonts w:ascii="Times New Roman" w:hAnsi="Times New Roman" w:cs="Times New Roman"/>
                <w:b/>
                <w:bCs/>
                <w:kern w:val="2"/>
                <w:sz w:val="21"/>
                <w:szCs w:val="21"/>
              </w:rPr>
            </w:pPr>
          </w:p>
          <w:p>
            <w:pPr>
              <w:pStyle w:val="160"/>
              <w:ind w:left="67" w:leftChars="28" w:right="120" w:rightChars="50"/>
              <w:rPr>
                <w:rFonts w:ascii="Times New Roman" w:hAnsi="Times New Roman" w:cs="Times New Roman"/>
                <w:kern w:val="2"/>
                <w:sz w:val="21"/>
                <w:szCs w:val="21"/>
              </w:rPr>
            </w:pPr>
            <w:r>
              <w:rPr>
                <w:rFonts w:ascii="Times New Roman" w:hAnsi="Times New Roman" w:cs="Times New Roman"/>
                <w:kern w:val="2"/>
                <w:sz w:val="21"/>
                <w:szCs w:val="21"/>
              </w:rPr>
              <w:t>污染物种类</w:t>
            </w:r>
          </w:p>
        </w:tc>
        <w:tc>
          <w:tcPr>
            <w:tcW w:w="709" w:type="dxa"/>
            <w:vMerge w:val="restart"/>
          </w:tcPr>
          <w:p>
            <w:pPr>
              <w:pStyle w:val="160"/>
              <w:spacing w:before="6"/>
              <w:ind w:left="120" w:leftChars="50" w:right="120" w:rightChars="50"/>
              <w:rPr>
                <w:rFonts w:ascii="Times New Roman" w:hAnsi="Times New Roman" w:cs="Times New Roman"/>
                <w:b/>
                <w:bCs/>
                <w:kern w:val="2"/>
                <w:sz w:val="21"/>
                <w:szCs w:val="21"/>
              </w:rPr>
            </w:pPr>
          </w:p>
          <w:p>
            <w:pPr>
              <w:pStyle w:val="160"/>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排放去向</w:t>
            </w:r>
          </w:p>
        </w:tc>
        <w:tc>
          <w:tcPr>
            <w:tcW w:w="710" w:type="dxa"/>
            <w:vMerge w:val="restart"/>
          </w:tcPr>
          <w:p>
            <w:pPr>
              <w:pStyle w:val="160"/>
              <w:spacing w:before="6"/>
              <w:ind w:left="120" w:leftChars="50" w:right="120" w:rightChars="50"/>
              <w:rPr>
                <w:rFonts w:ascii="Times New Roman" w:hAnsi="Times New Roman" w:cs="Times New Roman"/>
                <w:b/>
                <w:bCs/>
                <w:kern w:val="2"/>
                <w:sz w:val="21"/>
                <w:szCs w:val="21"/>
              </w:rPr>
            </w:pPr>
          </w:p>
          <w:p>
            <w:pPr>
              <w:pStyle w:val="160"/>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排放规律</w:t>
            </w:r>
          </w:p>
        </w:tc>
        <w:tc>
          <w:tcPr>
            <w:tcW w:w="2273" w:type="dxa"/>
            <w:gridSpan w:val="3"/>
          </w:tcPr>
          <w:p>
            <w:pPr>
              <w:pStyle w:val="160"/>
              <w:spacing w:before="42"/>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污染物治理设施</w:t>
            </w:r>
          </w:p>
        </w:tc>
        <w:tc>
          <w:tcPr>
            <w:tcW w:w="710" w:type="dxa"/>
            <w:vMerge w:val="restart"/>
          </w:tcPr>
          <w:p>
            <w:pPr>
              <w:pStyle w:val="160"/>
              <w:spacing w:before="42"/>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排放</w:t>
            </w:r>
          </w:p>
          <w:p>
            <w:pPr>
              <w:pStyle w:val="160"/>
              <w:spacing w:before="5"/>
              <w:ind w:left="209" w:leftChars="50" w:right="120" w:rightChars="50" w:hanging="89"/>
              <w:rPr>
                <w:rFonts w:ascii="Times New Roman" w:hAnsi="Times New Roman" w:cs="Times New Roman"/>
                <w:kern w:val="2"/>
                <w:sz w:val="21"/>
                <w:szCs w:val="21"/>
              </w:rPr>
            </w:pPr>
            <w:r>
              <w:rPr>
                <w:rFonts w:ascii="Times New Roman" w:hAnsi="Times New Roman" w:cs="Times New Roman"/>
                <w:kern w:val="2"/>
                <w:sz w:val="21"/>
                <w:szCs w:val="21"/>
              </w:rPr>
              <w:t>口编号</w:t>
            </w:r>
          </w:p>
        </w:tc>
        <w:tc>
          <w:tcPr>
            <w:tcW w:w="1096" w:type="dxa"/>
            <w:vMerge w:val="restart"/>
          </w:tcPr>
          <w:p>
            <w:pPr>
              <w:pStyle w:val="160"/>
              <w:spacing w:before="42"/>
              <w:ind w:left="120" w:leftChars="50" w:right="120" w:rightChars="50"/>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排放口设</w:t>
            </w:r>
            <w:r>
              <w:rPr>
                <w:rFonts w:ascii="Times New Roman" w:hAnsi="Times New Roman" w:cs="Times New Roman"/>
                <w:spacing w:val="-4"/>
                <w:kern w:val="2"/>
                <w:sz w:val="21"/>
                <w:szCs w:val="21"/>
                <w:lang w:eastAsia="zh-CN"/>
              </w:rPr>
              <w:t>置是否符</w:t>
            </w:r>
            <w:r>
              <w:rPr>
                <w:rFonts w:ascii="Times New Roman" w:hAnsi="Times New Roman" w:cs="Times New Roman"/>
                <w:kern w:val="2"/>
                <w:sz w:val="21"/>
                <w:szCs w:val="21"/>
                <w:lang w:eastAsia="zh-CN"/>
              </w:rPr>
              <w:t>合要求</w:t>
            </w:r>
          </w:p>
        </w:tc>
        <w:tc>
          <w:tcPr>
            <w:tcW w:w="1742" w:type="dxa"/>
            <w:vMerge w:val="restart"/>
          </w:tcPr>
          <w:p>
            <w:pPr>
              <w:pStyle w:val="160"/>
              <w:ind w:left="120" w:leftChars="50" w:right="120" w:rightChars="50"/>
              <w:rPr>
                <w:rFonts w:ascii="Times New Roman" w:hAnsi="Times New Roman" w:cs="Times New Roman"/>
                <w:b/>
                <w:bCs/>
                <w:kern w:val="2"/>
                <w:sz w:val="21"/>
                <w:szCs w:val="21"/>
                <w:lang w:eastAsia="zh-CN"/>
              </w:rPr>
            </w:pPr>
          </w:p>
          <w:p>
            <w:pPr>
              <w:pStyle w:val="160"/>
              <w:spacing w:before="126"/>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排放口类型</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0" w:type="dxa"/>
            <w:bottom w:w="0" w:type="dxa"/>
            <w:right w:w="0" w:type="dxa"/>
          </w:tblCellMar>
        </w:tblPrEx>
        <w:trPr>
          <w:trHeight w:val="603" w:hRule="atLeast"/>
          <w:jc w:val="center"/>
        </w:trPr>
        <w:tc>
          <w:tcPr>
            <w:tcW w:w="569" w:type="dxa"/>
            <w:vMerge w:val="continue"/>
            <w:vAlign w:val="center"/>
          </w:tcPr>
          <w:p>
            <w:pPr>
              <w:ind w:left="120" w:leftChars="50" w:right="120" w:rightChars="50" w:firstLine="480"/>
              <w:jc w:val="center"/>
              <w:rPr>
                <w:rFonts w:ascii="Times New Roman" w:hAnsi="Times New Roman" w:cs="Times New Roman"/>
                <w:kern w:val="2"/>
                <w:szCs w:val="21"/>
              </w:rPr>
            </w:pPr>
          </w:p>
        </w:tc>
        <w:tc>
          <w:tcPr>
            <w:tcW w:w="710" w:type="dxa"/>
            <w:vMerge w:val="continue"/>
            <w:vAlign w:val="center"/>
          </w:tcPr>
          <w:p>
            <w:pPr>
              <w:ind w:left="120" w:leftChars="50" w:right="120" w:rightChars="50" w:firstLine="480"/>
              <w:jc w:val="center"/>
              <w:rPr>
                <w:rFonts w:ascii="Times New Roman" w:hAnsi="Times New Roman" w:cs="Times New Roman"/>
                <w:kern w:val="2"/>
                <w:szCs w:val="21"/>
              </w:rPr>
            </w:pPr>
          </w:p>
        </w:tc>
        <w:tc>
          <w:tcPr>
            <w:tcW w:w="853" w:type="dxa"/>
            <w:vMerge w:val="continue"/>
            <w:vAlign w:val="center"/>
          </w:tcPr>
          <w:p>
            <w:pPr>
              <w:ind w:left="120" w:leftChars="50" w:right="120" w:rightChars="50" w:firstLine="480"/>
              <w:jc w:val="center"/>
              <w:rPr>
                <w:rFonts w:ascii="Times New Roman" w:hAnsi="Times New Roman" w:cs="Times New Roman"/>
                <w:kern w:val="2"/>
                <w:szCs w:val="21"/>
              </w:rPr>
            </w:pPr>
          </w:p>
        </w:tc>
        <w:tc>
          <w:tcPr>
            <w:tcW w:w="709" w:type="dxa"/>
            <w:vMerge w:val="continue"/>
            <w:vAlign w:val="center"/>
          </w:tcPr>
          <w:p>
            <w:pPr>
              <w:ind w:left="120" w:leftChars="50" w:right="120" w:rightChars="50" w:firstLine="480"/>
              <w:jc w:val="center"/>
              <w:rPr>
                <w:rFonts w:ascii="Times New Roman" w:hAnsi="Times New Roman" w:cs="Times New Roman"/>
                <w:kern w:val="2"/>
                <w:szCs w:val="21"/>
              </w:rPr>
            </w:pPr>
          </w:p>
        </w:tc>
        <w:tc>
          <w:tcPr>
            <w:tcW w:w="710" w:type="dxa"/>
            <w:vMerge w:val="continue"/>
            <w:vAlign w:val="center"/>
          </w:tcPr>
          <w:p>
            <w:pPr>
              <w:ind w:left="120" w:leftChars="50" w:right="120" w:rightChars="50" w:firstLine="480"/>
              <w:jc w:val="center"/>
              <w:rPr>
                <w:rFonts w:ascii="Times New Roman" w:hAnsi="Times New Roman" w:cs="Times New Roman"/>
                <w:kern w:val="2"/>
                <w:szCs w:val="21"/>
              </w:rPr>
            </w:pPr>
          </w:p>
        </w:tc>
        <w:tc>
          <w:tcPr>
            <w:tcW w:w="710" w:type="dxa"/>
          </w:tcPr>
          <w:p>
            <w:pPr>
              <w:pStyle w:val="160"/>
              <w:spacing w:before="2"/>
              <w:ind w:left="120" w:leftChars="50" w:right="120" w:rightChars="50"/>
              <w:rPr>
                <w:rFonts w:ascii="Times New Roman" w:hAnsi="Times New Roman" w:cs="Times New Roman"/>
                <w:b/>
                <w:bCs/>
                <w:kern w:val="2"/>
                <w:sz w:val="21"/>
                <w:szCs w:val="21"/>
              </w:rPr>
            </w:pPr>
          </w:p>
          <w:p>
            <w:pPr>
              <w:pStyle w:val="160"/>
              <w:spacing w:before="1"/>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编号</w:t>
            </w:r>
          </w:p>
        </w:tc>
        <w:tc>
          <w:tcPr>
            <w:tcW w:w="710" w:type="dxa"/>
          </w:tcPr>
          <w:p>
            <w:pPr>
              <w:pStyle w:val="160"/>
              <w:spacing w:before="2"/>
              <w:ind w:left="120" w:leftChars="50" w:right="120" w:rightChars="50"/>
              <w:rPr>
                <w:rFonts w:ascii="Times New Roman" w:hAnsi="Times New Roman" w:cs="Times New Roman"/>
                <w:b/>
                <w:bCs/>
                <w:kern w:val="2"/>
                <w:sz w:val="21"/>
                <w:szCs w:val="21"/>
              </w:rPr>
            </w:pPr>
          </w:p>
          <w:p>
            <w:pPr>
              <w:pStyle w:val="160"/>
              <w:spacing w:before="1"/>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名称</w:t>
            </w:r>
          </w:p>
        </w:tc>
        <w:tc>
          <w:tcPr>
            <w:tcW w:w="853" w:type="dxa"/>
          </w:tcPr>
          <w:p>
            <w:pPr>
              <w:pStyle w:val="160"/>
              <w:spacing w:before="2"/>
              <w:ind w:left="120" w:leftChars="50" w:right="120" w:rightChars="50"/>
              <w:rPr>
                <w:rFonts w:ascii="Times New Roman" w:hAnsi="Times New Roman" w:cs="Times New Roman"/>
                <w:b/>
                <w:bCs/>
                <w:kern w:val="2"/>
                <w:sz w:val="21"/>
                <w:szCs w:val="21"/>
              </w:rPr>
            </w:pPr>
          </w:p>
          <w:p>
            <w:pPr>
              <w:pStyle w:val="160"/>
              <w:spacing w:before="1"/>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工艺</w:t>
            </w:r>
          </w:p>
        </w:tc>
        <w:tc>
          <w:tcPr>
            <w:tcW w:w="710" w:type="dxa"/>
            <w:vMerge w:val="continue"/>
            <w:vAlign w:val="center"/>
          </w:tcPr>
          <w:p>
            <w:pPr>
              <w:ind w:left="120" w:leftChars="50" w:right="120" w:rightChars="50" w:firstLine="480"/>
              <w:jc w:val="center"/>
              <w:rPr>
                <w:rFonts w:ascii="Times New Roman" w:hAnsi="Times New Roman" w:cs="Times New Roman"/>
                <w:kern w:val="2"/>
                <w:szCs w:val="21"/>
              </w:rPr>
            </w:pPr>
          </w:p>
        </w:tc>
        <w:tc>
          <w:tcPr>
            <w:tcW w:w="1096" w:type="dxa"/>
            <w:vMerge w:val="continue"/>
            <w:vAlign w:val="center"/>
          </w:tcPr>
          <w:p>
            <w:pPr>
              <w:ind w:left="120" w:leftChars="50" w:right="120" w:rightChars="50" w:firstLine="480"/>
              <w:jc w:val="center"/>
              <w:rPr>
                <w:rFonts w:ascii="Times New Roman" w:hAnsi="Times New Roman" w:cs="Times New Roman"/>
                <w:kern w:val="2"/>
                <w:szCs w:val="21"/>
              </w:rPr>
            </w:pPr>
          </w:p>
        </w:tc>
        <w:tc>
          <w:tcPr>
            <w:tcW w:w="1742" w:type="dxa"/>
            <w:vMerge w:val="continue"/>
            <w:vAlign w:val="center"/>
          </w:tcPr>
          <w:p>
            <w:pPr>
              <w:ind w:left="120" w:leftChars="50" w:right="120" w:rightChars="50" w:firstLine="480"/>
              <w:jc w:val="center"/>
              <w:rPr>
                <w:rFonts w:ascii="Times New Roman" w:hAnsi="Times New Roman" w:cs="Times New Roman"/>
                <w:kern w:val="2"/>
                <w:szCs w:val="21"/>
              </w:rPr>
            </w:pP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0" w:type="dxa"/>
            <w:bottom w:w="0" w:type="dxa"/>
            <w:right w:w="0" w:type="dxa"/>
          </w:tblCellMar>
        </w:tblPrEx>
        <w:trPr>
          <w:trHeight w:val="1992" w:hRule="atLeast"/>
          <w:jc w:val="center"/>
        </w:trPr>
        <w:tc>
          <w:tcPr>
            <w:tcW w:w="569" w:type="dxa"/>
          </w:tcPr>
          <w:p>
            <w:pPr>
              <w:pStyle w:val="160"/>
              <w:ind w:left="120" w:leftChars="50" w:right="120" w:rightChars="50"/>
              <w:rPr>
                <w:rFonts w:ascii="Times New Roman" w:hAnsi="Times New Roman" w:cs="Times New Roman"/>
                <w:b/>
                <w:bCs/>
                <w:kern w:val="2"/>
                <w:sz w:val="21"/>
                <w:szCs w:val="21"/>
              </w:rPr>
            </w:pPr>
          </w:p>
          <w:p>
            <w:pPr>
              <w:pStyle w:val="160"/>
              <w:ind w:left="120" w:leftChars="50" w:right="120" w:rightChars="50"/>
              <w:rPr>
                <w:rFonts w:ascii="Times New Roman" w:hAnsi="Times New Roman" w:cs="Times New Roman"/>
                <w:b/>
                <w:bCs/>
                <w:kern w:val="2"/>
                <w:sz w:val="21"/>
                <w:szCs w:val="21"/>
              </w:rPr>
            </w:pPr>
          </w:p>
          <w:p>
            <w:pPr>
              <w:pStyle w:val="160"/>
              <w:ind w:left="120" w:leftChars="50" w:right="120" w:rightChars="50"/>
              <w:rPr>
                <w:rFonts w:ascii="Times New Roman" w:hAnsi="Times New Roman" w:cs="Times New Roman"/>
                <w:b/>
                <w:bCs/>
                <w:kern w:val="2"/>
                <w:sz w:val="21"/>
                <w:szCs w:val="21"/>
              </w:rPr>
            </w:pPr>
          </w:p>
          <w:p>
            <w:pPr>
              <w:pStyle w:val="160"/>
              <w:ind w:left="120" w:leftChars="50" w:right="120" w:rightChars="50"/>
              <w:rPr>
                <w:rFonts w:ascii="Times New Roman" w:hAnsi="Times New Roman" w:cs="Times New Roman"/>
                <w:b/>
                <w:bCs/>
                <w:kern w:val="2"/>
                <w:sz w:val="21"/>
                <w:szCs w:val="21"/>
              </w:rPr>
            </w:pPr>
          </w:p>
          <w:p>
            <w:pPr>
              <w:pStyle w:val="160"/>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1</w:t>
            </w:r>
          </w:p>
        </w:tc>
        <w:tc>
          <w:tcPr>
            <w:tcW w:w="710" w:type="dxa"/>
          </w:tcPr>
          <w:p>
            <w:pPr>
              <w:pStyle w:val="160"/>
              <w:ind w:left="120" w:leftChars="50" w:right="120" w:rightChars="50"/>
              <w:rPr>
                <w:rFonts w:ascii="Times New Roman" w:hAnsi="Times New Roman" w:cs="Times New Roman"/>
                <w:kern w:val="2"/>
                <w:sz w:val="21"/>
                <w:szCs w:val="21"/>
              </w:rPr>
            </w:pPr>
          </w:p>
          <w:p>
            <w:pPr>
              <w:pStyle w:val="160"/>
              <w:ind w:left="120" w:leftChars="50" w:right="120" w:rightChars="50"/>
              <w:rPr>
                <w:rFonts w:ascii="Times New Roman" w:hAnsi="Times New Roman" w:cs="Times New Roman"/>
                <w:kern w:val="2"/>
                <w:sz w:val="21"/>
                <w:szCs w:val="21"/>
              </w:rPr>
            </w:pPr>
          </w:p>
          <w:p>
            <w:pPr>
              <w:pStyle w:val="160"/>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生活污水</w:t>
            </w:r>
          </w:p>
        </w:tc>
        <w:tc>
          <w:tcPr>
            <w:tcW w:w="853" w:type="dxa"/>
          </w:tcPr>
          <w:p>
            <w:pPr>
              <w:pStyle w:val="177"/>
              <w:spacing w:before="46" w:after="46"/>
              <w:ind w:left="420" w:firstLine="412"/>
              <w:rPr>
                <w:snapToGrid w:val="0"/>
                <w:kern w:val="0"/>
                <w:lang w:eastAsia="zh-CN"/>
              </w:rPr>
            </w:pPr>
          </w:p>
          <w:p>
            <w:pPr>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COD</w:t>
            </w:r>
          </w:p>
          <w:p>
            <w:pPr>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BOD</w:t>
            </w:r>
          </w:p>
          <w:p>
            <w:pPr>
              <w:spacing w:line="240" w:lineRule="auto"/>
              <w:ind w:firstLine="0" w:firstLineChars="0"/>
              <w:rPr>
                <w:rFonts w:ascii="Times New Roman" w:hAnsi="Times New Roman" w:cs="Times New Roman"/>
                <w:kern w:val="2"/>
                <w:sz w:val="21"/>
                <w:szCs w:val="21"/>
              </w:rPr>
            </w:pPr>
            <w:r>
              <w:rPr>
                <w:rFonts w:hint="eastAsia" w:ascii="Times New Roman" w:hAnsi="Times New Roman" w:cs="Times New Roman"/>
                <w:bCs/>
                <w:sz w:val="21"/>
                <w:szCs w:val="21"/>
              </w:rPr>
              <w:t>S</w:t>
            </w:r>
            <w:r>
              <w:rPr>
                <w:rFonts w:ascii="Times New Roman" w:hAnsi="Times New Roman" w:cs="Times New Roman"/>
                <w:bCs/>
                <w:sz w:val="21"/>
                <w:szCs w:val="21"/>
              </w:rPr>
              <w:t>S</w:t>
            </w:r>
            <w:r>
              <w:rPr>
                <w:rFonts w:hint="eastAsia" w:ascii="Times New Roman" w:hAnsi="Times New Roman" w:cs="Times New Roman"/>
                <w:bCs/>
                <w:sz w:val="21"/>
                <w:szCs w:val="21"/>
              </w:rPr>
              <w:t>、氨氮、动植物油</w:t>
            </w:r>
            <w:r>
              <w:rPr>
                <w:rFonts w:ascii="Times New Roman" w:hAnsi="Times New Roman" w:cs="Times New Roman"/>
                <w:bCs/>
                <w:sz w:val="21"/>
                <w:szCs w:val="21"/>
              </w:rPr>
              <w:t>等</w:t>
            </w:r>
          </w:p>
        </w:tc>
        <w:tc>
          <w:tcPr>
            <w:tcW w:w="709" w:type="dxa"/>
          </w:tcPr>
          <w:p>
            <w:pPr>
              <w:pStyle w:val="160"/>
              <w:spacing w:before="126"/>
              <w:ind w:right="120" w:rightChars="50"/>
              <w:rPr>
                <w:rFonts w:ascii="Times New Roman" w:hAnsi="Times New Roman" w:cs="Times New Roman"/>
                <w:kern w:val="2"/>
                <w:sz w:val="21"/>
                <w:szCs w:val="21"/>
                <w:lang w:eastAsia="zh-CN"/>
              </w:rPr>
            </w:pPr>
          </w:p>
          <w:p>
            <w:pPr>
              <w:spacing w:line="240" w:lineRule="auto"/>
              <w:ind w:firstLine="0" w:firstLineChars="0"/>
              <w:rPr>
                <w:rFonts w:ascii="Times New Roman" w:hAnsi="Times New Roman" w:cs="Times New Roman"/>
                <w:kern w:val="2"/>
                <w:sz w:val="21"/>
                <w:szCs w:val="21"/>
              </w:rPr>
            </w:pPr>
            <w:r>
              <w:rPr>
                <w:rFonts w:hint="eastAsia" w:ascii="Times New Roman" w:hAnsi="Times New Roman" w:cs="Times New Roman"/>
                <w:bCs/>
                <w:sz w:val="21"/>
                <w:szCs w:val="21"/>
              </w:rPr>
              <w:t>苍城</w:t>
            </w:r>
            <w:r>
              <w:rPr>
                <w:rFonts w:ascii="Times New Roman" w:hAnsi="Times New Roman" w:cs="Times New Roman"/>
                <w:bCs/>
                <w:sz w:val="21"/>
                <w:szCs w:val="21"/>
              </w:rPr>
              <w:t>污水处理厂</w:t>
            </w:r>
          </w:p>
        </w:tc>
        <w:tc>
          <w:tcPr>
            <w:tcW w:w="710" w:type="dxa"/>
          </w:tcPr>
          <w:p>
            <w:pPr>
              <w:pStyle w:val="160"/>
              <w:ind w:left="120" w:leftChars="50" w:right="120" w:rightChars="50"/>
              <w:rPr>
                <w:rFonts w:ascii="Times New Roman" w:hAnsi="Times New Roman" w:cs="Times New Roman"/>
                <w:kern w:val="2"/>
                <w:sz w:val="21"/>
                <w:szCs w:val="21"/>
              </w:rPr>
            </w:pPr>
          </w:p>
          <w:p>
            <w:pPr>
              <w:pStyle w:val="160"/>
              <w:ind w:left="120" w:leftChars="50" w:right="120" w:rightChars="50"/>
              <w:rPr>
                <w:rFonts w:ascii="Times New Roman" w:hAnsi="Times New Roman" w:cs="Times New Roman"/>
                <w:kern w:val="2"/>
                <w:sz w:val="21"/>
                <w:szCs w:val="21"/>
              </w:rPr>
            </w:pPr>
          </w:p>
          <w:p>
            <w:pPr>
              <w:pStyle w:val="160"/>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间断排放</w:t>
            </w:r>
          </w:p>
        </w:tc>
        <w:tc>
          <w:tcPr>
            <w:tcW w:w="710" w:type="dxa"/>
          </w:tcPr>
          <w:p>
            <w:pPr>
              <w:pStyle w:val="160"/>
              <w:spacing w:before="138"/>
              <w:ind w:left="120" w:leftChars="50" w:right="120" w:rightChars="50"/>
              <w:rPr>
                <w:rFonts w:ascii="Times New Roman" w:hAnsi="Times New Roman" w:cs="Times New Roman"/>
                <w:kern w:val="2"/>
                <w:sz w:val="21"/>
                <w:szCs w:val="21"/>
              </w:rPr>
            </w:pPr>
          </w:p>
          <w:p>
            <w:pPr>
              <w:pStyle w:val="160"/>
              <w:spacing w:before="138"/>
              <w:ind w:left="120" w:leftChars="50" w:right="120" w:rightChars="50"/>
              <w:rPr>
                <w:rFonts w:ascii="Times New Roman" w:hAnsi="Times New Roman" w:cs="Times New Roman"/>
                <w:kern w:val="2"/>
                <w:sz w:val="21"/>
                <w:szCs w:val="21"/>
              </w:rPr>
            </w:pPr>
            <w:r>
              <w:rPr>
                <w:rFonts w:ascii="Times New Roman" w:hAnsi="Times New Roman" w:cs="Times New Roman"/>
                <w:snapToGrid w:val="0"/>
                <w:kern w:val="2"/>
              </w:rPr>
              <w:t>WS-01</w:t>
            </w:r>
          </w:p>
        </w:tc>
        <w:tc>
          <w:tcPr>
            <w:tcW w:w="710" w:type="dxa"/>
          </w:tcPr>
          <w:p>
            <w:pPr>
              <w:pStyle w:val="160"/>
              <w:ind w:left="120" w:leftChars="50" w:right="120" w:rightChars="50"/>
              <w:rPr>
                <w:rFonts w:ascii="Times New Roman" w:hAnsi="Times New Roman" w:cs="Times New Roman"/>
                <w:kern w:val="2"/>
                <w:sz w:val="21"/>
                <w:szCs w:val="21"/>
              </w:rPr>
            </w:pPr>
          </w:p>
          <w:p>
            <w:pPr>
              <w:pStyle w:val="160"/>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三级化粪池</w:t>
            </w:r>
          </w:p>
        </w:tc>
        <w:tc>
          <w:tcPr>
            <w:tcW w:w="853" w:type="dxa"/>
          </w:tcPr>
          <w:p>
            <w:pPr>
              <w:pStyle w:val="160"/>
              <w:ind w:right="120" w:rightChars="50"/>
              <w:rPr>
                <w:rFonts w:ascii="Times New Roman" w:hAnsi="Times New Roman" w:cs="Times New Roman"/>
                <w:kern w:val="2"/>
                <w:sz w:val="21"/>
                <w:szCs w:val="21"/>
              </w:rPr>
            </w:pPr>
          </w:p>
          <w:p>
            <w:pPr>
              <w:pStyle w:val="160"/>
              <w:ind w:right="120" w:rightChars="50"/>
              <w:rPr>
                <w:rFonts w:ascii="Times New Roman" w:hAnsi="Times New Roman" w:cs="Times New Roman"/>
                <w:kern w:val="2"/>
                <w:sz w:val="21"/>
                <w:szCs w:val="21"/>
              </w:rPr>
            </w:pPr>
            <w:r>
              <w:rPr>
                <w:rFonts w:ascii="Times New Roman" w:hAnsi="Times New Roman" w:cs="Times New Roman"/>
                <w:kern w:val="2"/>
                <w:sz w:val="21"/>
                <w:szCs w:val="21"/>
              </w:rPr>
              <w:t>生活污水处理设施</w:t>
            </w:r>
          </w:p>
        </w:tc>
        <w:tc>
          <w:tcPr>
            <w:tcW w:w="710" w:type="dxa"/>
          </w:tcPr>
          <w:p>
            <w:pPr>
              <w:pStyle w:val="160"/>
              <w:ind w:right="120" w:rightChars="50"/>
              <w:rPr>
                <w:rFonts w:ascii="Times New Roman" w:hAnsi="Times New Roman" w:cs="Times New Roman"/>
                <w:b/>
                <w:bCs/>
                <w:kern w:val="2"/>
                <w:sz w:val="21"/>
                <w:szCs w:val="21"/>
              </w:rPr>
            </w:pPr>
          </w:p>
          <w:p>
            <w:pPr>
              <w:pStyle w:val="160"/>
              <w:spacing w:before="138"/>
              <w:ind w:right="120" w:rightChars="50"/>
              <w:rPr>
                <w:rFonts w:ascii="Times New Roman" w:hAnsi="Times New Roman" w:cs="Times New Roman"/>
                <w:kern w:val="2"/>
                <w:sz w:val="21"/>
                <w:szCs w:val="21"/>
              </w:rPr>
            </w:pPr>
          </w:p>
          <w:p>
            <w:pPr>
              <w:pStyle w:val="160"/>
              <w:spacing w:before="138"/>
              <w:ind w:left="120" w:leftChars="50" w:right="120" w:rightChars="50"/>
              <w:rPr>
                <w:rFonts w:ascii="Times New Roman" w:hAnsi="Times New Roman" w:cs="Times New Roman"/>
                <w:kern w:val="2"/>
                <w:sz w:val="21"/>
                <w:szCs w:val="21"/>
              </w:rPr>
            </w:pPr>
            <w:r>
              <w:rPr>
                <w:rFonts w:ascii="Times New Roman" w:hAnsi="Times New Roman" w:cs="Times New Roman"/>
                <w:kern w:val="2"/>
                <w:sz w:val="21"/>
                <w:szCs w:val="21"/>
              </w:rPr>
              <w:t>无</w:t>
            </w:r>
          </w:p>
        </w:tc>
        <w:tc>
          <w:tcPr>
            <w:tcW w:w="1096" w:type="dxa"/>
          </w:tcPr>
          <w:p>
            <w:pPr>
              <w:pStyle w:val="160"/>
              <w:ind w:right="120" w:rightChars="50"/>
              <w:rPr>
                <w:rFonts w:ascii="Times New Roman" w:hAnsi="Times New Roman" w:cs="Times New Roman"/>
                <w:kern w:val="2"/>
                <w:sz w:val="21"/>
                <w:szCs w:val="21"/>
              </w:rPr>
            </w:pPr>
          </w:p>
          <w:p>
            <w:pPr>
              <w:pStyle w:val="160"/>
              <w:spacing w:before="5"/>
              <w:rPr>
                <w:rFonts w:ascii="Times New Roman" w:hAnsi="Times New Roman" w:cs="Times New Roman"/>
                <w:b/>
                <w:bCs/>
                <w:kern w:val="2"/>
                <w:sz w:val="21"/>
                <w:szCs w:val="21"/>
              </w:rPr>
            </w:pPr>
          </w:p>
          <w:p>
            <w:pPr>
              <w:pStyle w:val="160"/>
              <w:ind w:firstLine="306" w:firstLineChars="150"/>
              <w:rPr>
                <w:rFonts w:ascii="Times New Roman" w:hAnsi="Times New Roman" w:cs="Times New Roman"/>
                <w:kern w:val="2"/>
                <w:sz w:val="21"/>
                <w:szCs w:val="21"/>
              </w:rPr>
            </w:pPr>
            <w:r>
              <w:rPr>
                <w:rFonts w:ascii="Times New Roman" w:hAnsi="Times New Roman" w:cs="Times New Roman"/>
                <w:spacing w:val="-3"/>
                <w:kern w:val="2"/>
                <w:sz w:val="21"/>
                <w:szCs w:val="21"/>
              </w:rPr>
              <w:t></w:t>
            </w:r>
            <w:r>
              <w:rPr>
                <w:rFonts w:ascii="Times New Roman" w:hAnsi="Times New Roman" w:cs="Times New Roman"/>
                <w:spacing w:val="-3"/>
                <w:kern w:val="2"/>
                <w:sz w:val="21"/>
                <w:szCs w:val="21"/>
              </w:rPr>
              <w:sym w:font="Wingdings" w:char="F0FC"/>
            </w:r>
            <w:r>
              <w:rPr>
                <w:rFonts w:ascii="Times New Roman" w:hAnsi="Times New Roman" w:cs="Times New Roman"/>
                <w:kern w:val="2"/>
                <w:sz w:val="21"/>
                <w:szCs w:val="21"/>
              </w:rPr>
              <w:t>是</w:t>
            </w:r>
          </w:p>
          <w:p>
            <w:pPr>
              <w:pStyle w:val="160"/>
              <w:ind w:firstLine="420" w:firstLineChars="200"/>
              <w:rPr>
                <w:rFonts w:ascii="Times New Roman" w:hAnsi="Times New Roman" w:cs="Times New Roman"/>
                <w:kern w:val="2"/>
                <w:sz w:val="21"/>
                <w:szCs w:val="21"/>
              </w:rPr>
            </w:pPr>
          </w:p>
          <w:p>
            <w:pPr>
              <w:ind w:firstLine="480"/>
              <w:jc w:val="center"/>
              <w:rPr>
                <w:rFonts w:ascii="Times New Roman" w:hAnsi="Times New Roman" w:cs="Times New Roman"/>
                <w:kern w:val="2"/>
                <w:szCs w:val="21"/>
              </w:rPr>
            </w:pPr>
            <w:r>
              <w:rPr>
                <w:rFonts w:ascii="Times New Roman" w:hAnsi="Times New Roman" w:cs="Times New Roman"/>
                <w:kern w:val="2"/>
                <w:szCs w:val="21"/>
              </w:rPr>
              <w:t>□否</w:t>
            </w:r>
          </w:p>
          <w:p>
            <w:pPr>
              <w:pStyle w:val="160"/>
              <w:spacing w:before="86"/>
              <w:ind w:left="120" w:leftChars="50" w:right="120" w:rightChars="50"/>
              <w:rPr>
                <w:rFonts w:ascii="Times New Roman" w:hAnsi="Times New Roman" w:cs="Times New Roman"/>
                <w:kern w:val="2"/>
                <w:sz w:val="21"/>
                <w:szCs w:val="21"/>
              </w:rPr>
            </w:pPr>
          </w:p>
        </w:tc>
        <w:tc>
          <w:tcPr>
            <w:tcW w:w="1742" w:type="dxa"/>
          </w:tcPr>
          <w:p>
            <w:pPr>
              <w:pStyle w:val="160"/>
              <w:spacing w:before="42"/>
              <w:jc w:val="both"/>
              <w:rPr>
                <w:rFonts w:ascii="Times New Roman" w:hAnsi="Times New Roman" w:cs="Times New Roman"/>
                <w:kern w:val="2"/>
                <w:sz w:val="21"/>
                <w:szCs w:val="21"/>
                <w:lang w:eastAsia="zh-CN"/>
              </w:rPr>
            </w:pPr>
            <w:r>
              <w:rPr>
                <w:rFonts w:ascii="Times New Roman" w:hAnsi="Times New Roman" w:cs="Times New Roman"/>
                <w:spacing w:val="-3"/>
                <w:kern w:val="2"/>
                <w:sz w:val="21"/>
                <w:szCs w:val="21"/>
                <w:lang w:eastAsia="zh-CN"/>
              </w:rPr>
              <w:t></w:t>
            </w:r>
            <w:r>
              <w:rPr>
                <w:rFonts w:ascii="Times New Roman" w:hAnsi="Times New Roman" w:cs="Times New Roman"/>
                <w:spacing w:val="-3"/>
                <w:kern w:val="2"/>
                <w:sz w:val="21"/>
                <w:szCs w:val="21"/>
              </w:rPr>
              <w:sym w:font="Wingdings" w:char="F0FC"/>
            </w:r>
            <w:r>
              <w:rPr>
                <w:rFonts w:ascii="Times New Roman" w:hAnsi="Times New Roman" w:cs="Times New Roman"/>
                <w:kern w:val="2"/>
                <w:sz w:val="21"/>
                <w:szCs w:val="21"/>
                <w:lang w:eastAsia="zh-CN"/>
              </w:rPr>
              <w:t>企业总排</w:t>
            </w:r>
          </w:p>
          <w:p>
            <w:pPr>
              <w:pStyle w:val="160"/>
              <w:spacing w:before="84"/>
              <w:jc w:val="both"/>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□雨水排放</w:t>
            </w:r>
          </w:p>
          <w:p>
            <w:pPr>
              <w:pStyle w:val="160"/>
              <w:spacing w:before="84"/>
              <w:jc w:val="both"/>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□清净下水排放</w:t>
            </w:r>
          </w:p>
          <w:p>
            <w:pPr>
              <w:pStyle w:val="160"/>
              <w:spacing w:before="86"/>
              <w:jc w:val="both"/>
              <w:rPr>
                <w:rFonts w:ascii="Times New Roman" w:hAnsi="Times New Roman" w:cs="Times New Roman"/>
                <w:kern w:val="2"/>
                <w:sz w:val="21"/>
                <w:szCs w:val="21"/>
                <w:lang w:eastAsia="zh-CN"/>
              </w:rPr>
            </w:pPr>
            <w:r>
              <w:rPr>
                <w:rFonts w:ascii="Times New Roman" w:hAnsi="Times New Roman" w:cs="Times New Roman"/>
                <w:kern w:val="2"/>
                <w:sz w:val="21"/>
                <w:szCs w:val="21"/>
              </w:rPr>
              <w:sym w:font="Wingdings 2" w:char="00A3"/>
            </w:r>
            <w:r>
              <w:rPr>
                <w:rFonts w:ascii="Times New Roman" w:hAnsi="Times New Roman" w:cs="Times New Roman"/>
                <w:kern w:val="2"/>
                <w:sz w:val="21"/>
                <w:szCs w:val="21"/>
                <w:lang w:eastAsia="zh-CN"/>
              </w:rPr>
              <w:t>温排水排放</w:t>
            </w:r>
          </w:p>
          <w:p>
            <w:pPr>
              <w:ind w:firstLine="0" w:firstLineChars="0"/>
              <w:rPr>
                <w:rFonts w:ascii="Times New Roman" w:hAnsi="Times New Roman" w:cs="Times New Roman"/>
                <w:kern w:val="2"/>
                <w:sz w:val="21"/>
                <w:szCs w:val="21"/>
              </w:rPr>
            </w:pPr>
            <w:r>
              <w:rPr>
                <w:rFonts w:ascii="Times New Roman" w:hAnsi="Times New Roman" w:cs="Times New Roman"/>
                <w:spacing w:val="5"/>
                <w:kern w:val="2"/>
                <w:sz w:val="21"/>
                <w:szCs w:val="21"/>
              </w:rPr>
              <w:t>□车间或车间处</w:t>
            </w:r>
            <w:r>
              <w:rPr>
                <w:rFonts w:ascii="Times New Roman" w:hAnsi="Times New Roman" w:cs="Times New Roman"/>
                <w:kern w:val="2"/>
                <w:sz w:val="21"/>
                <w:szCs w:val="21"/>
              </w:rPr>
              <w:t>理设施排放口</w:t>
            </w:r>
          </w:p>
        </w:tc>
      </w:tr>
    </w:tbl>
    <w:p>
      <w:pPr>
        <w:pStyle w:val="178"/>
        <w:ind w:firstLine="480"/>
        <w:jc w:val="both"/>
        <w:rPr>
          <w:kern w:val="2"/>
          <w:sz w:val="24"/>
          <w:szCs w:val="24"/>
          <w:lang w:eastAsia="zh-CN"/>
        </w:rPr>
      </w:pPr>
    </w:p>
    <w:p>
      <w:pPr>
        <w:spacing w:before="156" w:beforeLines="50"/>
        <w:ind w:firstLine="482"/>
        <w:jc w:val="center"/>
        <w:rPr>
          <w:rFonts w:ascii="Times New Roman" w:hAnsi="Times New Roman" w:cs="Times New Roman"/>
          <w:b/>
          <w:bCs/>
          <w:szCs w:val="28"/>
        </w:rPr>
      </w:pPr>
      <w:r>
        <w:rPr>
          <w:rFonts w:ascii="Times New Roman" w:hAnsi="Times New Roman" w:cs="Times New Roman"/>
          <w:b/>
          <w:bCs/>
          <w:szCs w:val="28"/>
        </w:rPr>
        <w:t>表4.2</w:t>
      </w:r>
      <w:r>
        <w:rPr>
          <w:rFonts w:hint="eastAsia" w:ascii="Times New Roman" w:hAnsi="Times New Roman" w:cs="Times New Roman"/>
          <w:b/>
          <w:bCs/>
          <w:szCs w:val="28"/>
        </w:rPr>
        <w:t>-</w:t>
      </w:r>
      <w:r>
        <w:rPr>
          <w:rFonts w:ascii="Times New Roman" w:hAnsi="Times New Roman" w:cs="Times New Roman"/>
          <w:b/>
          <w:bCs/>
          <w:szCs w:val="28"/>
        </w:rPr>
        <w:t xml:space="preserve">3  </w:t>
      </w:r>
      <w:r>
        <w:rPr>
          <w:rFonts w:ascii="Times New Roman" w:hAnsi="Times New Roman" w:cs="Times New Roman"/>
          <w:b/>
          <w:spacing w:val="-3"/>
        </w:rPr>
        <w:t>废</w:t>
      </w:r>
      <w:r>
        <w:rPr>
          <w:rFonts w:ascii="Times New Roman" w:hAnsi="Times New Roman" w:cs="Times New Roman"/>
          <w:b/>
        </w:rPr>
        <w:t>水</w:t>
      </w:r>
      <w:r>
        <w:rPr>
          <w:rFonts w:ascii="Times New Roman" w:hAnsi="Times New Roman" w:cs="Times New Roman"/>
          <w:b/>
          <w:spacing w:val="-3"/>
        </w:rPr>
        <w:t>间</w:t>
      </w:r>
      <w:r>
        <w:rPr>
          <w:rFonts w:ascii="Times New Roman" w:hAnsi="Times New Roman" w:cs="Times New Roman"/>
          <w:b/>
        </w:rPr>
        <w:t>接</w:t>
      </w:r>
      <w:r>
        <w:rPr>
          <w:rFonts w:ascii="Times New Roman" w:hAnsi="Times New Roman" w:cs="Times New Roman"/>
          <w:b/>
          <w:spacing w:val="-3"/>
        </w:rPr>
        <w:t>排</w:t>
      </w:r>
      <w:r>
        <w:rPr>
          <w:rFonts w:ascii="Times New Roman" w:hAnsi="Times New Roman" w:cs="Times New Roman"/>
          <w:b/>
        </w:rPr>
        <w:t>放</w:t>
      </w:r>
      <w:r>
        <w:rPr>
          <w:rFonts w:ascii="Times New Roman" w:hAnsi="Times New Roman" w:cs="Times New Roman"/>
          <w:b/>
          <w:spacing w:val="-3"/>
        </w:rPr>
        <w:t>口</w:t>
      </w:r>
      <w:r>
        <w:rPr>
          <w:rFonts w:ascii="Times New Roman" w:hAnsi="Times New Roman" w:cs="Times New Roman"/>
          <w:b/>
        </w:rPr>
        <w:t>基本</w:t>
      </w:r>
      <w:r>
        <w:rPr>
          <w:rFonts w:ascii="Times New Roman" w:hAnsi="Times New Roman" w:cs="Times New Roman"/>
          <w:b/>
          <w:spacing w:val="-3"/>
        </w:rPr>
        <w:t>情</w:t>
      </w:r>
      <w:r>
        <w:rPr>
          <w:rFonts w:ascii="Times New Roman" w:hAnsi="Times New Roman" w:cs="Times New Roman"/>
          <w:b/>
        </w:rPr>
        <w:t>况表</w:t>
      </w:r>
    </w:p>
    <w:tbl>
      <w:tblPr>
        <w:tblStyle w:val="56"/>
        <w:tblW w:w="9216"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48"/>
        <w:gridCol w:w="850"/>
        <w:gridCol w:w="1374"/>
        <w:gridCol w:w="1036"/>
        <w:gridCol w:w="709"/>
        <w:gridCol w:w="708"/>
        <w:gridCol w:w="709"/>
        <w:gridCol w:w="709"/>
        <w:gridCol w:w="850"/>
        <w:gridCol w:w="15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748" w:type="dxa"/>
            <w:vMerge w:val="restart"/>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序号</w:t>
            </w:r>
          </w:p>
        </w:tc>
        <w:tc>
          <w:tcPr>
            <w:tcW w:w="850" w:type="dxa"/>
            <w:vMerge w:val="restart"/>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排放口</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编号</w:t>
            </w:r>
          </w:p>
        </w:tc>
        <w:tc>
          <w:tcPr>
            <w:tcW w:w="1374" w:type="dxa"/>
            <w:vMerge w:val="restart"/>
            <w:vAlign w:val="center"/>
          </w:tcPr>
          <w:p>
            <w:pPr>
              <w:spacing w:line="240" w:lineRule="auto"/>
              <w:ind w:firstLine="198" w:firstLineChars="94"/>
              <w:rPr>
                <w:rFonts w:ascii="Times New Roman" w:hAnsi="Times New Roman" w:cs="Times New Roman"/>
                <w:b/>
                <w:bCs/>
                <w:sz w:val="21"/>
                <w:szCs w:val="21"/>
              </w:rPr>
            </w:pPr>
            <w:r>
              <w:rPr>
                <w:rFonts w:ascii="Times New Roman" w:hAnsi="Times New Roman" w:cs="Times New Roman"/>
                <w:b/>
                <w:bCs/>
                <w:sz w:val="21"/>
                <w:szCs w:val="21"/>
              </w:rPr>
              <w:t>排放口</w:t>
            </w:r>
          </w:p>
          <w:p>
            <w:pPr>
              <w:spacing w:line="240" w:lineRule="auto"/>
              <w:ind w:firstLine="198" w:firstLineChars="94"/>
              <w:rPr>
                <w:rFonts w:ascii="Times New Roman" w:hAnsi="Times New Roman" w:cs="Times New Roman"/>
                <w:b/>
                <w:bCs/>
                <w:sz w:val="21"/>
                <w:szCs w:val="21"/>
              </w:rPr>
            </w:pPr>
            <w:r>
              <w:rPr>
                <w:rFonts w:ascii="Times New Roman" w:hAnsi="Times New Roman" w:cs="Times New Roman"/>
                <w:b/>
                <w:bCs/>
                <w:sz w:val="21"/>
                <w:szCs w:val="21"/>
              </w:rPr>
              <w:t>地理坐标</w:t>
            </w:r>
          </w:p>
        </w:tc>
        <w:tc>
          <w:tcPr>
            <w:tcW w:w="1036" w:type="dxa"/>
            <w:vMerge w:val="restart"/>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废水</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排放量</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（万t/a）</w:t>
            </w:r>
          </w:p>
        </w:tc>
        <w:tc>
          <w:tcPr>
            <w:tcW w:w="709" w:type="dxa"/>
            <w:vMerge w:val="restart"/>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排放</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去向</w:t>
            </w:r>
          </w:p>
        </w:tc>
        <w:tc>
          <w:tcPr>
            <w:tcW w:w="708" w:type="dxa"/>
            <w:vMerge w:val="restart"/>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排放规律</w:t>
            </w:r>
          </w:p>
        </w:tc>
        <w:tc>
          <w:tcPr>
            <w:tcW w:w="709" w:type="dxa"/>
            <w:vMerge w:val="restart"/>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间歇</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排放</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时段</w:t>
            </w:r>
          </w:p>
        </w:tc>
        <w:tc>
          <w:tcPr>
            <w:tcW w:w="3082" w:type="dxa"/>
            <w:gridSpan w:val="3"/>
            <w:vAlign w:val="center"/>
          </w:tcPr>
          <w:p>
            <w:pPr>
              <w:spacing w:line="240" w:lineRule="auto"/>
              <w:ind w:firstLine="422"/>
              <w:jc w:val="center"/>
              <w:rPr>
                <w:rFonts w:ascii="Times New Roman" w:hAnsi="Times New Roman" w:cs="Times New Roman"/>
                <w:b/>
                <w:bCs/>
                <w:sz w:val="21"/>
                <w:szCs w:val="21"/>
              </w:rPr>
            </w:pPr>
            <w:r>
              <w:rPr>
                <w:rFonts w:ascii="Times New Roman" w:hAnsi="Times New Roman" w:cs="Times New Roman"/>
                <w:b/>
                <w:bCs/>
                <w:sz w:val="21"/>
                <w:szCs w:val="21"/>
              </w:rPr>
              <w:t>受纳污水处理厂信息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748" w:type="dxa"/>
            <w:vMerge w:val="continue"/>
            <w:vAlign w:val="center"/>
          </w:tcPr>
          <w:p>
            <w:pPr>
              <w:spacing w:line="240" w:lineRule="auto"/>
              <w:ind w:firstLine="420"/>
              <w:jc w:val="center"/>
              <w:rPr>
                <w:rFonts w:ascii="Times New Roman" w:hAnsi="Times New Roman" w:cs="Times New Roman"/>
                <w:bCs/>
                <w:sz w:val="21"/>
                <w:szCs w:val="21"/>
              </w:rPr>
            </w:pPr>
          </w:p>
        </w:tc>
        <w:tc>
          <w:tcPr>
            <w:tcW w:w="850" w:type="dxa"/>
            <w:vMerge w:val="continue"/>
            <w:vAlign w:val="center"/>
          </w:tcPr>
          <w:p>
            <w:pPr>
              <w:spacing w:line="240" w:lineRule="auto"/>
              <w:ind w:firstLine="420"/>
              <w:jc w:val="center"/>
              <w:rPr>
                <w:rFonts w:ascii="Times New Roman" w:hAnsi="Times New Roman" w:cs="Times New Roman"/>
                <w:bCs/>
                <w:sz w:val="21"/>
                <w:szCs w:val="21"/>
              </w:rPr>
            </w:pPr>
          </w:p>
        </w:tc>
        <w:tc>
          <w:tcPr>
            <w:tcW w:w="1374" w:type="dxa"/>
            <w:vMerge w:val="continue"/>
            <w:vAlign w:val="center"/>
          </w:tcPr>
          <w:p>
            <w:pPr>
              <w:spacing w:line="240" w:lineRule="auto"/>
              <w:ind w:firstLine="422"/>
              <w:jc w:val="center"/>
              <w:rPr>
                <w:rFonts w:ascii="Times New Roman" w:hAnsi="Times New Roman" w:cs="Times New Roman"/>
                <w:b/>
                <w:bCs/>
                <w:sz w:val="21"/>
                <w:szCs w:val="21"/>
              </w:rPr>
            </w:pPr>
          </w:p>
        </w:tc>
        <w:tc>
          <w:tcPr>
            <w:tcW w:w="1036"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8" w:type="dxa"/>
            <w:vMerge w:val="continue"/>
            <w:vAlign w:val="center"/>
          </w:tcPr>
          <w:p>
            <w:pPr>
              <w:spacing w:line="240" w:lineRule="auto"/>
              <w:ind w:firstLine="422"/>
              <w:jc w:val="center"/>
              <w:rPr>
                <w:rFonts w:ascii="Times New Roman" w:hAnsi="Times New Roman" w:cs="Times New Roman"/>
                <w:b/>
                <w:bCs/>
                <w:sz w:val="21"/>
                <w:szCs w:val="21"/>
              </w:rPr>
            </w:pPr>
          </w:p>
        </w:tc>
        <w:tc>
          <w:tcPr>
            <w:tcW w:w="709" w:type="dxa"/>
            <w:vMerge w:val="continue"/>
            <w:vAlign w:val="center"/>
          </w:tcPr>
          <w:p>
            <w:pPr>
              <w:spacing w:line="240" w:lineRule="auto"/>
              <w:ind w:firstLine="422"/>
              <w:jc w:val="center"/>
              <w:rPr>
                <w:rFonts w:ascii="Times New Roman" w:hAnsi="Times New Roman" w:cs="Times New Roman"/>
                <w:b/>
                <w:bCs/>
                <w:sz w:val="21"/>
                <w:szCs w:val="21"/>
              </w:rPr>
            </w:pPr>
          </w:p>
        </w:tc>
        <w:tc>
          <w:tcPr>
            <w:tcW w:w="709" w:type="dxa"/>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名称</w:t>
            </w:r>
          </w:p>
        </w:tc>
        <w:tc>
          <w:tcPr>
            <w:tcW w:w="850" w:type="dxa"/>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污染物</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种类</w:t>
            </w:r>
          </w:p>
        </w:tc>
        <w:tc>
          <w:tcPr>
            <w:tcW w:w="1523" w:type="dxa"/>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国建或地方</w:t>
            </w:r>
          </w:p>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污染物排放标准浓度限值（mg/L）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71" w:hRule="atLeast"/>
          <w:jc w:val="center"/>
        </w:trPr>
        <w:tc>
          <w:tcPr>
            <w:tcW w:w="748" w:type="dxa"/>
            <w:vMerge w:val="restart"/>
            <w:vAlign w:val="center"/>
          </w:tcPr>
          <w:p>
            <w:pPr>
              <w:ind w:firstLine="199" w:firstLineChars="95"/>
              <w:rPr>
                <w:rFonts w:ascii="Times New Roman" w:hAnsi="Times New Roman" w:cs="Times New Roman"/>
                <w:bCs/>
                <w:sz w:val="21"/>
                <w:szCs w:val="21"/>
              </w:rPr>
            </w:pPr>
            <w:r>
              <w:rPr>
                <w:rFonts w:ascii="Times New Roman" w:hAnsi="Times New Roman" w:cs="Times New Roman"/>
                <w:bCs/>
                <w:sz w:val="21"/>
                <w:szCs w:val="21"/>
              </w:rPr>
              <w:t>1</w:t>
            </w:r>
          </w:p>
        </w:tc>
        <w:tc>
          <w:tcPr>
            <w:tcW w:w="850" w:type="dxa"/>
            <w:vMerge w:val="restart"/>
            <w:vAlign w:val="center"/>
          </w:tcPr>
          <w:p>
            <w:pPr>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WS-01</w:t>
            </w:r>
          </w:p>
        </w:tc>
        <w:tc>
          <w:tcPr>
            <w:tcW w:w="1374" w:type="dxa"/>
            <w:vMerge w:val="restart"/>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X：112.546724</w:t>
            </w:r>
          </w:p>
          <w:p>
            <w:pPr>
              <w:spacing w:line="240" w:lineRule="auto"/>
              <w:ind w:firstLine="0" w:firstLineChars="0"/>
              <w:rPr>
                <w:rFonts w:ascii="Times New Roman" w:hAnsi="Times New Roman" w:cs="Times New Roman"/>
                <w:bCs/>
                <w:sz w:val="21"/>
                <w:szCs w:val="21"/>
              </w:rPr>
            </w:pPr>
            <w:r>
              <w:rPr>
                <w:rFonts w:ascii="Times New Roman" w:hAnsi="Times New Roman" w:cs="Times New Roman"/>
                <w:sz w:val="21"/>
                <w:szCs w:val="21"/>
              </w:rPr>
              <w:t>Y：22.478131</w:t>
            </w:r>
          </w:p>
        </w:tc>
        <w:tc>
          <w:tcPr>
            <w:tcW w:w="1036" w:type="dxa"/>
            <w:vMerge w:val="restart"/>
            <w:vAlign w:val="center"/>
          </w:tcPr>
          <w:p>
            <w:pPr>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0.0324</w:t>
            </w:r>
          </w:p>
        </w:tc>
        <w:tc>
          <w:tcPr>
            <w:tcW w:w="709" w:type="dxa"/>
            <w:vMerge w:val="restart"/>
            <w:vAlign w:val="center"/>
          </w:tcPr>
          <w:p>
            <w:pPr>
              <w:spacing w:line="240" w:lineRule="auto"/>
              <w:ind w:firstLine="0" w:firstLineChars="0"/>
              <w:rPr>
                <w:rFonts w:ascii="Times New Roman" w:hAnsi="Times New Roman" w:cs="Times New Roman"/>
                <w:bCs/>
                <w:sz w:val="21"/>
                <w:szCs w:val="21"/>
              </w:rPr>
            </w:pPr>
            <w:r>
              <w:rPr>
                <w:rFonts w:hint="eastAsia" w:ascii="Times New Roman" w:hAnsi="Times New Roman" w:cs="Times New Roman"/>
                <w:bCs/>
                <w:sz w:val="21"/>
                <w:szCs w:val="21"/>
              </w:rPr>
              <w:t>苍城</w:t>
            </w:r>
            <w:r>
              <w:rPr>
                <w:rFonts w:ascii="Times New Roman" w:hAnsi="Times New Roman" w:cs="Times New Roman"/>
                <w:bCs/>
                <w:sz w:val="21"/>
                <w:szCs w:val="21"/>
              </w:rPr>
              <w:t>水处理厂</w:t>
            </w:r>
          </w:p>
        </w:tc>
        <w:tc>
          <w:tcPr>
            <w:tcW w:w="708" w:type="dxa"/>
            <w:vMerge w:val="restart"/>
            <w:vAlign w:val="center"/>
          </w:tcPr>
          <w:p>
            <w:pPr>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间断排放</w:t>
            </w:r>
          </w:p>
        </w:tc>
        <w:tc>
          <w:tcPr>
            <w:tcW w:w="709" w:type="dxa"/>
            <w:vMerge w:val="restart"/>
            <w:vAlign w:val="center"/>
          </w:tcPr>
          <w:p>
            <w:pPr>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无固定时段</w:t>
            </w:r>
          </w:p>
        </w:tc>
        <w:tc>
          <w:tcPr>
            <w:tcW w:w="709" w:type="dxa"/>
            <w:vMerge w:val="restart"/>
            <w:vAlign w:val="center"/>
          </w:tcPr>
          <w:p>
            <w:pPr>
              <w:spacing w:line="240" w:lineRule="auto"/>
              <w:ind w:firstLine="0" w:firstLineChars="0"/>
              <w:rPr>
                <w:rFonts w:ascii="Times New Roman" w:hAnsi="Times New Roman" w:cs="Times New Roman"/>
                <w:bCs/>
                <w:sz w:val="21"/>
                <w:szCs w:val="21"/>
              </w:rPr>
            </w:pPr>
            <w:r>
              <w:rPr>
                <w:rFonts w:hint="eastAsia" w:ascii="Times New Roman" w:hAnsi="Times New Roman" w:cs="Times New Roman"/>
                <w:bCs/>
                <w:sz w:val="21"/>
                <w:szCs w:val="21"/>
              </w:rPr>
              <w:t>苍城</w:t>
            </w:r>
            <w:r>
              <w:rPr>
                <w:rFonts w:ascii="Times New Roman" w:hAnsi="Times New Roman" w:cs="Times New Roman"/>
                <w:sz w:val="21"/>
                <w:szCs w:val="21"/>
              </w:rPr>
              <w:t>水处理厂</w:t>
            </w:r>
          </w:p>
        </w:tc>
        <w:tc>
          <w:tcPr>
            <w:tcW w:w="850" w:type="dxa"/>
            <w:vAlign w:val="center"/>
          </w:tcPr>
          <w:p>
            <w:pPr>
              <w:spacing w:line="240" w:lineRule="auto"/>
              <w:ind w:firstLine="0" w:firstLineChars="0"/>
              <w:rPr>
                <w:rFonts w:ascii="Times New Roman" w:hAnsi="Times New Roman" w:cs="Times New Roman"/>
                <w:bCs/>
                <w:sz w:val="21"/>
                <w:szCs w:val="21"/>
              </w:rPr>
            </w:pPr>
            <w:r>
              <w:rPr>
                <w:rFonts w:ascii="Times New Roman" w:hAnsi="Times New Roman" w:cs="Times New Roman"/>
                <w:sz w:val="21"/>
                <w:szCs w:val="21"/>
              </w:rPr>
              <w:t>COD</w:t>
            </w:r>
          </w:p>
        </w:tc>
        <w:tc>
          <w:tcPr>
            <w:tcW w:w="1523" w:type="dxa"/>
            <w:vAlign w:val="center"/>
          </w:tcPr>
          <w:p>
            <w:pPr>
              <w:spacing w:line="240" w:lineRule="auto"/>
              <w:ind w:firstLine="420"/>
              <w:rPr>
                <w:rFonts w:ascii="Times New Roman" w:hAnsi="Times New Roman" w:cs="Times New Roman"/>
                <w:bCs/>
                <w:sz w:val="21"/>
                <w:szCs w:val="21"/>
              </w:rPr>
            </w:pPr>
            <w:r>
              <w:rPr>
                <w:rFonts w:ascii="Times New Roman" w:hAnsi="Times New Roman" w:cs="Times New Roman"/>
                <w:bCs/>
                <w:sz w:val="21"/>
                <w:szCs w:val="21"/>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68" w:hRule="atLeast"/>
          <w:jc w:val="center"/>
        </w:trPr>
        <w:tc>
          <w:tcPr>
            <w:tcW w:w="748" w:type="dxa"/>
            <w:vMerge w:val="continue"/>
            <w:vAlign w:val="center"/>
          </w:tcPr>
          <w:p>
            <w:pPr>
              <w:ind w:firstLine="420"/>
              <w:jc w:val="center"/>
              <w:rPr>
                <w:rFonts w:ascii="Times New Roman" w:hAnsi="Times New Roman" w:cs="Times New Roman"/>
                <w:bCs/>
                <w:sz w:val="21"/>
                <w:szCs w:val="21"/>
              </w:rPr>
            </w:pPr>
          </w:p>
        </w:tc>
        <w:tc>
          <w:tcPr>
            <w:tcW w:w="850" w:type="dxa"/>
            <w:vMerge w:val="continue"/>
            <w:vAlign w:val="center"/>
          </w:tcPr>
          <w:p>
            <w:pPr>
              <w:spacing w:line="240" w:lineRule="auto"/>
              <w:ind w:firstLine="420"/>
              <w:jc w:val="center"/>
              <w:rPr>
                <w:rFonts w:ascii="Times New Roman" w:hAnsi="Times New Roman" w:cs="Times New Roman"/>
                <w:bCs/>
                <w:sz w:val="21"/>
                <w:szCs w:val="21"/>
              </w:rPr>
            </w:pPr>
          </w:p>
        </w:tc>
        <w:tc>
          <w:tcPr>
            <w:tcW w:w="1374" w:type="dxa"/>
            <w:vMerge w:val="continue"/>
            <w:vAlign w:val="center"/>
          </w:tcPr>
          <w:p>
            <w:pPr>
              <w:spacing w:line="240" w:lineRule="auto"/>
              <w:ind w:firstLine="420"/>
              <w:jc w:val="center"/>
              <w:rPr>
                <w:rFonts w:ascii="Times New Roman" w:hAnsi="Times New Roman" w:cs="Times New Roman"/>
                <w:sz w:val="21"/>
                <w:szCs w:val="21"/>
              </w:rPr>
            </w:pPr>
          </w:p>
        </w:tc>
        <w:tc>
          <w:tcPr>
            <w:tcW w:w="1036"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8" w:type="dxa"/>
            <w:vMerge w:val="continue"/>
            <w:vAlign w:val="center"/>
          </w:tcPr>
          <w:p>
            <w:pPr>
              <w:spacing w:line="240" w:lineRule="auto"/>
              <w:ind w:firstLine="420"/>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850" w:type="dxa"/>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BOD</w:t>
            </w:r>
            <w:r>
              <w:rPr>
                <w:rFonts w:ascii="Times New Roman" w:hAnsi="Times New Roman" w:cs="Times New Roman"/>
                <w:sz w:val="21"/>
                <w:szCs w:val="21"/>
                <w:vertAlign w:val="subscript"/>
              </w:rPr>
              <w:t>5</w:t>
            </w:r>
          </w:p>
        </w:tc>
        <w:tc>
          <w:tcPr>
            <w:tcW w:w="1523" w:type="dxa"/>
            <w:vAlign w:val="center"/>
          </w:tcPr>
          <w:p>
            <w:pPr>
              <w:spacing w:line="240" w:lineRule="auto"/>
              <w:ind w:firstLine="420"/>
              <w:rPr>
                <w:rFonts w:ascii="Times New Roman" w:hAnsi="Times New Roman" w:cs="Times New Roman"/>
                <w:bCs/>
                <w:sz w:val="21"/>
                <w:szCs w:val="21"/>
              </w:rPr>
            </w:pPr>
            <w:r>
              <w:rPr>
                <w:rFonts w:ascii="Times New Roman" w:hAnsi="Times New Roman" w:cs="Times New Roman"/>
                <w:bCs/>
                <w:sz w:val="21"/>
                <w:szCs w:val="21"/>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68" w:hRule="atLeast"/>
          <w:jc w:val="center"/>
        </w:trPr>
        <w:tc>
          <w:tcPr>
            <w:tcW w:w="748" w:type="dxa"/>
            <w:vMerge w:val="continue"/>
            <w:vAlign w:val="center"/>
          </w:tcPr>
          <w:p>
            <w:pPr>
              <w:ind w:firstLine="420"/>
              <w:jc w:val="center"/>
              <w:rPr>
                <w:rFonts w:ascii="Times New Roman" w:hAnsi="Times New Roman" w:cs="Times New Roman"/>
                <w:bCs/>
                <w:sz w:val="21"/>
                <w:szCs w:val="21"/>
              </w:rPr>
            </w:pPr>
          </w:p>
        </w:tc>
        <w:tc>
          <w:tcPr>
            <w:tcW w:w="850" w:type="dxa"/>
            <w:vMerge w:val="continue"/>
            <w:vAlign w:val="center"/>
          </w:tcPr>
          <w:p>
            <w:pPr>
              <w:spacing w:line="240" w:lineRule="auto"/>
              <w:ind w:firstLine="420"/>
              <w:jc w:val="center"/>
              <w:rPr>
                <w:rFonts w:ascii="Times New Roman" w:hAnsi="Times New Roman" w:cs="Times New Roman"/>
                <w:bCs/>
                <w:sz w:val="21"/>
                <w:szCs w:val="21"/>
              </w:rPr>
            </w:pPr>
          </w:p>
        </w:tc>
        <w:tc>
          <w:tcPr>
            <w:tcW w:w="1374" w:type="dxa"/>
            <w:vMerge w:val="continue"/>
            <w:vAlign w:val="center"/>
          </w:tcPr>
          <w:p>
            <w:pPr>
              <w:spacing w:line="240" w:lineRule="auto"/>
              <w:ind w:firstLine="420"/>
              <w:jc w:val="center"/>
              <w:rPr>
                <w:rFonts w:ascii="Times New Roman" w:hAnsi="Times New Roman" w:cs="Times New Roman"/>
                <w:sz w:val="21"/>
                <w:szCs w:val="21"/>
              </w:rPr>
            </w:pPr>
          </w:p>
        </w:tc>
        <w:tc>
          <w:tcPr>
            <w:tcW w:w="1036"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8" w:type="dxa"/>
            <w:vMerge w:val="continue"/>
            <w:vAlign w:val="center"/>
          </w:tcPr>
          <w:p>
            <w:pPr>
              <w:spacing w:line="240" w:lineRule="auto"/>
              <w:ind w:firstLine="420"/>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850" w:type="dxa"/>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SS</w:t>
            </w:r>
          </w:p>
        </w:tc>
        <w:tc>
          <w:tcPr>
            <w:tcW w:w="1523" w:type="dxa"/>
            <w:vAlign w:val="center"/>
          </w:tcPr>
          <w:p>
            <w:pPr>
              <w:spacing w:line="240" w:lineRule="auto"/>
              <w:ind w:firstLine="420"/>
              <w:rPr>
                <w:rFonts w:ascii="Times New Roman" w:hAnsi="Times New Roman" w:cs="Times New Roman"/>
                <w:bCs/>
                <w:sz w:val="21"/>
                <w:szCs w:val="21"/>
              </w:rPr>
            </w:pPr>
            <w:r>
              <w:rPr>
                <w:rFonts w:ascii="Times New Roman" w:hAnsi="Times New Roman" w:cs="Times New Roman"/>
                <w:bCs/>
                <w:sz w:val="21"/>
                <w:szCs w:val="21"/>
              </w:rPr>
              <w:t>150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68" w:hRule="atLeast"/>
          <w:jc w:val="center"/>
        </w:trPr>
        <w:tc>
          <w:tcPr>
            <w:tcW w:w="748" w:type="dxa"/>
            <w:vMerge w:val="continue"/>
            <w:vAlign w:val="center"/>
          </w:tcPr>
          <w:p>
            <w:pPr>
              <w:ind w:firstLine="420"/>
              <w:jc w:val="center"/>
              <w:rPr>
                <w:rFonts w:ascii="Times New Roman" w:hAnsi="Times New Roman" w:cs="Times New Roman"/>
                <w:bCs/>
                <w:sz w:val="21"/>
                <w:szCs w:val="21"/>
              </w:rPr>
            </w:pPr>
          </w:p>
        </w:tc>
        <w:tc>
          <w:tcPr>
            <w:tcW w:w="850" w:type="dxa"/>
            <w:vMerge w:val="continue"/>
            <w:vAlign w:val="center"/>
          </w:tcPr>
          <w:p>
            <w:pPr>
              <w:spacing w:line="240" w:lineRule="auto"/>
              <w:ind w:firstLine="420"/>
              <w:jc w:val="center"/>
              <w:rPr>
                <w:rFonts w:ascii="Times New Roman" w:hAnsi="Times New Roman" w:cs="Times New Roman"/>
                <w:bCs/>
                <w:sz w:val="21"/>
                <w:szCs w:val="21"/>
              </w:rPr>
            </w:pPr>
          </w:p>
        </w:tc>
        <w:tc>
          <w:tcPr>
            <w:tcW w:w="1374" w:type="dxa"/>
            <w:vMerge w:val="continue"/>
            <w:vAlign w:val="center"/>
          </w:tcPr>
          <w:p>
            <w:pPr>
              <w:spacing w:line="240" w:lineRule="auto"/>
              <w:ind w:firstLine="420"/>
              <w:jc w:val="center"/>
              <w:rPr>
                <w:rFonts w:ascii="Times New Roman" w:hAnsi="Times New Roman" w:cs="Times New Roman"/>
                <w:sz w:val="21"/>
                <w:szCs w:val="21"/>
              </w:rPr>
            </w:pPr>
          </w:p>
        </w:tc>
        <w:tc>
          <w:tcPr>
            <w:tcW w:w="1036"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8" w:type="dxa"/>
            <w:vMerge w:val="continue"/>
            <w:vAlign w:val="center"/>
          </w:tcPr>
          <w:p>
            <w:pPr>
              <w:spacing w:line="240" w:lineRule="auto"/>
              <w:ind w:firstLine="420"/>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850" w:type="dxa"/>
            <w:vAlign w:val="center"/>
          </w:tcPr>
          <w:p>
            <w:pPr>
              <w:spacing w:line="240" w:lineRule="auto"/>
              <w:ind w:firstLine="0" w:firstLineChars="0"/>
              <w:rPr>
                <w:rFonts w:ascii="Times New Roman" w:hAnsi="Times New Roman" w:cs="Times New Roman"/>
                <w:sz w:val="21"/>
                <w:szCs w:val="21"/>
              </w:rPr>
            </w:pPr>
            <w:r>
              <w:rPr>
                <w:rFonts w:ascii="Times New Roman" w:hAnsi="Times New Roman" w:cs="Times New Roman"/>
                <w:sz w:val="21"/>
                <w:szCs w:val="21"/>
              </w:rPr>
              <w:t>氨氮</w:t>
            </w:r>
          </w:p>
        </w:tc>
        <w:tc>
          <w:tcPr>
            <w:tcW w:w="1523" w:type="dxa"/>
            <w:vAlign w:val="center"/>
          </w:tcPr>
          <w:p>
            <w:pPr>
              <w:spacing w:line="240" w:lineRule="auto"/>
              <w:ind w:firstLine="420"/>
              <w:rPr>
                <w:rFonts w:ascii="Times New Roman" w:hAnsi="Times New Roman" w:cs="Times New Roman"/>
                <w:bCs/>
                <w:sz w:val="21"/>
                <w:szCs w:val="21"/>
              </w:rPr>
            </w:pPr>
            <w:r>
              <w:rPr>
                <w:rFonts w:ascii="Times New Roman" w:hAnsi="Times New Roman" w:cs="Times New Roman"/>
                <w:bCs/>
                <w:sz w:val="21"/>
                <w:szCs w:val="21"/>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68" w:hRule="atLeast"/>
          <w:jc w:val="center"/>
        </w:trPr>
        <w:tc>
          <w:tcPr>
            <w:tcW w:w="748" w:type="dxa"/>
            <w:vMerge w:val="continue"/>
            <w:vAlign w:val="center"/>
          </w:tcPr>
          <w:p>
            <w:pPr>
              <w:ind w:firstLine="420"/>
              <w:jc w:val="center"/>
              <w:rPr>
                <w:rFonts w:ascii="Times New Roman" w:hAnsi="Times New Roman" w:cs="Times New Roman"/>
                <w:bCs/>
                <w:sz w:val="21"/>
                <w:szCs w:val="21"/>
              </w:rPr>
            </w:pPr>
          </w:p>
        </w:tc>
        <w:tc>
          <w:tcPr>
            <w:tcW w:w="850" w:type="dxa"/>
            <w:vMerge w:val="continue"/>
            <w:vAlign w:val="center"/>
          </w:tcPr>
          <w:p>
            <w:pPr>
              <w:spacing w:line="240" w:lineRule="auto"/>
              <w:ind w:firstLine="420"/>
              <w:jc w:val="center"/>
              <w:rPr>
                <w:rFonts w:ascii="Times New Roman" w:hAnsi="Times New Roman" w:cs="Times New Roman"/>
                <w:bCs/>
                <w:sz w:val="21"/>
                <w:szCs w:val="21"/>
              </w:rPr>
            </w:pPr>
          </w:p>
        </w:tc>
        <w:tc>
          <w:tcPr>
            <w:tcW w:w="1374" w:type="dxa"/>
            <w:vMerge w:val="continue"/>
            <w:vAlign w:val="center"/>
          </w:tcPr>
          <w:p>
            <w:pPr>
              <w:spacing w:line="240" w:lineRule="auto"/>
              <w:ind w:firstLine="420"/>
              <w:jc w:val="center"/>
              <w:rPr>
                <w:rFonts w:ascii="Times New Roman" w:hAnsi="Times New Roman" w:cs="Times New Roman"/>
                <w:sz w:val="21"/>
                <w:szCs w:val="21"/>
              </w:rPr>
            </w:pPr>
          </w:p>
        </w:tc>
        <w:tc>
          <w:tcPr>
            <w:tcW w:w="1036"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8" w:type="dxa"/>
            <w:vMerge w:val="continue"/>
            <w:vAlign w:val="center"/>
          </w:tcPr>
          <w:p>
            <w:pPr>
              <w:spacing w:line="240" w:lineRule="auto"/>
              <w:ind w:firstLine="420"/>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709" w:type="dxa"/>
            <w:vMerge w:val="continue"/>
            <w:vAlign w:val="center"/>
          </w:tcPr>
          <w:p>
            <w:pPr>
              <w:spacing w:line="240" w:lineRule="auto"/>
              <w:ind w:firstLine="420"/>
              <w:jc w:val="center"/>
              <w:rPr>
                <w:rFonts w:ascii="Times New Roman" w:hAnsi="Times New Roman" w:cs="Times New Roman"/>
                <w:bCs/>
                <w:sz w:val="21"/>
                <w:szCs w:val="21"/>
              </w:rPr>
            </w:pPr>
          </w:p>
        </w:tc>
        <w:tc>
          <w:tcPr>
            <w:tcW w:w="850" w:type="dxa"/>
            <w:vAlign w:val="center"/>
          </w:tcPr>
          <w:p>
            <w:pPr>
              <w:spacing w:line="240" w:lineRule="auto"/>
              <w:ind w:firstLine="0" w:firstLineChars="0"/>
              <w:rPr>
                <w:rFonts w:ascii="Times New Roman" w:hAnsi="Times New Roman" w:cs="Times New Roman"/>
                <w:sz w:val="21"/>
                <w:szCs w:val="21"/>
              </w:rPr>
            </w:pPr>
            <w:r>
              <w:rPr>
                <w:rFonts w:hint="eastAsia" w:ascii="Times New Roman" w:hAnsi="Times New Roman" w:cs="Times New Roman"/>
                <w:sz w:val="21"/>
                <w:szCs w:val="21"/>
              </w:rPr>
              <w:t>动植物油</w:t>
            </w:r>
          </w:p>
        </w:tc>
        <w:tc>
          <w:tcPr>
            <w:tcW w:w="1523" w:type="dxa"/>
            <w:vAlign w:val="center"/>
          </w:tcPr>
          <w:p>
            <w:pPr>
              <w:spacing w:line="240" w:lineRule="auto"/>
              <w:ind w:firstLine="420"/>
              <w:rPr>
                <w:rFonts w:ascii="Times New Roman" w:hAnsi="Times New Roman" w:cs="Times New Roman"/>
                <w:bCs/>
                <w:sz w:val="21"/>
                <w:szCs w:val="21"/>
              </w:rPr>
            </w:pPr>
            <w:r>
              <w:rPr>
                <w:rFonts w:ascii="Times New Roman" w:hAnsi="Times New Roman" w:cs="Times New Roman"/>
                <w:bCs/>
                <w:sz w:val="21"/>
                <w:szCs w:val="21"/>
              </w:rPr>
              <w:t>100</w:t>
            </w:r>
          </w:p>
        </w:tc>
      </w:tr>
    </w:tbl>
    <w:p>
      <w:pPr>
        <w:spacing w:before="312" w:beforeLines="100"/>
        <w:ind w:firstLine="482"/>
        <w:jc w:val="center"/>
        <w:rPr>
          <w:rFonts w:ascii="Times New Roman" w:hAnsi="Times New Roman" w:cs="Times New Roman"/>
          <w:b/>
          <w:bCs/>
          <w:szCs w:val="28"/>
        </w:rPr>
      </w:pPr>
      <w:r>
        <w:rPr>
          <w:rFonts w:ascii="Times New Roman" w:hAnsi="Times New Roman" w:cs="Times New Roman"/>
          <w:b/>
          <w:bCs/>
          <w:szCs w:val="28"/>
        </w:rPr>
        <w:t>表4.2-4 废水污染物排放执行标准表</w:t>
      </w:r>
    </w:p>
    <w:tbl>
      <w:tblPr>
        <w:tblStyle w:val="56"/>
        <w:tblW w:w="8933"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76"/>
        <w:gridCol w:w="1557"/>
        <w:gridCol w:w="1559"/>
        <w:gridCol w:w="2268"/>
        <w:gridCol w:w="237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76" w:type="dxa"/>
            <w:vMerge w:val="restart"/>
            <w:vAlign w:val="center"/>
          </w:tcPr>
          <w:p>
            <w:pPr>
              <w:ind w:firstLine="198" w:firstLineChars="94"/>
              <w:rPr>
                <w:rFonts w:ascii="Times New Roman" w:hAnsi="Times New Roman" w:cs="Times New Roman"/>
                <w:b/>
                <w:bCs/>
                <w:sz w:val="21"/>
                <w:szCs w:val="21"/>
              </w:rPr>
            </w:pPr>
            <w:r>
              <w:rPr>
                <w:rFonts w:ascii="Times New Roman" w:hAnsi="Times New Roman" w:cs="Times New Roman"/>
                <w:b/>
                <w:bCs/>
                <w:sz w:val="21"/>
                <w:szCs w:val="21"/>
              </w:rPr>
              <w:t>序号</w:t>
            </w:r>
          </w:p>
        </w:tc>
        <w:tc>
          <w:tcPr>
            <w:tcW w:w="1557" w:type="dxa"/>
            <w:vMerge w:val="restart"/>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排放口编号</w:t>
            </w:r>
          </w:p>
        </w:tc>
        <w:tc>
          <w:tcPr>
            <w:tcW w:w="1559" w:type="dxa"/>
            <w:vMerge w:val="restart"/>
            <w:vAlign w:val="center"/>
          </w:tcPr>
          <w:p>
            <w:pPr>
              <w:spacing w:line="240" w:lineRule="auto"/>
              <w:ind w:firstLine="0" w:firstLineChars="0"/>
              <w:rPr>
                <w:rFonts w:ascii="Times New Roman" w:hAnsi="Times New Roman" w:cs="Times New Roman"/>
                <w:b/>
                <w:bCs/>
                <w:sz w:val="21"/>
                <w:szCs w:val="21"/>
              </w:rPr>
            </w:pPr>
            <w:r>
              <w:rPr>
                <w:rFonts w:ascii="Times New Roman" w:hAnsi="Times New Roman" w:cs="Times New Roman"/>
                <w:b/>
                <w:bCs/>
                <w:sz w:val="21"/>
                <w:szCs w:val="21"/>
              </w:rPr>
              <w:t>污染物种类</w:t>
            </w:r>
          </w:p>
        </w:tc>
        <w:tc>
          <w:tcPr>
            <w:tcW w:w="4641" w:type="dxa"/>
            <w:gridSpan w:val="2"/>
            <w:vAlign w:val="center"/>
          </w:tcPr>
          <w:p>
            <w:pPr>
              <w:spacing w:line="240" w:lineRule="auto"/>
              <w:ind w:firstLine="422"/>
              <w:jc w:val="center"/>
              <w:rPr>
                <w:rFonts w:ascii="Times New Roman" w:hAnsi="Times New Roman" w:cs="Times New Roman"/>
                <w:b/>
                <w:bCs/>
                <w:sz w:val="21"/>
                <w:szCs w:val="21"/>
              </w:rPr>
            </w:pPr>
            <w:r>
              <w:rPr>
                <w:rFonts w:ascii="Times New Roman" w:hAnsi="Times New Roman" w:cs="Times New Roman"/>
                <w:b/>
                <w:bCs/>
                <w:sz w:val="21"/>
                <w:szCs w:val="21"/>
              </w:rPr>
              <w:t>国家或地方污染物排放标准及其他按规定商定的排放协议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76" w:type="dxa"/>
            <w:vMerge w:val="continue"/>
            <w:vAlign w:val="center"/>
          </w:tcPr>
          <w:p>
            <w:pPr>
              <w:ind w:firstLine="422"/>
              <w:jc w:val="center"/>
              <w:rPr>
                <w:rFonts w:ascii="Times New Roman" w:hAnsi="Times New Roman" w:cs="Times New Roman"/>
                <w:b/>
                <w:bCs/>
                <w:sz w:val="21"/>
                <w:szCs w:val="21"/>
              </w:rPr>
            </w:pPr>
          </w:p>
        </w:tc>
        <w:tc>
          <w:tcPr>
            <w:tcW w:w="1557" w:type="dxa"/>
            <w:vMerge w:val="continue"/>
            <w:vAlign w:val="center"/>
          </w:tcPr>
          <w:p>
            <w:pPr>
              <w:spacing w:line="240" w:lineRule="auto"/>
              <w:ind w:firstLine="422"/>
              <w:jc w:val="center"/>
              <w:rPr>
                <w:rFonts w:ascii="Times New Roman" w:hAnsi="Times New Roman" w:cs="Times New Roman"/>
                <w:b/>
                <w:bCs/>
                <w:sz w:val="21"/>
                <w:szCs w:val="21"/>
              </w:rPr>
            </w:pPr>
          </w:p>
        </w:tc>
        <w:tc>
          <w:tcPr>
            <w:tcW w:w="1559" w:type="dxa"/>
            <w:vMerge w:val="continue"/>
            <w:vAlign w:val="center"/>
          </w:tcPr>
          <w:p>
            <w:pPr>
              <w:spacing w:line="240" w:lineRule="auto"/>
              <w:ind w:firstLine="422"/>
              <w:jc w:val="center"/>
              <w:rPr>
                <w:rFonts w:ascii="Times New Roman" w:hAnsi="Times New Roman" w:cs="Times New Roman"/>
                <w:b/>
                <w:bCs/>
                <w:sz w:val="21"/>
                <w:szCs w:val="21"/>
              </w:rPr>
            </w:pPr>
          </w:p>
        </w:tc>
        <w:tc>
          <w:tcPr>
            <w:tcW w:w="2268" w:type="dxa"/>
            <w:vAlign w:val="center"/>
          </w:tcPr>
          <w:p>
            <w:pPr>
              <w:spacing w:line="240" w:lineRule="auto"/>
              <w:ind w:firstLine="422"/>
              <w:jc w:val="center"/>
              <w:rPr>
                <w:rFonts w:ascii="Times New Roman" w:hAnsi="Times New Roman" w:cs="Times New Roman"/>
                <w:b/>
                <w:bCs/>
                <w:sz w:val="21"/>
                <w:szCs w:val="21"/>
              </w:rPr>
            </w:pPr>
            <w:r>
              <w:rPr>
                <w:rFonts w:ascii="Times New Roman" w:hAnsi="Times New Roman" w:cs="Times New Roman"/>
                <w:b/>
                <w:bCs/>
                <w:sz w:val="21"/>
                <w:szCs w:val="21"/>
              </w:rPr>
              <w:t>名称</w:t>
            </w:r>
          </w:p>
        </w:tc>
        <w:tc>
          <w:tcPr>
            <w:tcW w:w="2373" w:type="dxa"/>
            <w:vAlign w:val="center"/>
          </w:tcPr>
          <w:p>
            <w:pPr>
              <w:spacing w:line="240" w:lineRule="auto"/>
              <w:ind w:firstLine="422"/>
              <w:jc w:val="center"/>
              <w:rPr>
                <w:rFonts w:ascii="Times New Roman" w:hAnsi="Times New Roman" w:cs="Times New Roman"/>
                <w:b/>
                <w:bCs/>
                <w:sz w:val="21"/>
                <w:szCs w:val="21"/>
              </w:rPr>
            </w:pPr>
            <w:r>
              <w:rPr>
                <w:rFonts w:ascii="Times New Roman" w:hAnsi="Times New Roman" w:cs="Times New Roman"/>
                <w:b/>
                <w:bCs/>
                <w:sz w:val="21"/>
                <w:szCs w:val="21"/>
              </w:rPr>
              <w:t>浓度限值（mg/L）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76" w:type="dxa"/>
            <w:vAlign w:val="center"/>
          </w:tcPr>
          <w:p>
            <w:pPr>
              <w:ind w:firstLine="420"/>
              <w:rPr>
                <w:rFonts w:ascii="Times New Roman" w:hAnsi="Times New Roman" w:cs="Times New Roman"/>
                <w:bCs/>
                <w:sz w:val="21"/>
                <w:szCs w:val="21"/>
              </w:rPr>
            </w:pPr>
            <w:r>
              <w:rPr>
                <w:rFonts w:ascii="Times New Roman" w:hAnsi="Times New Roman" w:cs="Times New Roman"/>
                <w:bCs/>
                <w:sz w:val="21"/>
                <w:szCs w:val="21"/>
              </w:rPr>
              <w:t>1</w:t>
            </w:r>
          </w:p>
        </w:tc>
        <w:tc>
          <w:tcPr>
            <w:tcW w:w="1557" w:type="dxa"/>
            <w:vMerge w:val="restart"/>
            <w:vAlign w:val="center"/>
          </w:tcPr>
          <w:p>
            <w:pPr>
              <w:ind w:firstLine="420"/>
              <w:rPr>
                <w:rFonts w:ascii="Times New Roman" w:hAnsi="Times New Roman" w:cs="Times New Roman"/>
                <w:bCs/>
                <w:sz w:val="21"/>
                <w:szCs w:val="21"/>
              </w:rPr>
            </w:pPr>
            <w:r>
              <w:rPr>
                <w:rFonts w:ascii="Times New Roman" w:hAnsi="Times New Roman" w:cs="Times New Roman"/>
                <w:bCs/>
                <w:sz w:val="21"/>
                <w:szCs w:val="21"/>
              </w:rPr>
              <w:t>WS-01</w:t>
            </w:r>
          </w:p>
        </w:tc>
        <w:tc>
          <w:tcPr>
            <w:tcW w:w="1559" w:type="dxa"/>
            <w:vAlign w:val="center"/>
          </w:tcPr>
          <w:p>
            <w:pPr>
              <w:ind w:firstLine="420"/>
              <w:rPr>
                <w:rFonts w:ascii="Times New Roman" w:hAnsi="Times New Roman" w:cs="Times New Roman"/>
                <w:bCs/>
                <w:sz w:val="21"/>
                <w:szCs w:val="21"/>
              </w:rPr>
            </w:pPr>
            <w:r>
              <w:rPr>
                <w:rFonts w:ascii="Times New Roman" w:hAnsi="Times New Roman" w:cs="Times New Roman"/>
                <w:sz w:val="21"/>
                <w:szCs w:val="21"/>
              </w:rPr>
              <w:t>COD</w:t>
            </w:r>
          </w:p>
        </w:tc>
        <w:tc>
          <w:tcPr>
            <w:tcW w:w="2268" w:type="dxa"/>
            <w:vMerge w:val="restart"/>
            <w:vAlign w:val="center"/>
          </w:tcPr>
          <w:p>
            <w:pPr>
              <w:topLinePunct/>
              <w:spacing w:line="240" w:lineRule="auto"/>
              <w:ind w:firstLine="0" w:firstLineChars="0"/>
              <w:textAlignment w:val="baseline"/>
              <w:rPr>
                <w:rFonts w:ascii="Times New Roman" w:hAnsi="Times New Roman" w:cs="Times New Roman"/>
                <w:bCs/>
                <w:sz w:val="21"/>
                <w:szCs w:val="21"/>
              </w:rPr>
            </w:pPr>
            <w:r>
              <w:rPr>
                <w:rFonts w:hint="eastAsia" w:ascii="Times New Roman" w:hAnsi="Times New Roman" w:cs="Times New Roman"/>
                <w:sz w:val="21"/>
                <w:szCs w:val="21"/>
              </w:rPr>
              <w:t>《橡胶制品工业污染物排放标准》（GB</w:t>
            </w:r>
            <w:r>
              <w:rPr>
                <w:rFonts w:ascii="Times New Roman" w:hAnsi="Times New Roman" w:cs="Times New Roman"/>
                <w:sz w:val="21"/>
                <w:szCs w:val="21"/>
              </w:rPr>
              <w:t xml:space="preserve"> </w:t>
            </w:r>
            <w:r>
              <w:rPr>
                <w:rFonts w:hint="eastAsia" w:ascii="Times New Roman" w:hAnsi="Times New Roman" w:cs="Times New Roman"/>
                <w:sz w:val="21"/>
                <w:szCs w:val="21"/>
              </w:rPr>
              <w:t>27632-2011）表2 新建企业水污染物排放限值中轮胎企业和其他制品企业间接排放限值和（DB</w:t>
            </w:r>
            <w:r>
              <w:rPr>
                <w:rFonts w:ascii="Times New Roman" w:hAnsi="Times New Roman" w:cs="Times New Roman"/>
                <w:sz w:val="21"/>
                <w:szCs w:val="21"/>
              </w:rPr>
              <w:t xml:space="preserve"> </w:t>
            </w:r>
            <w:r>
              <w:rPr>
                <w:rFonts w:hint="eastAsia" w:ascii="Times New Roman" w:hAnsi="Times New Roman" w:cs="Times New Roman"/>
                <w:sz w:val="21"/>
                <w:szCs w:val="21"/>
              </w:rPr>
              <w:t>44/26-2001）第二时段三级标准两者间较严者</w:t>
            </w:r>
          </w:p>
        </w:tc>
        <w:tc>
          <w:tcPr>
            <w:tcW w:w="2373" w:type="dxa"/>
            <w:vAlign w:val="center"/>
          </w:tcPr>
          <w:p>
            <w:pPr>
              <w:ind w:firstLine="420"/>
              <w:rPr>
                <w:rFonts w:ascii="Times New Roman" w:hAnsi="Times New Roman" w:cs="Times New Roman"/>
                <w:bCs/>
                <w:sz w:val="21"/>
                <w:szCs w:val="21"/>
              </w:rPr>
            </w:pPr>
            <w:r>
              <w:rPr>
                <w:rFonts w:ascii="Times New Roman" w:hAnsi="Times New Roman" w:cs="Times New Roman"/>
                <w:bCs/>
                <w:sz w:val="21"/>
                <w:szCs w:val="21"/>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76" w:type="dxa"/>
            <w:vAlign w:val="center"/>
          </w:tcPr>
          <w:p>
            <w:pPr>
              <w:ind w:firstLine="420"/>
              <w:rPr>
                <w:rFonts w:ascii="Times New Roman" w:hAnsi="Times New Roman" w:cs="Times New Roman"/>
                <w:bCs/>
                <w:sz w:val="21"/>
                <w:szCs w:val="21"/>
              </w:rPr>
            </w:pPr>
            <w:r>
              <w:rPr>
                <w:rFonts w:ascii="Times New Roman" w:hAnsi="Times New Roman" w:cs="Times New Roman"/>
                <w:bCs/>
                <w:sz w:val="21"/>
                <w:szCs w:val="21"/>
              </w:rPr>
              <w:t>2</w:t>
            </w:r>
          </w:p>
        </w:tc>
        <w:tc>
          <w:tcPr>
            <w:tcW w:w="1557" w:type="dxa"/>
            <w:vMerge w:val="continue"/>
            <w:vAlign w:val="center"/>
          </w:tcPr>
          <w:p>
            <w:pPr>
              <w:ind w:firstLine="420"/>
              <w:jc w:val="center"/>
              <w:rPr>
                <w:rFonts w:ascii="Times New Roman" w:hAnsi="Times New Roman" w:cs="Times New Roman"/>
                <w:bCs/>
                <w:sz w:val="21"/>
                <w:szCs w:val="21"/>
              </w:rPr>
            </w:pPr>
          </w:p>
        </w:tc>
        <w:tc>
          <w:tcPr>
            <w:tcW w:w="1559" w:type="dxa"/>
            <w:vAlign w:val="center"/>
          </w:tcPr>
          <w:p>
            <w:pPr>
              <w:ind w:firstLine="420"/>
              <w:rPr>
                <w:rFonts w:ascii="Times New Roman" w:hAnsi="Times New Roman" w:cs="Times New Roman"/>
                <w:bCs/>
                <w:sz w:val="21"/>
                <w:szCs w:val="21"/>
              </w:rPr>
            </w:pPr>
            <w:r>
              <w:rPr>
                <w:rFonts w:ascii="Times New Roman" w:hAnsi="Times New Roman" w:cs="Times New Roman"/>
                <w:sz w:val="21"/>
                <w:szCs w:val="21"/>
              </w:rPr>
              <w:t>BOD</w:t>
            </w:r>
            <w:r>
              <w:rPr>
                <w:rFonts w:ascii="Times New Roman" w:hAnsi="Times New Roman" w:cs="Times New Roman"/>
                <w:sz w:val="21"/>
                <w:szCs w:val="21"/>
                <w:vertAlign w:val="subscript"/>
              </w:rPr>
              <w:t>5</w:t>
            </w:r>
          </w:p>
        </w:tc>
        <w:tc>
          <w:tcPr>
            <w:tcW w:w="2268" w:type="dxa"/>
            <w:vMerge w:val="continue"/>
            <w:vAlign w:val="center"/>
          </w:tcPr>
          <w:p>
            <w:pPr>
              <w:ind w:firstLine="420"/>
              <w:rPr>
                <w:rFonts w:ascii="Times New Roman" w:hAnsi="Times New Roman" w:cs="Times New Roman"/>
                <w:bCs/>
                <w:sz w:val="21"/>
                <w:szCs w:val="21"/>
              </w:rPr>
            </w:pPr>
          </w:p>
        </w:tc>
        <w:tc>
          <w:tcPr>
            <w:tcW w:w="2373" w:type="dxa"/>
            <w:vAlign w:val="center"/>
          </w:tcPr>
          <w:p>
            <w:pPr>
              <w:ind w:firstLine="420"/>
              <w:rPr>
                <w:rFonts w:ascii="Times New Roman" w:hAnsi="Times New Roman" w:cs="Times New Roman"/>
                <w:bCs/>
                <w:sz w:val="21"/>
                <w:szCs w:val="21"/>
              </w:rPr>
            </w:pPr>
            <w:r>
              <w:rPr>
                <w:rFonts w:ascii="Times New Roman" w:hAnsi="Times New Roman" w:cs="Times New Roman"/>
                <w:bCs/>
                <w:sz w:val="21"/>
                <w:szCs w:val="21"/>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76" w:type="dxa"/>
            <w:vAlign w:val="center"/>
          </w:tcPr>
          <w:p>
            <w:pPr>
              <w:ind w:firstLine="420"/>
              <w:rPr>
                <w:rFonts w:ascii="Times New Roman" w:hAnsi="Times New Roman" w:cs="Times New Roman"/>
                <w:bCs/>
                <w:sz w:val="21"/>
                <w:szCs w:val="21"/>
              </w:rPr>
            </w:pPr>
            <w:r>
              <w:rPr>
                <w:rFonts w:ascii="Times New Roman" w:hAnsi="Times New Roman" w:cs="Times New Roman"/>
                <w:bCs/>
                <w:sz w:val="21"/>
                <w:szCs w:val="21"/>
              </w:rPr>
              <w:t>3</w:t>
            </w:r>
          </w:p>
        </w:tc>
        <w:tc>
          <w:tcPr>
            <w:tcW w:w="1557" w:type="dxa"/>
            <w:vMerge w:val="continue"/>
            <w:vAlign w:val="center"/>
          </w:tcPr>
          <w:p>
            <w:pPr>
              <w:ind w:firstLine="420"/>
              <w:jc w:val="center"/>
              <w:rPr>
                <w:rFonts w:ascii="Times New Roman" w:hAnsi="Times New Roman" w:cs="Times New Roman"/>
                <w:bCs/>
                <w:sz w:val="21"/>
                <w:szCs w:val="21"/>
              </w:rPr>
            </w:pPr>
          </w:p>
        </w:tc>
        <w:tc>
          <w:tcPr>
            <w:tcW w:w="1559" w:type="dxa"/>
            <w:vAlign w:val="center"/>
          </w:tcPr>
          <w:p>
            <w:pPr>
              <w:ind w:firstLine="420"/>
              <w:rPr>
                <w:rFonts w:ascii="Times New Roman" w:hAnsi="Times New Roman" w:cs="Times New Roman"/>
                <w:bCs/>
                <w:sz w:val="21"/>
                <w:szCs w:val="21"/>
              </w:rPr>
            </w:pPr>
            <w:r>
              <w:rPr>
                <w:rFonts w:ascii="Times New Roman" w:hAnsi="Times New Roman" w:cs="Times New Roman"/>
                <w:sz w:val="21"/>
                <w:szCs w:val="21"/>
              </w:rPr>
              <w:t>SS</w:t>
            </w:r>
          </w:p>
        </w:tc>
        <w:tc>
          <w:tcPr>
            <w:tcW w:w="2268" w:type="dxa"/>
            <w:vMerge w:val="continue"/>
            <w:vAlign w:val="center"/>
          </w:tcPr>
          <w:p>
            <w:pPr>
              <w:ind w:firstLine="420"/>
              <w:rPr>
                <w:rFonts w:ascii="Times New Roman" w:hAnsi="Times New Roman" w:cs="Times New Roman"/>
                <w:bCs/>
                <w:sz w:val="21"/>
                <w:szCs w:val="21"/>
              </w:rPr>
            </w:pPr>
          </w:p>
        </w:tc>
        <w:tc>
          <w:tcPr>
            <w:tcW w:w="2373" w:type="dxa"/>
            <w:vAlign w:val="center"/>
          </w:tcPr>
          <w:p>
            <w:pPr>
              <w:ind w:firstLine="420"/>
              <w:rPr>
                <w:rFonts w:ascii="Times New Roman" w:hAnsi="Times New Roman" w:cs="Times New Roman"/>
                <w:bCs/>
                <w:sz w:val="21"/>
                <w:szCs w:val="21"/>
              </w:rPr>
            </w:pPr>
            <w:r>
              <w:rPr>
                <w:rFonts w:ascii="Times New Roman" w:hAnsi="Times New Roman" w:cs="Times New Roman"/>
                <w:bCs/>
                <w:sz w:val="21"/>
                <w:szCs w:val="21"/>
              </w:rPr>
              <w:t>150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76" w:type="dxa"/>
            <w:vAlign w:val="center"/>
          </w:tcPr>
          <w:p>
            <w:pPr>
              <w:ind w:firstLine="420"/>
              <w:rPr>
                <w:rFonts w:ascii="Times New Roman" w:hAnsi="Times New Roman" w:cs="Times New Roman"/>
                <w:bCs/>
                <w:sz w:val="21"/>
                <w:szCs w:val="21"/>
              </w:rPr>
            </w:pPr>
            <w:r>
              <w:rPr>
                <w:rFonts w:hint="eastAsia" w:ascii="Times New Roman" w:hAnsi="Times New Roman" w:cs="Times New Roman"/>
                <w:bCs/>
                <w:sz w:val="21"/>
                <w:szCs w:val="21"/>
              </w:rPr>
              <w:t>4</w:t>
            </w:r>
          </w:p>
        </w:tc>
        <w:tc>
          <w:tcPr>
            <w:tcW w:w="1557" w:type="dxa"/>
            <w:vMerge w:val="continue"/>
            <w:vAlign w:val="center"/>
          </w:tcPr>
          <w:p>
            <w:pPr>
              <w:ind w:firstLine="420"/>
              <w:jc w:val="center"/>
              <w:rPr>
                <w:rFonts w:ascii="Times New Roman" w:hAnsi="Times New Roman" w:cs="Times New Roman"/>
                <w:bCs/>
                <w:sz w:val="21"/>
                <w:szCs w:val="21"/>
              </w:rPr>
            </w:pPr>
          </w:p>
        </w:tc>
        <w:tc>
          <w:tcPr>
            <w:tcW w:w="1559" w:type="dxa"/>
            <w:vAlign w:val="center"/>
          </w:tcPr>
          <w:p>
            <w:pPr>
              <w:ind w:firstLine="420"/>
              <w:rPr>
                <w:rFonts w:ascii="Times New Roman" w:hAnsi="Times New Roman" w:cs="Times New Roman"/>
                <w:sz w:val="21"/>
                <w:szCs w:val="21"/>
              </w:rPr>
            </w:pPr>
            <w:r>
              <w:rPr>
                <w:rFonts w:ascii="Times New Roman" w:hAnsi="Times New Roman" w:cs="Times New Roman"/>
                <w:sz w:val="21"/>
                <w:szCs w:val="21"/>
              </w:rPr>
              <w:t>氨氮</w:t>
            </w:r>
          </w:p>
        </w:tc>
        <w:tc>
          <w:tcPr>
            <w:tcW w:w="2268" w:type="dxa"/>
            <w:vMerge w:val="continue"/>
            <w:vAlign w:val="center"/>
          </w:tcPr>
          <w:p>
            <w:pPr>
              <w:ind w:firstLine="420"/>
              <w:rPr>
                <w:rFonts w:ascii="Times New Roman" w:hAnsi="Times New Roman" w:cs="Times New Roman"/>
                <w:bCs/>
                <w:sz w:val="21"/>
                <w:szCs w:val="21"/>
              </w:rPr>
            </w:pPr>
          </w:p>
        </w:tc>
        <w:tc>
          <w:tcPr>
            <w:tcW w:w="2373" w:type="dxa"/>
            <w:vAlign w:val="center"/>
          </w:tcPr>
          <w:p>
            <w:pPr>
              <w:ind w:firstLine="420"/>
              <w:rPr>
                <w:rFonts w:ascii="Times New Roman" w:hAnsi="Times New Roman" w:cs="Times New Roman"/>
                <w:bCs/>
                <w:sz w:val="21"/>
                <w:szCs w:val="21"/>
              </w:rPr>
            </w:pPr>
            <w:r>
              <w:rPr>
                <w:rFonts w:ascii="Times New Roman" w:hAnsi="Times New Roman" w:cs="Times New Roman"/>
                <w:bCs/>
                <w:sz w:val="21"/>
                <w:szCs w:val="21"/>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176" w:type="dxa"/>
            <w:vAlign w:val="center"/>
          </w:tcPr>
          <w:p>
            <w:pPr>
              <w:ind w:firstLine="420"/>
              <w:rPr>
                <w:rFonts w:ascii="Times New Roman" w:hAnsi="Times New Roman" w:cs="Times New Roman"/>
                <w:bCs/>
                <w:sz w:val="21"/>
                <w:szCs w:val="21"/>
              </w:rPr>
            </w:pPr>
            <w:r>
              <w:rPr>
                <w:rFonts w:ascii="Times New Roman" w:hAnsi="Times New Roman" w:cs="Times New Roman"/>
                <w:bCs/>
                <w:sz w:val="21"/>
                <w:szCs w:val="21"/>
              </w:rPr>
              <w:t>5</w:t>
            </w:r>
          </w:p>
        </w:tc>
        <w:tc>
          <w:tcPr>
            <w:tcW w:w="1557" w:type="dxa"/>
            <w:vMerge w:val="continue"/>
            <w:vAlign w:val="center"/>
          </w:tcPr>
          <w:p>
            <w:pPr>
              <w:ind w:firstLine="420"/>
              <w:jc w:val="center"/>
              <w:rPr>
                <w:rFonts w:ascii="Times New Roman" w:hAnsi="Times New Roman" w:cs="Times New Roman"/>
                <w:bCs/>
                <w:sz w:val="21"/>
                <w:szCs w:val="21"/>
              </w:rPr>
            </w:pPr>
          </w:p>
        </w:tc>
        <w:tc>
          <w:tcPr>
            <w:tcW w:w="1559" w:type="dxa"/>
            <w:vAlign w:val="center"/>
          </w:tcPr>
          <w:p>
            <w:pPr>
              <w:ind w:firstLine="199" w:firstLineChars="95"/>
              <w:rPr>
                <w:rFonts w:ascii="Times New Roman" w:hAnsi="Times New Roman" w:cs="Times New Roman"/>
                <w:sz w:val="21"/>
                <w:szCs w:val="21"/>
              </w:rPr>
            </w:pPr>
            <w:r>
              <w:rPr>
                <w:rFonts w:hint="eastAsia" w:ascii="Times New Roman" w:hAnsi="Times New Roman" w:cs="Times New Roman"/>
                <w:sz w:val="21"/>
                <w:szCs w:val="21"/>
              </w:rPr>
              <w:t>动植物油</w:t>
            </w:r>
          </w:p>
        </w:tc>
        <w:tc>
          <w:tcPr>
            <w:tcW w:w="2268" w:type="dxa"/>
            <w:vMerge w:val="continue"/>
            <w:vAlign w:val="center"/>
          </w:tcPr>
          <w:p>
            <w:pPr>
              <w:ind w:firstLine="420"/>
              <w:rPr>
                <w:rFonts w:ascii="Times New Roman" w:hAnsi="Times New Roman" w:cs="Times New Roman"/>
                <w:bCs/>
                <w:sz w:val="21"/>
                <w:szCs w:val="21"/>
              </w:rPr>
            </w:pPr>
          </w:p>
        </w:tc>
        <w:tc>
          <w:tcPr>
            <w:tcW w:w="2373" w:type="dxa"/>
            <w:vAlign w:val="center"/>
          </w:tcPr>
          <w:p>
            <w:pPr>
              <w:ind w:firstLine="420"/>
              <w:rPr>
                <w:rFonts w:ascii="Times New Roman" w:hAnsi="Times New Roman" w:cs="Times New Roman"/>
                <w:bCs/>
                <w:sz w:val="21"/>
                <w:szCs w:val="21"/>
              </w:rPr>
            </w:pPr>
            <w:r>
              <w:rPr>
                <w:rFonts w:ascii="Times New Roman" w:hAnsi="Times New Roman" w:cs="Times New Roman"/>
                <w:bCs/>
                <w:sz w:val="21"/>
                <w:szCs w:val="21"/>
              </w:rPr>
              <w:t>100</w:t>
            </w:r>
          </w:p>
        </w:tc>
      </w:tr>
    </w:tbl>
    <w:p>
      <w:pPr>
        <w:adjustRightInd w:val="0"/>
        <w:snapToGrid w:val="0"/>
        <w:ind w:firstLine="512"/>
        <w:rPr>
          <w:rFonts w:ascii="Times New Roman" w:hAnsi="Times New Roman" w:cs="Times New Roman"/>
          <w:spacing w:val="8"/>
        </w:rPr>
      </w:pPr>
    </w:p>
    <w:p>
      <w:pPr>
        <w:spacing w:before="156" w:beforeLines="50"/>
        <w:ind w:firstLine="482"/>
        <w:jc w:val="center"/>
        <w:rPr>
          <w:rFonts w:ascii="Times New Roman" w:hAnsi="Times New Roman" w:cs="Times New Roman"/>
          <w:b/>
          <w:bCs/>
          <w:szCs w:val="28"/>
        </w:rPr>
      </w:pPr>
    </w:p>
    <w:p>
      <w:pPr>
        <w:spacing w:before="156" w:beforeLines="50"/>
        <w:ind w:firstLine="482"/>
        <w:jc w:val="center"/>
        <w:rPr>
          <w:rFonts w:ascii="Times New Roman" w:hAnsi="Times New Roman" w:cs="Times New Roman"/>
          <w:b/>
          <w:bCs/>
          <w:szCs w:val="28"/>
        </w:rPr>
      </w:pPr>
      <w:r>
        <w:rPr>
          <w:rFonts w:ascii="Times New Roman" w:hAnsi="Times New Roman" w:cs="Times New Roman"/>
          <w:b/>
          <w:bCs/>
          <w:szCs w:val="28"/>
        </w:rPr>
        <w:t>表4.2-5 废水污染物排放信息表（新建项目）</w:t>
      </w:r>
    </w:p>
    <w:tbl>
      <w:tblPr>
        <w:tblStyle w:val="56"/>
        <w:tblW w:w="9004"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38"/>
        <w:gridCol w:w="1627"/>
        <w:gridCol w:w="1626"/>
        <w:gridCol w:w="1429"/>
        <w:gridCol w:w="1434"/>
        <w:gridCol w:w="16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238" w:type="dxa"/>
            <w:vAlign w:val="center"/>
          </w:tcPr>
          <w:p>
            <w:pPr>
              <w:pStyle w:val="2"/>
              <w:spacing w:line="360" w:lineRule="auto"/>
              <w:jc w:val="center"/>
              <w:rPr>
                <w:rFonts w:ascii="Times New Roman" w:cs="Times New Roman"/>
                <w:b/>
                <w:color w:val="auto"/>
                <w:sz w:val="21"/>
                <w:szCs w:val="21"/>
              </w:rPr>
            </w:pPr>
            <w:r>
              <w:rPr>
                <w:rFonts w:ascii="Times New Roman" w:cs="Times New Roman"/>
                <w:b/>
                <w:color w:val="auto"/>
                <w:sz w:val="21"/>
                <w:szCs w:val="21"/>
              </w:rPr>
              <w:t>序号</w:t>
            </w:r>
          </w:p>
        </w:tc>
        <w:tc>
          <w:tcPr>
            <w:tcW w:w="1627" w:type="dxa"/>
            <w:vAlign w:val="center"/>
          </w:tcPr>
          <w:p>
            <w:pPr>
              <w:pStyle w:val="2"/>
              <w:spacing w:line="360" w:lineRule="auto"/>
              <w:jc w:val="center"/>
              <w:rPr>
                <w:rFonts w:ascii="Times New Roman" w:cs="Times New Roman"/>
                <w:b/>
                <w:color w:val="auto"/>
                <w:sz w:val="21"/>
                <w:szCs w:val="21"/>
              </w:rPr>
            </w:pPr>
            <w:r>
              <w:rPr>
                <w:rFonts w:ascii="Times New Roman" w:cs="Times New Roman"/>
                <w:b/>
                <w:color w:val="auto"/>
                <w:sz w:val="21"/>
                <w:szCs w:val="21"/>
              </w:rPr>
              <w:t>排放口编号</w:t>
            </w:r>
          </w:p>
        </w:tc>
        <w:tc>
          <w:tcPr>
            <w:tcW w:w="1626" w:type="dxa"/>
            <w:vAlign w:val="center"/>
          </w:tcPr>
          <w:p>
            <w:pPr>
              <w:pStyle w:val="2"/>
              <w:spacing w:line="360" w:lineRule="auto"/>
              <w:jc w:val="center"/>
              <w:rPr>
                <w:rFonts w:ascii="Times New Roman" w:cs="Times New Roman"/>
                <w:b/>
                <w:color w:val="auto"/>
                <w:sz w:val="21"/>
                <w:szCs w:val="21"/>
              </w:rPr>
            </w:pPr>
            <w:r>
              <w:rPr>
                <w:rFonts w:ascii="Times New Roman" w:cs="Times New Roman"/>
                <w:b/>
                <w:color w:val="auto"/>
                <w:sz w:val="21"/>
                <w:szCs w:val="21"/>
              </w:rPr>
              <w:t>污染物种类</w:t>
            </w:r>
          </w:p>
        </w:tc>
        <w:tc>
          <w:tcPr>
            <w:tcW w:w="1429" w:type="dxa"/>
            <w:vAlign w:val="center"/>
          </w:tcPr>
          <w:p>
            <w:pPr>
              <w:pStyle w:val="2"/>
              <w:jc w:val="center"/>
              <w:rPr>
                <w:rFonts w:ascii="Times New Roman" w:cs="Times New Roman"/>
                <w:b/>
                <w:color w:val="auto"/>
                <w:sz w:val="21"/>
                <w:szCs w:val="21"/>
              </w:rPr>
            </w:pPr>
            <w:r>
              <w:rPr>
                <w:rFonts w:ascii="Times New Roman" w:cs="Times New Roman"/>
                <w:b/>
                <w:color w:val="auto"/>
                <w:sz w:val="21"/>
                <w:szCs w:val="21"/>
              </w:rPr>
              <w:t>排放浓度</w:t>
            </w:r>
          </w:p>
          <w:p>
            <w:pPr>
              <w:pStyle w:val="2"/>
              <w:jc w:val="center"/>
              <w:rPr>
                <w:rFonts w:ascii="Times New Roman" w:cs="Times New Roman"/>
                <w:b/>
                <w:color w:val="auto"/>
                <w:sz w:val="21"/>
                <w:szCs w:val="21"/>
              </w:rPr>
            </w:pPr>
            <w:r>
              <w:rPr>
                <w:rFonts w:ascii="Times New Roman" w:cs="Times New Roman"/>
                <w:b/>
                <w:color w:val="auto"/>
                <w:sz w:val="21"/>
                <w:szCs w:val="21"/>
              </w:rPr>
              <w:t>（mg/L）</w:t>
            </w:r>
          </w:p>
        </w:tc>
        <w:tc>
          <w:tcPr>
            <w:tcW w:w="1434" w:type="dxa"/>
            <w:vAlign w:val="center"/>
          </w:tcPr>
          <w:p>
            <w:pPr>
              <w:pStyle w:val="2"/>
              <w:jc w:val="center"/>
              <w:rPr>
                <w:rFonts w:ascii="Times New Roman" w:cs="Times New Roman"/>
                <w:b/>
                <w:color w:val="auto"/>
                <w:sz w:val="21"/>
                <w:szCs w:val="21"/>
              </w:rPr>
            </w:pPr>
            <w:r>
              <w:rPr>
                <w:rFonts w:ascii="Times New Roman" w:cs="Times New Roman"/>
                <w:b/>
                <w:color w:val="auto"/>
                <w:sz w:val="21"/>
                <w:szCs w:val="21"/>
              </w:rPr>
              <w:t>日排放量</w:t>
            </w:r>
          </w:p>
          <w:p>
            <w:pPr>
              <w:pStyle w:val="2"/>
              <w:jc w:val="center"/>
              <w:rPr>
                <w:rFonts w:ascii="Times New Roman" w:cs="Times New Roman"/>
                <w:b/>
                <w:color w:val="auto"/>
                <w:sz w:val="21"/>
                <w:szCs w:val="21"/>
              </w:rPr>
            </w:pPr>
            <w:r>
              <w:rPr>
                <w:rFonts w:ascii="Times New Roman" w:cs="Times New Roman"/>
                <w:b/>
                <w:color w:val="auto"/>
                <w:sz w:val="21"/>
                <w:szCs w:val="21"/>
              </w:rPr>
              <w:t>（t/d）</w:t>
            </w:r>
          </w:p>
        </w:tc>
        <w:tc>
          <w:tcPr>
            <w:tcW w:w="1650" w:type="dxa"/>
            <w:vAlign w:val="center"/>
          </w:tcPr>
          <w:p>
            <w:pPr>
              <w:pStyle w:val="2"/>
              <w:jc w:val="center"/>
              <w:rPr>
                <w:rFonts w:ascii="Times New Roman" w:cs="Times New Roman"/>
                <w:b/>
                <w:color w:val="auto"/>
                <w:sz w:val="21"/>
                <w:szCs w:val="21"/>
              </w:rPr>
            </w:pPr>
            <w:r>
              <w:rPr>
                <w:rFonts w:ascii="Times New Roman" w:cs="Times New Roman"/>
                <w:b/>
                <w:color w:val="auto"/>
                <w:sz w:val="21"/>
                <w:szCs w:val="21"/>
              </w:rPr>
              <w:t>年排放量</w:t>
            </w:r>
          </w:p>
          <w:p>
            <w:pPr>
              <w:pStyle w:val="2"/>
              <w:jc w:val="center"/>
              <w:rPr>
                <w:rFonts w:ascii="Times New Roman" w:cs="Times New Roman"/>
                <w:b/>
                <w:color w:val="auto"/>
                <w:sz w:val="21"/>
                <w:szCs w:val="21"/>
              </w:rPr>
            </w:pPr>
            <w:r>
              <w:rPr>
                <w:rFonts w:ascii="Times New Roman" w:cs="Times New Roman"/>
                <w:b/>
                <w:color w:val="auto"/>
                <w:sz w:val="21"/>
                <w:szCs w:val="21"/>
              </w:rPr>
              <w:t>（t/a）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238" w:type="dxa"/>
            <w:vMerge w:val="restart"/>
            <w:vAlign w:val="center"/>
          </w:tcPr>
          <w:p>
            <w:pPr>
              <w:pStyle w:val="2"/>
              <w:spacing w:line="360" w:lineRule="auto"/>
              <w:jc w:val="center"/>
              <w:rPr>
                <w:rFonts w:ascii="Times New Roman" w:cs="Times New Roman"/>
                <w:color w:val="auto"/>
                <w:sz w:val="21"/>
                <w:szCs w:val="21"/>
              </w:rPr>
            </w:pPr>
            <w:r>
              <w:rPr>
                <w:rFonts w:ascii="Times New Roman" w:cs="Times New Roman"/>
                <w:color w:val="auto"/>
                <w:sz w:val="21"/>
                <w:szCs w:val="21"/>
              </w:rPr>
              <w:t>1</w:t>
            </w:r>
          </w:p>
        </w:tc>
        <w:tc>
          <w:tcPr>
            <w:tcW w:w="1627" w:type="dxa"/>
            <w:vMerge w:val="restart"/>
            <w:vAlign w:val="center"/>
          </w:tcPr>
          <w:p>
            <w:pPr>
              <w:pStyle w:val="2"/>
              <w:spacing w:line="360" w:lineRule="auto"/>
              <w:jc w:val="center"/>
              <w:rPr>
                <w:rFonts w:ascii="Times New Roman" w:cs="Times New Roman"/>
                <w:color w:val="auto"/>
                <w:sz w:val="21"/>
                <w:szCs w:val="21"/>
              </w:rPr>
            </w:pPr>
            <w:r>
              <w:rPr>
                <w:rFonts w:ascii="Times New Roman" w:cs="Times New Roman"/>
                <w:color w:val="auto"/>
                <w:sz w:val="21"/>
                <w:szCs w:val="21"/>
              </w:rPr>
              <w:t>WS-01</w:t>
            </w:r>
          </w:p>
        </w:tc>
        <w:tc>
          <w:tcPr>
            <w:tcW w:w="1626" w:type="dxa"/>
            <w:vAlign w:val="center"/>
          </w:tcPr>
          <w:p>
            <w:pPr>
              <w:pStyle w:val="2"/>
              <w:spacing w:line="360" w:lineRule="auto"/>
              <w:jc w:val="center"/>
              <w:rPr>
                <w:rFonts w:ascii="Times New Roman" w:cs="Times New Roman"/>
                <w:color w:val="auto"/>
                <w:sz w:val="21"/>
                <w:szCs w:val="21"/>
              </w:rPr>
            </w:pPr>
            <w:r>
              <w:rPr>
                <w:rFonts w:ascii="Times New Roman" w:cs="Times New Roman"/>
                <w:color w:val="auto"/>
                <w:sz w:val="21"/>
                <w:szCs w:val="21"/>
              </w:rPr>
              <w:t>COD</w:t>
            </w:r>
          </w:p>
        </w:tc>
        <w:tc>
          <w:tcPr>
            <w:tcW w:w="1429"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bCs/>
                <w:color w:val="000000" w:themeColor="text1"/>
                <w:sz w:val="21"/>
                <w:szCs w:val="21"/>
                <w14:textFill>
                  <w14:solidFill>
                    <w14:schemeClr w14:val="tx1"/>
                  </w14:solidFill>
                </w14:textFill>
              </w:rPr>
              <w:t>225</w:t>
            </w:r>
          </w:p>
        </w:tc>
        <w:tc>
          <w:tcPr>
            <w:tcW w:w="1434"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0.000243</w:t>
            </w:r>
          </w:p>
        </w:tc>
        <w:tc>
          <w:tcPr>
            <w:tcW w:w="1650"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0.073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238" w:type="dxa"/>
            <w:vMerge w:val="continue"/>
            <w:vAlign w:val="center"/>
          </w:tcPr>
          <w:p>
            <w:pPr>
              <w:pStyle w:val="2"/>
              <w:spacing w:line="360" w:lineRule="auto"/>
              <w:jc w:val="center"/>
              <w:rPr>
                <w:rFonts w:ascii="Times New Roman" w:cs="Times New Roman"/>
                <w:color w:val="auto"/>
                <w:sz w:val="21"/>
                <w:szCs w:val="21"/>
              </w:rPr>
            </w:pPr>
          </w:p>
        </w:tc>
        <w:tc>
          <w:tcPr>
            <w:tcW w:w="1627" w:type="dxa"/>
            <w:vMerge w:val="continue"/>
            <w:vAlign w:val="center"/>
          </w:tcPr>
          <w:p>
            <w:pPr>
              <w:pStyle w:val="2"/>
              <w:spacing w:line="360" w:lineRule="auto"/>
              <w:jc w:val="center"/>
              <w:rPr>
                <w:rFonts w:ascii="Times New Roman" w:cs="Times New Roman"/>
                <w:color w:val="auto"/>
                <w:sz w:val="21"/>
                <w:szCs w:val="21"/>
              </w:rPr>
            </w:pPr>
          </w:p>
        </w:tc>
        <w:tc>
          <w:tcPr>
            <w:tcW w:w="1626" w:type="dxa"/>
            <w:vAlign w:val="center"/>
          </w:tcPr>
          <w:p>
            <w:pPr>
              <w:pStyle w:val="2"/>
              <w:spacing w:line="360" w:lineRule="auto"/>
              <w:jc w:val="center"/>
              <w:rPr>
                <w:rFonts w:ascii="Times New Roman" w:cs="Times New Roman"/>
                <w:color w:val="auto"/>
                <w:sz w:val="21"/>
                <w:szCs w:val="21"/>
              </w:rPr>
            </w:pPr>
            <w:r>
              <w:rPr>
                <w:rFonts w:ascii="Times New Roman" w:cs="Times New Roman"/>
                <w:color w:val="auto"/>
                <w:sz w:val="21"/>
                <w:szCs w:val="21"/>
              </w:rPr>
              <w:t>BOD</w:t>
            </w:r>
            <w:r>
              <w:rPr>
                <w:rFonts w:ascii="Times New Roman" w:cs="Times New Roman"/>
                <w:color w:val="auto"/>
                <w:sz w:val="21"/>
                <w:szCs w:val="21"/>
                <w:vertAlign w:val="subscript"/>
              </w:rPr>
              <w:t>5</w:t>
            </w:r>
          </w:p>
        </w:tc>
        <w:tc>
          <w:tcPr>
            <w:tcW w:w="1429"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bCs/>
                <w:color w:val="000000" w:themeColor="text1"/>
                <w:sz w:val="21"/>
                <w:szCs w:val="21"/>
                <w14:textFill>
                  <w14:solidFill>
                    <w14:schemeClr w14:val="tx1"/>
                  </w14:solidFill>
                </w14:textFill>
              </w:rPr>
              <w:t>80</w:t>
            </w:r>
          </w:p>
        </w:tc>
        <w:tc>
          <w:tcPr>
            <w:tcW w:w="1434"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0.000087</w:t>
            </w:r>
          </w:p>
        </w:tc>
        <w:tc>
          <w:tcPr>
            <w:tcW w:w="1650"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238" w:type="dxa"/>
            <w:vMerge w:val="continue"/>
            <w:vAlign w:val="center"/>
          </w:tcPr>
          <w:p>
            <w:pPr>
              <w:pStyle w:val="2"/>
              <w:spacing w:line="360" w:lineRule="auto"/>
              <w:jc w:val="center"/>
              <w:rPr>
                <w:rFonts w:ascii="Times New Roman" w:cs="Times New Roman"/>
                <w:color w:val="auto"/>
                <w:sz w:val="21"/>
                <w:szCs w:val="21"/>
              </w:rPr>
            </w:pPr>
          </w:p>
        </w:tc>
        <w:tc>
          <w:tcPr>
            <w:tcW w:w="1627" w:type="dxa"/>
            <w:vMerge w:val="continue"/>
            <w:vAlign w:val="center"/>
          </w:tcPr>
          <w:p>
            <w:pPr>
              <w:pStyle w:val="2"/>
              <w:spacing w:line="360" w:lineRule="auto"/>
              <w:jc w:val="center"/>
              <w:rPr>
                <w:rFonts w:ascii="Times New Roman" w:cs="Times New Roman"/>
                <w:color w:val="auto"/>
                <w:sz w:val="21"/>
                <w:szCs w:val="21"/>
              </w:rPr>
            </w:pPr>
          </w:p>
        </w:tc>
        <w:tc>
          <w:tcPr>
            <w:tcW w:w="1626" w:type="dxa"/>
            <w:vAlign w:val="center"/>
          </w:tcPr>
          <w:p>
            <w:pPr>
              <w:pStyle w:val="2"/>
              <w:spacing w:line="360" w:lineRule="auto"/>
              <w:jc w:val="center"/>
              <w:rPr>
                <w:rFonts w:ascii="Times New Roman" w:cs="Times New Roman"/>
                <w:color w:val="auto"/>
                <w:sz w:val="21"/>
                <w:szCs w:val="21"/>
              </w:rPr>
            </w:pPr>
            <w:r>
              <w:rPr>
                <w:rFonts w:ascii="Times New Roman" w:cs="Times New Roman"/>
                <w:color w:val="auto"/>
                <w:sz w:val="21"/>
                <w:szCs w:val="21"/>
              </w:rPr>
              <w:t>SS</w:t>
            </w:r>
          </w:p>
        </w:tc>
        <w:tc>
          <w:tcPr>
            <w:tcW w:w="1429"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bCs/>
                <w:color w:val="000000" w:themeColor="text1"/>
                <w:sz w:val="21"/>
                <w:szCs w:val="21"/>
                <w14:textFill>
                  <w14:solidFill>
                    <w14:schemeClr w14:val="tx1"/>
                  </w14:solidFill>
                </w14:textFill>
              </w:rPr>
              <w:t>100</w:t>
            </w:r>
          </w:p>
        </w:tc>
        <w:tc>
          <w:tcPr>
            <w:tcW w:w="1434"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0.000108</w:t>
            </w:r>
          </w:p>
        </w:tc>
        <w:tc>
          <w:tcPr>
            <w:tcW w:w="1650"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0.0324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238" w:type="dxa"/>
            <w:vMerge w:val="continue"/>
            <w:vAlign w:val="center"/>
          </w:tcPr>
          <w:p>
            <w:pPr>
              <w:pStyle w:val="2"/>
              <w:spacing w:line="360" w:lineRule="auto"/>
              <w:jc w:val="center"/>
              <w:rPr>
                <w:rFonts w:ascii="Times New Roman" w:cs="Times New Roman"/>
                <w:color w:val="auto"/>
                <w:sz w:val="21"/>
                <w:szCs w:val="21"/>
              </w:rPr>
            </w:pPr>
          </w:p>
        </w:tc>
        <w:tc>
          <w:tcPr>
            <w:tcW w:w="1627" w:type="dxa"/>
            <w:vMerge w:val="continue"/>
            <w:vAlign w:val="center"/>
          </w:tcPr>
          <w:p>
            <w:pPr>
              <w:pStyle w:val="2"/>
              <w:spacing w:line="360" w:lineRule="auto"/>
              <w:jc w:val="center"/>
              <w:rPr>
                <w:rFonts w:ascii="Times New Roman" w:cs="Times New Roman"/>
                <w:color w:val="auto"/>
                <w:sz w:val="21"/>
                <w:szCs w:val="21"/>
              </w:rPr>
            </w:pPr>
          </w:p>
        </w:tc>
        <w:tc>
          <w:tcPr>
            <w:tcW w:w="1626" w:type="dxa"/>
            <w:vAlign w:val="center"/>
          </w:tcPr>
          <w:p>
            <w:pPr>
              <w:pStyle w:val="2"/>
              <w:spacing w:line="360" w:lineRule="auto"/>
              <w:jc w:val="center"/>
              <w:rPr>
                <w:rFonts w:ascii="Times New Roman" w:cs="Times New Roman"/>
                <w:color w:val="auto"/>
                <w:sz w:val="21"/>
                <w:szCs w:val="21"/>
              </w:rPr>
            </w:pPr>
            <w:r>
              <w:rPr>
                <w:rFonts w:ascii="Times New Roman" w:cs="Times New Roman"/>
                <w:color w:val="auto"/>
                <w:sz w:val="21"/>
                <w:szCs w:val="21"/>
              </w:rPr>
              <w:t>氨氮</w:t>
            </w:r>
          </w:p>
        </w:tc>
        <w:tc>
          <w:tcPr>
            <w:tcW w:w="1429" w:type="dxa"/>
            <w:vAlign w:val="center"/>
          </w:tcPr>
          <w:p>
            <w:pPr>
              <w:pStyle w:val="2"/>
              <w:spacing w:line="360" w:lineRule="auto"/>
              <w:jc w:val="center"/>
              <w:rPr>
                <w:rFonts w:ascii="Times New Roman" w:cs="Times New Roman"/>
                <w:bCs/>
                <w:color w:val="000000" w:themeColor="text1"/>
                <w:sz w:val="21"/>
                <w:szCs w:val="21"/>
                <w14:textFill>
                  <w14:solidFill>
                    <w14:schemeClr w14:val="tx1"/>
                  </w14:solidFill>
                </w14:textFill>
              </w:rPr>
            </w:pPr>
            <w:r>
              <w:rPr>
                <w:rFonts w:ascii="Times New Roman" w:cs="Times New Roman"/>
                <w:bCs/>
                <w:color w:val="000000" w:themeColor="text1"/>
                <w:sz w:val="21"/>
                <w:szCs w:val="21"/>
                <w14:textFill>
                  <w14:solidFill>
                    <w14:schemeClr w14:val="tx1"/>
                  </w14:solidFill>
                </w14:textFill>
              </w:rPr>
              <w:t>30</w:t>
            </w:r>
          </w:p>
        </w:tc>
        <w:tc>
          <w:tcPr>
            <w:tcW w:w="1434"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0.0000323</w:t>
            </w:r>
          </w:p>
        </w:tc>
        <w:tc>
          <w:tcPr>
            <w:tcW w:w="1650"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0.0097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238" w:type="dxa"/>
            <w:vMerge w:val="continue"/>
            <w:vAlign w:val="center"/>
          </w:tcPr>
          <w:p>
            <w:pPr>
              <w:pStyle w:val="2"/>
              <w:spacing w:line="360" w:lineRule="auto"/>
              <w:jc w:val="center"/>
              <w:rPr>
                <w:rFonts w:ascii="Times New Roman" w:cs="Times New Roman"/>
                <w:color w:val="auto"/>
                <w:sz w:val="21"/>
                <w:szCs w:val="21"/>
              </w:rPr>
            </w:pPr>
          </w:p>
        </w:tc>
        <w:tc>
          <w:tcPr>
            <w:tcW w:w="1627" w:type="dxa"/>
            <w:vMerge w:val="continue"/>
            <w:vAlign w:val="center"/>
          </w:tcPr>
          <w:p>
            <w:pPr>
              <w:pStyle w:val="2"/>
              <w:spacing w:line="360" w:lineRule="auto"/>
              <w:jc w:val="center"/>
              <w:rPr>
                <w:rFonts w:ascii="Times New Roman" w:cs="Times New Roman"/>
                <w:color w:val="auto"/>
                <w:sz w:val="21"/>
                <w:szCs w:val="21"/>
              </w:rPr>
            </w:pPr>
          </w:p>
        </w:tc>
        <w:tc>
          <w:tcPr>
            <w:tcW w:w="1626" w:type="dxa"/>
            <w:vAlign w:val="center"/>
          </w:tcPr>
          <w:p>
            <w:pPr>
              <w:pStyle w:val="2"/>
              <w:spacing w:line="360" w:lineRule="auto"/>
              <w:jc w:val="center"/>
              <w:rPr>
                <w:rFonts w:ascii="Times New Roman" w:cs="Times New Roman"/>
                <w:color w:val="auto"/>
                <w:sz w:val="21"/>
                <w:szCs w:val="21"/>
              </w:rPr>
            </w:pPr>
            <w:r>
              <w:rPr>
                <w:rFonts w:hint="eastAsia" w:ascii="Times New Roman" w:cs="Times New Roman"/>
                <w:color w:val="auto"/>
                <w:sz w:val="21"/>
                <w:szCs w:val="21"/>
              </w:rPr>
              <w:t>动植物油</w:t>
            </w:r>
          </w:p>
        </w:tc>
        <w:tc>
          <w:tcPr>
            <w:tcW w:w="1429"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bCs/>
                <w:color w:val="000000" w:themeColor="text1"/>
                <w:sz w:val="21"/>
                <w:szCs w:val="21"/>
                <w14:textFill>
                  <w14:solidFill>
                    <w14:schemeClr w14:val="tx1"/>
                  </w14:solidFill>
                </w14:textFill>
              </w:rPr>
              <w:t>15</w:t>
            </w:r>
          </w:p>
        </w:tc>
        <w:tc>
          <w:tcPr>
            <w:tcW w:w="1434"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0.0000163</w:t>
            </w:r>
          </w:p>
        </w:tc>
        <w:tc>
          <w:tcPr>
            <w:tcW w:w="1650" w:type="dxa"/>
            <w:vAlign w:val="center"/>
          </w:tcPr>
          <w:p>
            <w:pPr>
              <w:pStyle w:val="2"/>
              <w:spacing w:line="360" w:lineRule="auto"/>
              <w:jc w:val="center"/>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0.0049</w:t>
            </w:r>
          </w:p>
        </w:tc>
      </w:tr>
    </w:tbl>
    <w:p>
      <w:pPr>
        <w:pStyle w:val="2"/>
      </w:pPr>
    </w:p>
    <w:p>
      <w:pPr>
        <w:ind w:firstLine="281" w:firstLineChars="100"/>
        <w:rPr>
          <w:b/>
        </w:rPr>
      </w:pPr>
      <w:r>
        <w:rPr>
          <w:rFonts w:hint="eastAsia"/>
          <w:b/>
          <w:snapToGrid w:val="0"/>
          <w:sz w:val="28"/>
          <w:szCs w:val="32"/>
        </w:rPr>
        <w:t>4</w:t>
      </w:r>
      <w:r>
        <w:rPr>
          <w:b/>
          <w:snapToGrid w:val="0"/>
          <w:sz w:val="28"/>
          <w:szCs w:val="32"/>
        </w:rPr>
        <w:t xml:space="preserve">.2.5 </w:t>
      </w:r>
      <w:r>
        <w:rPr>
          <w:rFonts w:hint="eastAsia"/>
          <w:b/>
          <w:snapToGrid w:val="0"/>
          <w:sz w:val="28"/>
          <w:szCs w:val="32"/>
        </w:rPr>
        <w:t>地表水环境影响评价自查表</w:t>
      </w: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ind w:firstLine="482"/>
        <w:jc w:val="center"/>
        <w:rPr>
          <w:b/>
          <w:bCs/>
        </w:rPr>
      </w:pPr>
    </w:p>
    <w:p>
      <w:pPr>
        <w:ind w:firstLine="482"/>
        <w:jc w:val="center"/>
        <w:rPr>
          <w:b/>
          <w:bCs/>
        </w:rPr>
      </w:pPr>
    </w:p>
    <w:p>
      <w:pPr>
        <w:ind w:firstLine="482"/>
        <w:jc w:val="center"/>
        <w:rPr>
          <w:b/>
          <w:bCs/>
        </w:rPr>
        <w:sectPr>
          <w:pgSz w:w="11906" w:h="16838"/>
          <w:pgMar w:top="1418" w:right="1418" w:bottom="1418" w:left="1418" w:header="851" w:footer="709" w:gutter="0"/>
          <w:cols w:space="425" w:num="1"/>
          <w:docGrid w:type="lines" w:linePitch="312" w:charSpace="0"/>
        </w:sectPr>
      </w:pPr>
    </w:p>
    <w:p>
      <w:pPr>
        <w:ind w:firstLine="482"/>
        <w:jc w:val="center"/>
        <w:rPr>
          <w:b/>
          <w:bCs/>
        </w:rPr>
      </w:pPr>
      <w:r>
        <w:rPr>
          <w:b/>
          <w:bCs/>
        </w:rPr>
        <w:t>表4.2-8</w:t>
      </w:r>
      <w:r>
        <w:rPr>
          <w:rFonts w:hint="eastAsia"/>
          <w:b/>
          <w:bCs/>
        </w:rPr>
        <w:t>地表水环境影响评价自查表</w:t>
      </w:r>
    </w:p>
    <w:tbl>
      <w:tblPr>
        <w:tblStyle w:val="56"/>
        <w:tblW w:w="14478" w:type="dxa"/>
        <w:tblInd w:w="93" w:type="dxa"/>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5"/>
        <w:gridCol w:w="2673"/>
        <w:gridCol w:w="21"/>
        <w:gridCol w:w="176"/>
        <w:gridCol w:w="2092"/>
        <w:gridCol w:w="1275"/>
        <w:gridCol w:w="993"/>
        <w:gridCol w:w="820"/>
        <w:gridCol w:w="172"/>
        <w:gridCol w:w="525"/>
        <w:gridCol w:w="1318"/>
        <w:gridCol w:w="331"/>
        <w:gridCol w:w="342"/>
        <w:gridCol w:w="958"/>
        <w:gridCol w:w="211"/>
        <w:gridCol w:w="501"/>
        <w:gridCol w:w="633"/>
        <w:gridCol w:w="1422"/>
      </w:tblGrid>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PrEx>
        <w:trPr>
          <w:gridBefore w:val="1"/>
          <w:wBefore w:w="15" w:type="dxa"/>
          <w:trHeight w:val="183" w:hRule="atLeast"/>
        </w:trPr>
        <w:tc>
          <w:tcPr>
            <w:tcW w:w="4962" w:type="dxa"/>
            <w:gridSpan w:val="4"/>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工作内容</w:t>
            </w:r>
          </w:p>
        </w:tc>
        <w:tc>
          <w:tcPr>
            <w:tcW w:w="9501" w:type="dxa"/>
            <w:gridSpan w:val="13"/>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自查项目</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80" w:hRule="atLeast"/>
        </w:trPr>
        <w:tc>
          <w:tcPr>
            <w:tcW w:w="2870" w:type="dxa"/>
            <w:gridSpan w:val="3"/>
            <w:vMerge w:val="restart"/>
            <w:shd w:val="clear" w:color="auto" w:fill="auto"/>
            <w:vAlign w:val="center"/>
          </w:tcPr>
          <w:p>
            <w:pPr>
              <w:ind w:firstLine="420"/>
              <w:jc w:val="center"/>
              <w:rPr>
                <w:rFonts w:ascii="宋体" w:hAnsi="宋体"/>
                <w:color w:val="000000"/>
                <w:sz w:val="21"/>
                <w:szCs w:val="21"/>
              </w:rPr>
            </w:pPr>
            <w:r>
              <w:rPr>
                <w:color w:val="000000"/>
                <w:sz w:val="21"/>
                <w:szCs w:val="21"/>
              </w:rPr>
              <w:t>　</w:t>
            </w:r>
            <w:r>
              <w:rPr>
                <w:rFonts w:hint="eastAsia" w:ascii="宋体" w:hAnsi="宋体"/>
                <w:color w:val="000000"/>
                <w:sz w:val="21"/>
                <w:szCs w:val="21"/>
              </w:rPr>
              <w:t>影响识别</w:t>
            </w:r>
          </w:p>
        </w:tc>
        <w:tc>
          <w:tcPr>
            <w:tcW w:w="2092" w:type="dxa"/>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影响类型</w:t>
            </w:r>
          </w:p>
        </w:tc>
        <w:tc>
          <w:tcPr>
            <w:tcW w:w="9501" w:type="dxa"/>
            <w:gridSpan w:val="13"/>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 xml:space="preserve">水污染影响型 </w:t>
            </w:r>
            <w:r>
              <w:rPr>
                <w:rFonts w:hint="eastAsia" w:ascii="宋体" w:hAnsi="宋体"/>
                <w:color w:val="000000"/>
                <w:sz w:val="21"/>
                <w:szCs w:val="21"/>
              </w:rPr>
              <w:sym w:font="Wingdings" w:char="00FE"/>
            </w:r>
            <w:r>
              <w:rPr>
                <w:rFonts w:hint="eastAsia" w:ascii="宋体" w:hAnsi="宋体"/>
                <w:color w:val="000000"/>
                <w:sz w:val="21"/>
                <w:szCs w:val="21"/>
              </w:rPr>
              <w:t xml:space="preserve"> </w:t>
            </w:r>
            <w:r>
              <w:rPr>
                <w:rFonts w:hint="eastAsia"/>
                <w:color w:val="000000"/>
                <w:sz w:val="21"/>
                <w:szCs w:val="21"/>
              </w:rPr>
              <w:t>；</w:t>
            </w:r>
            <w:r>
              <w:rPr>
                <w:color w:val="000000"/>
                <w:sz w:val="21"/>
                <w:szCs w:val="21"/>
              </w:rPr>
              <w:t xml:space="preserve"> </w:t>
            </w:r>
            <w:r>
              <w:rPr>
                <w:rFonts w:hint="eastAsia" w:ascii="宋体" w:hAnsi="宋体"/>
                <w:color w:val="000000"/>
                <w:sz w:val="21"/>
                <w:szCs w:val="21"/>
              </w:rPr>
              <w:t>水又要素影响型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888" w:hRule="atLeast"/>
        </w:trPr>
        <w:tc>
          <w:tcPr>
            <w:tcW w:w="2870" w:type="dxa"/>
            <w:gridSpan w:val="3"/>
            <w:vMerge w:val="continue"/>
            <w:shd w:val="clear" w:color="auto" w:fill="auto"/>
            <w:vAlign w:val="center"/>
          </w:tcPr>
          <w:p>
            <w:pPr>
              <w:ind w:firstLine="420"/>
              <w:rPr>
                <w:rFonts w:ascii="宋体" w:hAnsi="宋体"/>
                <w:color w:val="000000"/>
                <w:sz w:val="21"/>
                <w:szCs w:val="21"/>
              </w:rPr>
            </w:pPr>
          </w:p>
        </w:tc>
        <w:tc>
          <w:tcPr>
            <w:tcW w:w="2092" w:type="dxa"/>
            <w:shd w:val="clear" w:color="auto" w:fill="auto"/>
            <w:vAlign w:val="center"/>
          </w:tcPr>
          <w:p>
            <w:pPr>
              <w:ind w:firstLine="420"/>
              <w:jc w:val="center"/>
              <w:rPr>
                <w:color w:val="000000"/>
                <w:sz w:val="21"/>
                <w:szCs w:val="21"/>
              </w:rPr>
            </w:pPr>
            <w:r>
              <w:rPr>
                <w:rFonts w:hint="eastAsia" w:ascii="宋体" w:hAnsi="宋体"/>
                <w:color w:val="000000"/>
                <w:sz w:val="21"/>
                <w:szCs w:val="21"/>
              </w:rPr>
              <w:t>水环境保护目标</w:t>
            </w:r>
          </w:p>
        </w:tc>
        <w:tc>
          <w:tcPr>
            <w:tcW w:w="9501" w:type="dxa"/>
            <w:gridSpan w:val="1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饮用水水源保护区</w:t>
            </w:r>
            <w:r>
              <w:rPr>
                <w:color w:val="000000"/>
                <w:sz w:val="21"/>
                <w:szCs w:val="21"/>
              </w:rPr>
              <w:t xml:space="preserve"> </w:t>
            </w:r>
            <w:r>
              <w:rPr>
                <w:rFonts w:hint="eastAsia" w:ascii="宋体" w:hAnsi="宋体"/>
                <w:color w:val="000000"/>
                <w:sz w:val="21"/>
                <w:szCs w:val="21"/>
              </w:rPr>
              <w:t>口；饮用水取水口</w:t>
            </w:r>
            <w:r>
              <w:rPr>
                <w:color w:val="000000"/>
                <w:sz w:val="21"/>
                <w:szCs w:val="21"/>
              </w:rPr>
              <w:t xml:space="preserve"> </w:t>
            </w:r>
            <w:r>
              <w:rPr>
                <w:rFonts w:hint="eastAsia" w:ascii="宋体" w:hAnsi="宋体"/>
                <w:color w:val="000000"/>
                <w:sz w:val="21"/>
                <w:szCs w:val="21"/>
              </w:rPr>
              <w:t>口；涉水的自然保护区 口；重要湿地</w:t>
            </w:r>
            <w:r>
              <w:rPr>
                <w:color w:val="000000"/>
                <w:sz w:val="21"/>
                <w:szCs w:val="21"/>
              </w:rPr>
              <w:t xml:space="preserve"> </w:t>
            </w:r>
            <w:r>
              <w:rPr>
                <w:rFonts w:hint="eastAsia" w:ascii="宋体" w:hAnsi="宋体"/>
                <w:color w:val="000000"/>
                <w:sz w:val="21"/>
                <w:szCs w:val="21"/>
              </w:rPr>
              <w:t>口；</w:t>
            </w:r>
          </w:p>
          <w:p>
            <w:pPr>
              <w:ind w:firstLine="420"/>
              <w:rPr>
                <w:rFonts w:ascii="宋体" w:hAnsi="宋体"/>
                <w:color w:val="000000"/>
                <w:sz w:val="21"/>
                <w:szCs w:val="21"/>
              </w:rPr>
            </w:pPr>
            <w:r>
              <w:rPr>
                <w:rFonts w:hint="eastAsia" w:ascii="宋体" w:hAnsi="宋体"/>
                <w:color w:val="000000"/>
                <w:sz w:val="21"/>
                <w:szCs w:val="21"/>
              </w:rPr>
              <w:t>重点保护与珍稀水生生物的栖息地</w:t>
            </w:r>
            <w:r>
              <w:rPr>
                <w:color w:val="000000"/>
                <w:sz w:val="21"/>
                <w:szCs w:val="21"/>
              </w:rPr>
              <w:t xml:space="preserve"> </w:t>
            </w:r>
            <w:r>
              <w:rPr>
                <w:rFonts w:hint="eastAsia" w:ascii="宋体" w:hAnsi="宋体"/>
                <w:color w:val="000000"/>
                <w:sz w:val="21"/>
                <w:szCs w:val="21"/>
              </w:rPr>
              <w:t>口；重要水生生物的自然产卵场及索饵场、越冬场和洄游通道、天然渔场等渔业水体</w:t>
            </w:r>
            <w:r>
              <w:rPr>
                <w:color w:val="000000"/>
                <w:sz w:val="21"/>
                <w:szCs w:val="21"/>
              </w:rPr>
              <w:t xml:space="preserve"> </w:t>
            </w:r>
            <w:r>
              <w:rPr>
                <w:rFonts w:hint="eastAsia"/>
                <w:color w:val="000000"/>
                <w:sz w:val="21"/>
                <w:szCs w:val="21"/>
              </w:rPr>
              <w:t xml:space="preserve"> </w:t>
            </w:r>
            <w:r>
              <w:rPr>
                <w:rFonts w:hint="eastAsia" w:ascii="宋体" w:hAnsi="宋体"/>
                <w:color w:val="000000"/>
                <w:sz w:val="21"/>
                <w:szCs w:val="21"/>
              </w:rPr>
              <w:t>口；涉水的风景名胜区</w:t>
            </w:r>
            <w:r>
              <w:rPr>
                <w:color w:val="000000"/>
                <w:sz w:val="21"/>
                <w:szCs w:val="21"/>
              </w:rPr>
              <w:t xml:space="preserve"> </w:t>
            </w:r>
            <w:r>
              <w:rPr>
                <w:rFonts w:hint="eastAsia" w:ascii="宋体" w:hAnsi="宋体"/>
                <w:color w:val="000000"/>
                <w:sz w:val="21"/>
                <w:szCs w:val="21"/>
              </w:rPr>
              <w:t>口；</w:t>
            </w:r>
            <w:r>
              <w:rPr>
                <w:color w:val="000000"/>
                <w:sz w:val="21"/>
                <w:szCs w:val="21"/>
              </w:rPr>
              <w:t xml:space="preserve">  </w:t>
            </w:r>
            <w:r>
              <w:rPr>
                <w:rFonts w:hint="eastAsia" w:ascii="宋体" w:hAnsi="宋体"/>
                <w:color w:val="000000"/>
                <w:sz w:val="21"/>
                <w:szCs w:val="21"/>
              </w:rPr>
              <w:t>其他</w:t>
            </w:r>
            <w:r>
              <w:rPr>
                <w:color w:val="000000"/>
                <w:sz w:val="21"/>
                <w:szCs w:val="21"/>
              </w:rPr>
              <w:t xml:space="preserve"> </w:t>
            </w:r>
            <w:r>
              <w:rPr>
                <w:rFonts w:hint="eastAsia" w:ascii="宋体" w:hAnsi="宋体"/>
                <w:color w:val="000000"/>
                <w:sz w:val="21"/>
                <w:szCs w:val="21"/>
              </w:rPr>
              <w:sym w:font="Wingdings" w:char="00FE"/>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80" w:hRule="atLeast"/>
        </w:trPr>
        <w:tc>
          <w:tcPr>
            <w:tcW w:w="2870" w:type="dxa"/>
            <w:gridSpan w:val="3"/>
            <w:vMerge w:val="continue"/>
            <w:shd w:val="clear" w:color="auto" w:fill="auto"/>
          </w:tcPr>
          <w:p>
            <w:pPr>
              <w:ind w:firstLine="420"/>
              <w:rPr>
                <w:rFonts w:ascii="宋体" w:hAnsi="宋体"/>
                <w:color w:val="000000"/>
                <w:sz w:val="21"/>
                <w:szCs w:val="21"/>
              </w:rPr>
            </w:pPr>
          </w:p>
        </w:tc>
        <w:tc>
          <w:tcPr>
            <w:tcW w:w="2092" w:type="dxa"/>
            <w:vMerge w:val="restart"/>
            <w:shd w:val="clear" w:color="auto" w:fill="auto"/>
            <w:vAlign w:val="center"/>
          </w:tcPr>
          <w:p>
            <w:pPr>
              <w:ind w:firstLine="420"/>
              <w:jc w:val="center"/>
              <w:rPr>
                <w:color w:val="000000"/>
                <w:sz w:val="21"/>
                <w:szCs w:val="21"/>
              </w:rPr>
            </w:pPr>
            <w:r>
              <w:rPr>
                <w:rFonts w:hint="eastAsia" w:ascii="宋体" w:hAnsi="宋体"/>
                <w:color w:val="000000"/>
                <w:sz w:val="21"/>
                <w:szCs w:val="21"/>
              </w:rPr>
              <w:t>影响途径</w:t>
            </w:r>
          </w:p>
        </w:tc>
        <w:tc>
          <w:tcPr>
            <w:tcW w:w="5103" w:type="dxa"/>
            <w:gridSpan w:val="6"/>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水污染影响型</w:t>
            </w:r>
          </w:p>
        </w:tc>
        <w:tc>
          <w:tcPr>
            <w:tcW w:w="4398" w:type="dxa"/>
            <w:gridSpan w:val="7"/>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水文要素影响型</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33" w:hRule="atLeast"/>
        </w:trPr>
        <w:tc>
          <w:tcPr>
            <w:tcW w:w="2870" w:type="dxa"/>
            <w:gridSpan w:val="3"/>
            <w:vMerge w:val="continue"/>
            <w:shd w:val="clear" w:color="auto" w:fill="auto"/>
          </w:tcPr>
          <w:p>
            <w:pPr>
              <w:ind w:firstLine="420"/>
              <w:rPr>
                <w:rFonts w:ascii="宋体" w:hAnsi="宋体"/>
                <w:color w:val="000000"/>
                <w:sz w:val="21"/>
                <w:szCs w:val="21"/>
              </w:rPr>
            </w:pPr>
          </w:p>
        </w:tc>
        <w:tc>
          <w:tcPr>
            <w:tcW w:w="2092" w:type="dxa"/>
            <w:vMerge w:val="continue"/>
            <w:shd w:val="clear" w:color="auto" w:fill="auto"/>
            <w:vAlign w:val="center"/>
          </w:tcPr>
          <w:p>
            <w:pPr>
              <w:ind w:firstLine="420"/>
              <w:jc w:val="center"/>
              <w:rPr>
                <w:rFonts w:ascii="宋体" w:hAnsi="宋体"/>
                <w:color w:val="000000"/>
                <w:sz w:val="21"/>
                <w:szCs w:val="21"/>
              </w:rPr>
            </w:pPr>
          </w:p>
        </w:tc>
        <w:tc>
          <w:tcPr>
            <w:tcW w:w="5103" w:type="dxa"/>
            <w:gridSpan w:val="6"/>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直接排放</w:t>
            </w:r>
            <w:r>
              <w:rPr>
                <w:color w:val="000000"/>
                <w:sz w:val="21"/>
                <w:szCs w:val="21"/>
              </w:rPr>
              <w:t xml:space="preserve"> </w:t>
            </w:r>
            <w:r>
              <w:rPr>
                <w:rFonts w:hint="eastAsia" w:ascii="宋体" w:hAnsi="宋体"/>
                <w:color w:val="000000"/>
                <w:sz w:val="21"/>
                <w:szCs w:val="21"/>
              </w:rPr>
              <w:t>口；</w:t>
            </w:r>
            <w:r>
              <w:rPr>
                <w:color w:val="000000"/>
                <w:sz w:val="21"/>
                <w:szCs w:val="21"/>
              </w:rPr>
              <w:t xml:space="preserve"> </w:t>
            </w:r>
            <w:r>
              <w:rPr>
                <w:rFonts w:hint="eastAsia" w:ascii="宋体" w:hAnsi="宋体"/>
                <w:color w:val="000000"/>
                <w:sz w:val="21"/>
                <w:szCs w:val="21"/>
              </w:rPr>
              <w:t>间接排放</w:t>
            </w:r>
            <w:r>
              <w:rPr>
                <w:color w:val="000000"/>
                <w:sz w:val="21"/>
                <w:szCs w:val="21"/>
              </w:rPr>
              <w:t xml:space="preserve"> </w:t>
            </w:r>
            <w:r>
              <w:rPr>
                <w:rFonts w:hint="eastAsia" w:ascii="宋体" w:hAnsi="宋体"/>
                <w:color w:val="000000"/>
                <w:sz w:val="21"/>
                <w:szCs w:val="21"/>
              </w:rPr>
              <w:sym w:font="Wingdings" w:char="00FE"/>
            </w:r>
            <w:r>
              <w:rPr>
                <w:rFonts w:hint="eastAsia"/>
                <w:color w:val="000000"/>
                <w:sz w:val="21"/>
                <w:szCs w:val="21"/>
              </w:rPr>
              <w:t>；</w:t>
            </w:r>
            <w:r>
              <w:rPr>
                <w:rFonts w:hint="eastAsia" w:ascii="宋体" w:hAnsi="宋体"/>
                <w:color w:val="000000"/>
                <w:sz w:val="21"/>
                <w:szCs w:val="21"/>
              </w:rPr>
              <w:t>其他</w:t>
            </w:r>
            <w:r>
              <w:rPr>
                <w:color w:val="000000"/>
                <w:sz w:val="21"/>
                <w:szCs w:val="21"/>
              </w:rPr>
              <w:t xml:space="preserve"> </w:t>
            </w:r>
            <w:r>
              <w:rPr>
                <w:rFonts w:hint="eastAsia" w:ascii="宋体" w:hAnsi="宋体"/>
                <w:color w:val="000000"/>
                <w:sz w:val="21"/>
                <w:szCs w:val="21"/>
              </w:rPr>
              <w:t>口</w:t>
            </w:r>
          </w:p>
        </w:tc>
        <w:tc>
          <w:tcPr>
            <w:tcW w:w="4398" w:type="dxa"/>
            <w:gridSpan w:val="7"/>
            <w:shd w:val="clear" w:color="auto" w:fill="auto"/>
            <w:vAlign w:val="center"/>
          </w:tcPr>
          <w:p>
            <w:pPr>
              <w:ind w:firstLine="420"/>
              <w:jc w:val="center"/>
              <w:rPr>
                <w:color w:val="000000"/>
                <w:sz w:val="21"/>
                <w:szCs w:val="21"/>
              </w:rPr>
            </w:pPr>
            <w:r>
              <w:rPr>
                <w:rFonts w:hint="eastAsia"/>
                <w:color w:val="000000"/>
                <w:sz w:val="21"/>
                <w:szCs w:val="21"/>
              </w:rPr>
              <w:t>水</w:t>
            </w:r>
            <w:r>
              <w:rPr>
                <w:rFonts w:hint="eastAsia" w:ascii="宋体" w:hAnsi="宋体"/>
                <w:color w:val="000000"/>
                <w:sz w:val="21"/>
                <w:szCs w:val="21"/>
              </w:rPr>
              <w:t>温</w:t>
            </w:r>
            <w:r>
              <w:rPr>
                <w:color w:val="000000"/>
                <w:sz w:val="21"/>
                <w:szCs w:val="21"/>
              </w:rPr>
              <w:t xml:space="preserve"> </w:t>
            </w:r>
            <w:r>
              <w:rPr>
                <w:rFonts w:hint="eastAsia" w:ascii="宋体" w:hAnsi="宋体"/>
                <w:color w:val="000000"/>
                <w:sz w:val="21"/>
                <w:szCs w:val="21"/>
              </w:rPr>
              <w:t>口；径流</w:t>
            </w:r>
            <w:r>
              <w:rPr>
                <w:color w:val="000000"/>
                <w:sz w:val="21"/>
                <w:szCs w:val="21"/>
              </w:rPr>
              <w:t xml:space="preserve"> </w:t>
            </w:r>
            <w:r>
              <w:rPr>
                <w:rFonts w:hint="eastAsia" w:ascii="宋体" w:hAnsi="宋体"/>
                <w:color w:val="000000"/>
                <w:sz w:val="21"/>
                <w:szCs w:val="21"/>
              </w:rPr>
              <w:t>口；水域面积</w:t>
            </w:r>
            <w:r>
              <w:rPr>
                <w:color w:val="000000"/>
                <w:sz w:val="21"/>
                <w:szCs w:val="21"/>
              </w:rPr>
              <w:t xml:space="preserve"> </w:t>
            </w:r>
            <w:r>
              <w:rPr>
                <w:rFonts w:hint="eastAsia" w:ascii="宋体" w:hAnsi="宋体"/>
                <w:color w:val="000000"/>
                <w:sz w:val="21"/>
                <w:szCs w:val="21"/>
              </w:rPr>
              <w:t>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524" w:hRule="atLeast"/>
        </w:trPr>
        <w:tc>
          <w:tcPr>
            <w:tcW w:w="2870" w:type="dxa"/>
            <w:gridSpan w:val="3"/>
            <w:vMerge w:val="continue"/>
            <w:shd w:val="clear" w:color="auto" w:fill="auto"/>
          </w:tcPr>
          <w:p>
            <w:pPr>
              <w:ind w:firstLine="420"/>
              <w:rPr>
                <w:rFonts w:ascii="宋体" w:hAnsi="宋体"/>
                <w:color w:val="000000"/>
                <w:sz w:val="21"/>
                <w:szCs w:val="21"/>
              </w:rPr>
            </w:pPr>
          </w:p>
        </w:tc>
        <w:tc>
          <w:tcPr>
            <w:tcW w:w="2092" w:type="dxa"/>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影响因子</w:t>
            </w:r>
          </w:p>
        </w:tc>
        <w:tc>
          <w:tcPr>
            <w:tcW w:w="5103" w:type="dxa"/>
            <w:gridSpan w:val="6"/>
            <w:shd w:val="clear" w:color="auto" w:fill="auto"/>
            <w:vAlign w:val="center"/>
          </w:tcPr>
          <w:p>
            <w:pPr>
              <w:ind w:firstLine="0" w:firstLineChars="0"/>
              <w:rPr>
                <w:rFonts w:ascii="宋体" w:hAnsi="宋体"/>
                <w:color w:val="000000"/>
                <w:sz w:val="21"/>
                <w:szCs w:val="21"/>
              </w:rPr>
            </w:pPr>
            <w:r>
              <w:rPr>
                <w:rFonts w:hint="eastAsia" w:ascii="宋体" w:hAnsi="宋体"/>
                <w:color w:val="000000"/>
                <w:sz w:val="21"/>
                <w:szCs w:val="21"/>
              </w:rPr>
              <w:t>持久性污染物</w:t>
            </w:r>
            <w:r>
              <w:rPr>
                <w:color w:val="000000"/>
                <w:sz w:val="21"/>
                <w:szCs w:val="21"/>
              </w:rPr>
              <w:t xml:space="preserve"> </w:t>
            </w:r>
            <w:r>
              <w:rPr>
                <w:rFonts w:hint="eastAsia" w:ascii="宋体" w:hAnsi="宋体"/>
                <w:color w:val="000000"/>
                <w:sz w:val="21"/>
                <w:szCs w:val="21"/>
              </w:rPr>
              <w:t>口</w:t>
            </w:r>
            <w:r>
              <w:rPr>
                <w:rFonts w:hint="eastAsia"/>
                <w:color w:val="000000"/>
                <w:sz w:val="21"/>
                <w:szCs w:val="21"/>
              </w:rPr>
              <w:t>；</w:t>
            </w:r>
            <w:r>
              <w:rPr>
                <w:rFonts w:hint="eastAsia" w:ascii="宋体" w:hAnsi="宋体"/>
                <w:color w:val="000000"/>
                <w:sz w:val="21"/>
                <w:szCs w:val="21"/>
              </w:rPr>
              <w:t>有毒有害污染物</w:t>
            </w:r>
            <w:r>
              <w:rPr>
                <w:color w:val="000000"/>
                <w:sz w:val="21"/>
                <w:szCs w:val="21"/>
              </w:rPr>
              <w:t xml:space="preserve"> </w:t>
            </w:r>
            <w:r>
              <w:rPr>
                <w:rFonts w:hint="eastAsia" w:ascii="宋体" w:hAnsi="宋体"/>
                <w:color w:val="000000"/>
                <w:sz w:val="21"/>
                <w:szCs w:val="21"/>
              </w:rPr>
              <w:t>口</w:t>
            </w:r>
            <w:r>
              <w:rPr>
                <w:rFonts w:hint="eastAsia"/>
                <w:color w:val="000000"/>
                <w:sz w:val="21"/>
                <w:szCs w:val="21"/>
              </w:rPr>
              <w:t>；</w:t>
            </w:r>
            <w:r>
              <w:rPr>
                <w:rFonts w:hint="eastAsia" w:ascii="宋体" w:hAnsi="宋体"/>
                <w:color w:val="000000"/>
                <w:sz w:val="21"/>
                <w:szCs w:val="21"/>
              </w:rPr>
              <w:t>非持久性污染物</w:t>
            </w:r>
            <w:r>
              <w:rPr>
                <w:color w:val="000000"/>
                <w:sz w:val="21"/>
                <w:szCs w:val="21"/>
              </w:rPr>
              <w:t xml:space="preserve"> </w:t>
            </w:r>
            <w:r>
              <w:rPr>
                <w:rFonts w:hint="eastAsia" w:ascii="宋体" w:hAnsi="宋体"/>
                <w:color w:val="000000"/>
                <w:sz w:val="21"/>
                <w:szCs w:val="21"/>
              </w:rPr>
              <w:sym w:font="Wingdings" w:char="00FE"/>
            </w:r>
            <w:r>
              <w:rPr>
                <w:rFonts w:hint="eastAsia" w:ascii="宋体" w:hAnsi="宋体"/>
                <w:color w:val="000000"/>
                <w:sz w:val="21"/>
                <w:szCs w:val="21"/>
              </w:rPr>
              <w:t>；</w:t>
            </w:r>
            <w:r>
              <w:rPr>
                <w:color w:val="000000"/>
                <w:sz w:val="21"/>
                <w:szCs w:val="21"/>
              </w:rPr>
              <w:t xml:space="preserve">pH </w:t>
            </w:r>
            <w:r>
              <w:rPr>
                <w:rFonts w:hint="eastAsia" w:ascii="宋体" w:hAnsi="宋体"/>
                <w:color w:val="000000"/>
                <w:sz w:val="21"/>
                <w:szCs w:val="21"/>
              </w:rPr>
              <w:t>值</w:t>
            </w:r>
            <w:r>
              <w:rPr>
                <w:color w:val="000000"/>
                <w:sz w:val="21"/>
                <w:szCs w:val="21"/>
              </w:rPr>
              <w:t xml:space="preserve"> </w:t>
            </w:r>
            <w:r>
              <w:rPr>
                <w:rFonts w:hint="eastAsia" w:ascii="宋体" w:hAnsi="宋体"/>
                <w:color w:val="000000"/>
                <w:sz w:val="21"/>
                <w:szCs w:val="21"/>
              </w:rPr>
              <w:t>口；</w:t>
            </w:r>
            <w:r>
              <w:rPr>
                <w:color w:val="000000"/>
                <w:sz w:val="21"/>
                <w:szCs w:val="21"/>
              </w:rPr>
              <w:t xml:space="preserve"> </w:t>
            </w:r>
            <w:r>
              <w:rPr>
                <w:rFonts w:hint="eastAsia" w:ascii="宋体" w:hAnsi="宋体"/>
                <w:color w:val="000000"/>
                <w:sz w:val="21"/>
                <w:szCs w:val="21"/>
              </w:rPr>
              <w:t>热污染</w:t>
            </w:r>
            <w:r>
              <w:rPr>
                <w:color w:val="000000"/>
                <w:sz w:val="21"/>
                <w:szCs w:val="21"/>
              </w:rPr>
              <w:t xml:space="preserve"> </w:t>
            </w:r>
            <w:r>
              <w:rPr>
                <w:rFonts w:hint="eastAsia" w:ascii="宋体" w:hAnsi="宋体"/>
                <w:color w:val="000000"/>
                <w:sz w:val="21"/>
                <w:szCs w:val="21"/>
              </w:rPr>
              <w:t>口；</w:t>
            </w:r>
            <w:r>
              <w:rPr>
                <w:color w:val="000000"/>
                <w:sz w:val="21"/>
                <w:szCs w:val="21"/>
              </w:rPr>
              <w:t xml:space="preserve"> </w:t>
            </w:r>
            <w:r>
              <w:rPr>
                <w:rFonts w:hint="eastAsia" w:ascii="宋体" w:hAnsi="宋体"/>
                <w:color w:val="000000"/>
                <w:sz w:val="21"/>
                <w:szCs w:val="21"/>
              </w:rPr>
              <w:t>富营养化</w:t>
            </w:r>
            <w:r>
              <w:rPr>
                <w:color w:val="000000"/>
                <w:sz w:val="21"/>
                <w:szCs w:val="21"/>
              </w:rPr>
              <w:t xml:space="preserve"> </w:t>
            </w:r>
            <w:r>
              <w:rPr>
                <w:rFonts w:hint="eastAsia" w:ascii="宋体" w:hAnsi="宋体"/>
                <w:color w:val="000000"/>
                <w:sz w:val="21"/>
                <w:szCs w:val="21"/>
              </w:rPr>
              <w:t>口</w:t>
            </w:r>
            <w:r>
              <w:rPr>
                <w:rFonts w:hint="eastAsia"/>
                <w:color w:val="000000"/>
                <w:sz w:val="21"/>
                <w:szCs w:val="21"/>
              </w:rPr>
              <w:t>；</w:t>
            </w:r>
            <w:r>
              <w:rPr>
                <w:rFonts w:hint="eastAsia" w:ascii="宋体" w:hAnsi="宋体"/>
                <w:color w:val="000000"/>
                <w:sz w:val="21"/>
                <w:szCs w:val="21"/>
              </w:rPr>
              <w:t>其他</w:t>
            </w:r>
            <w:r>
              <w:rPr>
                <w:color w:val="000000"/>
                <w:sz w:val="21"/>
                <w:szCs w:val="21"/>
              </w:rPr>
              <w:t xml:space="preserve"> </w:t>
            </w:r>
            <w:r>
              <w:rPr>
                <w:rFonts w:hint="eastAsia" w:ascii="宋体" w:hAnsi="宋体"/>
                <w:color w:val="000000"/>
                <w:sz w:val="21"/>
                <w:szCs w:val="21"/>
              </w:rPr>
              <w:t>口</w:t>
            </w:r>
          </w:p>
        </w:tc>
        <w:tc>
          <w:tcPr>
            <w:tcW w:w="4398" w:type="dxa"/>
            <w:gridSpan w:val="7"/>
            <w:shd w:val="clear" w:color="auto" w:fill="auto"/>
            <w:vAlign w:val="center"/>
          </w:tcPr>
          <w:p>
            <w:pPr>
              <w:ind w:firstLine="0" w:firstLineChars="0"/>
              <w:rPr>
                <w:color w:val="000000"/>
                <w:sz w:val="21"/>
                <w:szCs w:val="21"/>
              </w:rPr>
            </w:pPr>
            <w:r>
              <w:rPr>
                <w:rFonts w:hint="eastAsia"/>
                <w:color w:val="000000"/>
                <w:sz w:val="21"/>
                <w:szCs w:val="21"/>
              </w:rPr>
              <w:t>水温</w:t>
            </w:r>
            <w:r>
              <w:rPr>
                <w:color w:val="000000"/>
                <w:sz w:val="21"/>
                <w:szCs w:val="21"/>
              </w:rPr>
              <w:t xml:space="preserve"> </w:t>
            </w:r>
            <w:r>
              <w:rPr>
                <w:rFonts w:hint="eastAsia" w:ascii="宋体" w:hAnsi="宋体"/>
                <w:color w:val="000000"/>
                <w:sz w:val="21"/>
                <w:szCs w:val="21"/>
              </w:rPr>
              <w:t>口；水位</w:t>
            </w:r>
            <w:r>
              <w:rPr>
                <w:rFonts w:hint="eastAsia"/>
                <w:color w:val="000000"/>
                <w:sz w:val="21"/>
                <w:szCs w:val="21"/>
              </w:rPr>
              <w:t>（水深）</w:t>
            </w:r>
            <w:r>
              <w:rPr>
                <w:color w:val="000000"/>
                <w:sz w:val="21"/>
                <w:szCs w:val="21"/>
              </w:rPr>
              <w:t xml:space="preserve"> </w:t>
            </w:r>
            <w:r>
              <w:rPr>
                <w:rFonts w:hint="eastAsia" w:ascii="宋体" w:hAnsi="宋体"/>
                <w:color w:val="000000"/>
                <w:sz w:val="21"/>
                <w:szCs w:val="21"/>
              </w:rPr>
              <w:t>口</w:t>
            </w:r>
            <w:r>
              <w:rPr>
                <w:rFonts w:hint="eastAsia"/>
                <w:color w:val="000000"/>
                <w:sz w:val="21"/>
                <w:szCs w:val="21"/>
              </w:rPr>
              <w:t>；</w:t>
            </w:r>
            <w:r>
              <w:rPr>
                <w:rFonts w:hint="eastAsia" w:ascii="宋体" w:hAnsi="宋体"/>
                <w:color w:val="000000"/>
                <w:sz w:val="21"/>
                <w:szCs w:val="21"/>
              </w:rPr>
              <w:t>流速</w:t>
            </w:r>
            <w:r>
              <w:rPr>
                <w:color w:val="000000"/>
                <w:sz w:val="21"/>
                <w:szCs w:val="21"/>
              </w:rPr>
              <w:t xml:space="preserve">  </w:t>
            </w:r>
            <w:r>
              <w:rPr>
                <w:rFonts w:hint="eastAsia" w:ascii="宋体" w:hAnsi="宋体"/>
                <w:color w:val="000000"/>
                <w:sz w:val="21"/>
                <w:szCs w:val="21"/>
              </w:rPr>
              <w:t>口</w:t>
            </w:r>
            <w:r>
              <w:rPr>
                <w:rFonts w:hint="eastAsia"/>
                <w:color w:val="000000"/>
                <w:sz w:val="21"/>
                <w:szCs w:val="21"/>
              </w:rPr>
              <w:t>；流速</w:t>
            </w:r>
            <w:r>
              <w:rPr>
                <w:color w:val="000000"/>
                <w:sz w:val="21"/>
                <w:szCs w:val="21"/>
              </w:rPr>
              <w:t xml:space="preserve"> </w:t>
            </w:r>
            <w:r>
              <w:rPr>
                <w:rFonts w:hint="eastAsia" w:ascii="宋体" w:hAnsi="宋体"/>
                <w:color w:val="000000"/>
                <w:sz w:val="21"/>
                <w:szCs w:val="21"/>
              </w:rPr>
              <w:t>口；其他</w:t>
            </w:r>
            <w:r>
              <w:rPr>
                <w:rFonts w:hint="eastAsia"/>
                <w:color w:val="000000"/>
                <w:sz w:val="21"/>
                <w:szCs w:val="21"/>
              </w:rPr>
              <w:t xml:space="preserve"> </w:t>
            </w:r>
            <w:r>
              <w:rPr>
                <w:rFonts w:hint="eastAsia" w:ascii="宋体" w:hAnsi="宋体"/>
                <w:color w:val="000000"/>
                <w:sz w:val="21"/>
                <w:szCs w:val="21"/>
              </w:rPr>
              <w:t>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87" w:hRule="atLeast"/>
        </w:trPr>
        <w:tc>
          <w:tcPr>
            <w:tcW w:w="4962" w:type="dxa"/>
            <w:gridSpan w:val="4"/>
            <w:vMerge w:val="restart"/>
            <w:shd w:val="clear" w:color="auto" w:fill="auto"/>
            <w:vAlign w:val="center"/>
          </w:tcPr>
          <w:p>
            <w:pPr>
              <w:ind w:firstLine="420"/>
              <w:jc w:val="center"/>
              <w:rPr>
                <w:color w:val="000000"/>
                <w:sz w:val="21"/>
                <w:szCs w:val="21"/>
              </w:rPr>
            </w:pPr>
            <w:r>
              <w:rPr>
                <w:color w:val="000000"/>
                <w:sz w:val="21"/>
                <w:szCs w:val="21"/>
              </w:rPr>
              <w:t>　</w:t>
            </w:r>
            <w:r>
              <w:rPr>
                <w:rFonts w:hint="eastAsia" w:ascii="宋体" w:hAnsi="宋体"/>
                <w:color w:val="000000"/>
                <w:sz w:val="21"/>
                <w:szCs w:val="21"/>
              </w:rPr>
              <w:t>评价等级</w:t>
            </w:r>
          </w:p>
        </w:tc>
        <w:tc>
          <w:tcPr>
            <w:tcW w:w="5103" w:type="dxa"/>
            <w:gridSpan w:val="6"/>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水污染影响型</w:t>
            </w:r>
          </w:p>
        </w:tc>
        <w:tc>
          <w:tcPr>
            <w:tcW w:w="4398" w:type="dxa"/>
            <w:gridSpan w:val="7"/>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水文</w:t>
            </w:r>
            <w:r>
              <w:rPr>
                <w:rFonts w:hint="eastAsia"/>
                <w:color w:val="000000"/>
                <w:sz w:val="21"/>
                <w:szCs w:val="21"/>
              </w:rPr>
              <w:t>要素</w:t>
            </w:r>
            <w:r>
              <w:rPr>
                <w:rFonts w:hint="eastAsia" w:ascii="宋体" w:hAnsi="宋体"/>
                <w:color w:val="000000"/>
                <w:sz w:val="21"/>
                <w:szCs w:val="21"/>
              </w:rPr>
              <w:t>影响型</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439" w:hRule="atLeast"/>
        </w:trPr>
        <w:tc>
          <w:tcPr>
            <w:tcW w:w="4962" w:type="dxa"/>
            <w:gridSpan w:val="4"/>
            <w:vMerge w:val="continue"/>
            <w:shd w:val="clear" w:color="auto" w:fill="auto"/>
            <w:vAlign w:val="center"/>
          </w:tcPr>
          <w:p>
            <w:pPr>
              <w:ind w:firstLine="420"/>
              <w:jc w:val="center"/>
              <w:rPr>
                <w:rFonts w:ascii="宋体" w:hAnsi="宋体"/>
                <w:color w:val="000000"/>
                <w:sz w:val="21"/>
                <w:szCs w:val="21"/>
              </w:rPr>
            </w:pPr>
          </w:p>
        </w:tc>
        <w:tc>
          <w:tcPr>
            <w:tcW w:w="5103" w:type="dxa"/>
            <w:gridSpan w:val="6"/>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一级</w:t>
            </w:r>
            <w:r>
              <w:rPr>
                <w:color w:val="000000"/>
                <w:sz w:val="21"/>
                <w:szCs w:val="21"/>
              </w:rPr>
              <w:t xml:space="preserve"> </w:t>
            </w:r>
            <w:r>
              <w:rPr>
                <w:rFonts w:hint="eastAsia" w:ascii="宋体" w:hAnsi="宋体"/>
                <w:color w:val="000000"/>
                <w:sz w:val="21"/>
                <w:szCs w:val="21"/>
              </w:rPr>
              <w:t>口；二级</w:t>
            </w:r>
            <w:r>
              <w:rPr>
                <w:color w:val="000000"/>
                <w:sz w:val="21"/>
                <w:szCs w:val="21"/>
              </w:rPr>
              <w:t xml:space="preserve"> </w:t>
            </w:r>
            <w:r>
              <w:rPr>
                <w:rFonts w:hint="eastAsia" w:ascii="宋体" w:hAnsi="宋体"/>
                <w:color w:val="000000"/>
                <w:sz w:val="21"/>
                <w:szCs w:val="21"/>
              </w:rPr>
              <w:t>口；三</w:t>
            </w:r>
            <w:r>
              <w:rPr>
                <w:color w:val="000000"/>
                <w:sz w:val="21"/>
                <w:szCs w:val="21"/>
              </w:rPr>
              <w:t xml:space="preserve"> </w:t>
            </w:r>
            <w:r>
              <w:rPr>
                <w:rFonts w:hint="eastAsia" w:ascii="宋体" w:hAnsi="宋体"/>
                <w:color w:val="000000"/>
                <w:sz w:val="21"/>
                <w:szCs w:val="21"/>
              </w:rPr>
              <w:t>级</w:t>
            </w:r>
            <w:r>
              <w:rPr>
                <w:color w:val="000000"/>
                <w:sz w:val="21"/>
                <w:szCs w:val="21"/>
              </w:rPr>
              <w:t xml:space="preserve"> A </w:t>
            </w:r>
            <w:r>
              <w:rPr>
                <w:rFonts w:hint="eastAsia" w:ascii="宋体" w:hAnsi="宋体"/>
                <w:color w:val="000000"/>
                <w:sz w:val="21"/>
                <w:szCs w:val="21"/>
              </w:rPr>
              <w:t>口</w:t>
            </w:r>
            <w:r>
              <w:rPr>
                <w:rFonts w:hint="eastAsia"/>
                <w:color w:val="000000"/>
                <w:sz w:val="21"/>
                <w:szCs w:val="21"/>
              </w:rPr>
              <w:t>；</w:t>
            </w:r>
            <w:r>
              <w:rPr>
                <w:color w:val="000000"/>
                <w:sz w:val="21"/>
                <w:szCs w:val="21"/>
              </w:rPr>
              <w:t xml:space="preserve"> 三</w:t>
            </w:r>
            <w:r>
              <w:rPr>
                <w:rFonts w:hint="eastAsia" w:ascii="宋体" w:hAnsi="宋体"/>
                <w:color w:val="000000"/>
                <w:sz w:val="21"/>
                <w:szCs w:val="21"/>
              </w:rPr>
              <w:t>级</w:t>
            </w:r>
            <w:r>
              <w:rPr>
                <w:color w:val="000000"/>
                <w:sz w:val="21"/>
                <w:szCs w:val="21"/>
              </w:rPr>
              <w:t xml:space="preserve">B </w:t>
            </w:r>
            <w:r>
              <w:rPr>
                <w:rFonts w:hint="eastAsia" w:ascii="宋体" w:hAnsi="宋体"/>
                <w:color w:val="000000"/>
                <w:sz w:val="21"/>
                <w:szCs w:val="21"/>
              </w:rPr>
              <w:sym w:font="Wingdings" w:char="00FE"/>
            </w:r>
          </w:p>
        </w:tc>
        <w:tc>
          <w:tcPr>
            <w:tcW w:w="4398" w:type="dxa"/>
            <w:gridSpan w:val="7"/>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一级 口；二级</w:t>
            </w:r>
            <w:r>
              <w:rPr>
                <w:color w:val="000000"/>
                <w:sz w:val="21"/>
                <w:szCs w:val="21"/>
              </w:rPr>
              <w:t xml:space="preserve"> </w:t>
            </w:r>
            <w:r>
              <w:rPr>
                <w:rFonts w:hint="eastAsia" w:ascii="宋体" w:hAnsi="宋体"/>
                <w:color w:val="000000"/>
                <w:sz w:val="21"/>
                <w:szCs w:val="21"/>
              </w:rPr>
              <w:t>口；</w:t>
            </w:r>
            <w:r>
              <w:rPr>
                <w:color w:val="000000"/>
                <w:sz w:val="21"/>
                <w:szCs w:val="21"/>
              </w:rPr>
              <w:t xml:space="preserve"> 三</w:t>
            </w:r>
            <w:r>
              <w:rPr>
                <w:rFonts w:hint="eastAsia" w:ascii="宋体" w:hAnsi="宋体"/>
                <w:color w:val="000000"/>
                <w:sz w:val="21"/>
                <w:szCs w:val="21"/>
              </w:rPr>
              <w:t>级</w:t>
            </w:r>
            <w:r>
              <w:rPr>
                <w:color w:val="000000"/>
                <w:sz w:val="21"/>
                <w:szCs w:val="21"/>
              </w:rPr>
              <w:t xml:space="preserve"> </w:t>
            </w:r>
            <w:r>
              <w:rPr>
                <w:rFonts w:hint="eastAsia" w:ascii="宋体" w:hAnsi="宋体"/>
                <w:color w:val="000000"/>
                <w:sz w:val="21"/>
                <w:szCs w:val="21"/>
              </w:rPr>
              <w:t>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60" w:hRule="atLeast"/>
        </w:trPr>
        <w:tc>
          <w:tcPr>
            <w:tcW w:w="2694" w:type="dxa"/>
            <w:gridSpan w:val="2"/>
            <w:vMerge w:val="restart"/>
            <w:shd w:val="clear" w:color="auto" w:fill="auto"/>
            <w:vAlign w:val="center"/>
          </w:tcPr>
          <w:p>
            <w:pPr>
              <w:ind w:firstLine="420"/>
              <w:jc w:val="center"/>
              <w:rPr>
                <w:color w:val="000000"/>
                <w:sz w:val="21"/>
                <w:szCs w:val="21"/>
              </w:rPr>
            </w:pPr>
            <w:r>
              <w:rPr>
                <w:rFonts w:hint="eastAsia"/>
                <w:color w:val="000000"/>
                <w:sz w:val="21"/>
                <w:szCs w:val="21"/>
              </w:rPr>
              <w:t>现状</w:t>
            </w:r>
            <w:r>
              <w:rPr>
                <w:color w:val="000000"/>
                <w:sz w:val="21"/>
                <w:szCs w:val="21"/>
              </w:rPr>
              <w:t>调查</w:t>
            </w:r>
          </w:p>
          <w:p>
            <w:pPr>
              <w:ind w:firstLine="420"/>
              <w:rPr>
                <w:color w:val="000000"/>
                <w:sz w:val="21"/>
                <w:szCs w:val="21"/>
              </w:rPr>
            </w:pPr>
            <w:r>
              <w:rPr>
                <w:rFonts w:ascii="宋体" w:hAnsi="宋体"/>
                <w:color w:val="000000"/>
                <w:sz w:val="21"/>
                <w:szCs w:val="21"/>
              </w:rPr>
              <w:t>　</w:t>
            </w:r>
          </w:p>
        </w:tc>
        <w:tc>
          <w:tcPr>
            <w:tcW w:w="2268" w:type="dxa"/>
            <w:gridSpan w:val="2"/>
            <w:vMerge w:val="restart"/>
            <w:shd w:val="clear" w:color="auto" w:fill="auto"/>
            <w:vAlign w:val="center"/>
          </w:tcPr>
          <w:p>
            <w:pPr>
              <w:ind w:firstLine="420"/>
              <w:jc w:val="center"/>
              <w:rPr>
                <w:color w:val="000000"/>
                <w:sz w:val="21"/>
                <w:szCs w:val="21"/>
              </w:rPr>
            </w:pPr>
            <w:r>
              <w:rPr>
                <w:rFonts w:hint="eastAsia" w:ascii="宋体" w:hAnsi="宋体"/>
                <w:color w:val="000000"/>
                <w:sz w:val="21"/>
                <w:szCs w:val="21"/>
              </w:rPr>
              <w:t>区域污染源</w:t>
            </w:r>
          </w:p>
        </w:tc>
        <w:tc>
          <w:tcPr>
            <w:tcW w:w="5103" w:type="dxa"/>
            <w:gridSpan w:val="6"/>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调查项目</w:t>
            </w:r>
          </w:p>
        </w:tc>
        <w:tc>
          <w:tcPr>
            <w:tcW w:w="4398" w:type="dxa"/>
            <w:gridSpan w:val="7"/>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数据来源</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54" w:hRule="atLeast"/>
        </w:trPr>
        <w:tc>
          <w:tcPr>
            <w:tcW w:w="2694" w:type="dxa"/>
            <w:gridSpan w:val="2"/>
            <w:vMerge w:val="continue"/>
            <w:vAlign w:val="center"/>
          </w:tcPr>
          <w:p>
            <w:pPr>
              <w:ind w:firstLine="420"/>
              <w:rPr>
                <w:color w:val="000000"/>
                <w:sz w:val="21"/>
                <w:szCs w:val="21"/>
              </w:rPr>
            </w:pPr>
          </w:p>
        </w:tc>
        <w:tc>
          <w:tcPr>
            <w:tcW w:w="2268" w:type="dxa"/>
            <w:gridSpan w:val="2"/>
            <w:vMerge w:val="continue"/>
            <w:shd w:val="clear" w:color="auto" w:fill="auto"/>
            <w:vAlign w:val="center"/>
          </w:tcPr>
          <w:p>
            <w:pPr>
              <w:ind w:firstLine="420"/>
              <w:rPr>
                <w:rFonts w:ascii="宋体" w:hAnsi="宋体"/>
                <w:color w:val="000000"/>
                <w:sz w:val="21"/>
                <w:szCs w:val="21"/>
              </w:rPr>
            </w:pPr>
          </w:p>
        </w:tc>
        <w:tc>
          <w:tcPr>
            <w:tcW w:w="3260" w:type="dxa"/>
            <w:gridSpan w:val="4"/>
            <w:shd w:val="clear" w:color="auto" w:fill="auto"/>
            <w:vAlign w:val="center"/>
          </w:tcPr>
          <w:p>
            <w:pPr>
              <w:ind w:firstLine="0" w:firstLineChars="0"/>
              <w:rPr>
                <w:rFonts w:ascii="宋体" w:hAnsi="宋体"/>
                <w:color w:val="000000"/>
                <w:sz w:val="21"/>
                <w:szCs w:val="21"/>
              </w:rPr>
            </w:pPr>
            <w:r>
              <w:rPr>
                <w:rFonts w:hint="eastAsia" w:ascii="宋体" w:hAnsi="宋体"/>
                <w:color w:val="000000"/>
                <w:sz w:val="21"/>
                <w:szCs w:val="21"/>
              </w:rPr>
              <w:t>已建</w:t>
            </w:r>
            <w:r>
              <w:rPr>
                <w:color w:val="000000"/>
                <w:sz w:val="21"/>
                <w:szCs w:val="21"/>
              </w:rPr>
              <w:t xml:space="preserve"> </w:t>
            </w:r>
            <w:r>
              <w:rPr>
                <w:rFonts w:hint="eastAsia" w:ascii="宋体" w:hAnsi="宋体"/>
                <w:color w:val="000000"/>
                <w:sz w:val="21"/>
                <w:szCs w:val="21"/>
              </w:rPr>
              <w:t>口；在建</w:t>
            </w:r>
            <w:r>
              <w:rPr>
                <w:color w:val="000000"/>
                <w:sz w:val="21"/>
                <w:szCs w:val="21"/>
              </w:rPr>
              <w:t xml:space="preserve"> </w:t>
            </w:r>
            <w:r>
              <w:rPr>
                <w:rFonts w:hint="eastAsia" w:ascii="宋体" w:hAnsi="宋体"/>
                <w:color w:val="000000"/>
                <w:sz w:val="21"/>
                <w:szCs w:val="21"/>
              </w:rPr>
              <w:t>口；</w:t>
            </w:r>
            <w:r>
              <w:rPr>
                <w:color w:val="000000"/>
                <w:sz w:val="21"/>
                <w:szCs w:val="21"/>
              </w:rPr>
              <w:t xml:space="preserve"> </w:t>
            </w:r>
            <w:r>
              <w:rPr>
                <w:rFonts w:hint="eastAsia" w:ascii="宋体" w:hAnsi="宋体"/>
                <w:color w:val="000000"/>
                <w:sz w:val="21"/>
                <w:szCs w:val="21"/>
              </w:rPr>
              <w:t>拟建</w:t>
            </w:r>
            <w:r>
              <w:rPr>
                <w:color w:val="000000"/>
                <w:sz w:val="21"/>
                <w:szCs w:val="21"/>
              </w:rPr>
              <w:t xml:space="preserve"> </w:t>
            </w:r>
            <w:r>
              <w:rPr>
                <w:rFonts w:hint="eastAsia" w:ascii="宋体" w:hAnsi="宋体"/>
                <w:color w:val="000000"/>
                <w:sz w:val="21"/>
                <w:szCs w:val="21"/>
              </w:rPr>
              <w:t>口</w:t>
            </w:r>
            <w:r>
              <w:rPr>
                <w:rFonts w:hint="eastAsia"/>
                <w:color w:val="000000"/>
                <w:sz w:val="21"/>
                <w:szCs w:val="21"/>
              </w:rPr>
              <w:t>；</w:t>
            </w:r>
            <w:r>
              <w:rPr>
                <w:rFonts w:hint="eastAsia" w:ascii="宋体" w:hAnsi="宋体"/>
                <w:color w:val="000000"/>
                <w:sz w:val="21"/>
                <w:szCs w:val="21"/>
              </w:rPr>
              <w:t>其他</w:t>
            </w:r>
            <w:r>
              <w:rPr>
                <w:color w:val="000000"/>
                <w:sz w:val="21"/>
                <w:szCs w:val="21"/>
              </w:rPr>
              <w:t xml:space="preserve"> </w:t>
            </w:r>
            <w:r>
              <w:rPr>
                <w:rFonts w:hint="eastAsia" w:ascii="宋体" w:hAnsi="宋体"/>
                <w:color w:val="000000"/>
                <w:sz w:val="21"/>
                <w:szCs w:val="21"/>
              </w:rPr>
              <w:t>口</w:t>
            </w:r>
          </w:p>
        </w:tc>
        <w:tc>
          <w:tcPr>
            <w:tcW w:w="1843" w:type="dxa"/>
            <w:gridSpan w:val="2"/>
            <w:shd w:val="clear" w:color="auto" w:fill="auto"/>
            <w:vAlign w:val="center"/>
          </w:tcPr>
          <w:p>
            <w:pPr>
              <w:ind w:firstLine="0" w:firstLineChars="0"/>
              <w:rPr>
                <w:color w:val="000000"/>
                <w:sz w:val="21"/>
                <w:szCs w:val="21"/>
              </w:rPr>
            </w:pPr>
            <w:r>
              <w:rPr>
                <w:rFonts w:hint="eastAsia" w:ascii="宋体" w:hAnsi="宋体"/>
                <w:color w:val="000000"/>
                <w:sz w:val="21"/>
                <w:szCs w:val="21"/>
              </w:rPr>
              <w:t>拟替代的污染源</w:t>
            </w:r>
            <w:r>
              <w:rPr>
                <w:color w:val="000000"/>
                <w:sz w:val="21"/>
                <w:szCs w:val="21"/>
              </w:rPr>
              <w:t xml:space="preserve"> </w:t>
            </w:r>
            <w:r>
              <w:rPr>
                <w:rFonts w:hint="eastAsia" w:ascii="宋体" w:hAnsi="宋体"/>
                <w:color w:val="000000"/>
                <w:sz w:val="21"/>
                <w:szCs w:val="21"/>
              </w:rPr>
              <w:t>口</w:t>
            </w:r>
          </w:p>
        </w:tc>
        <w:tc>
          <w:tcPr>
            <w:tcW w:w="4398" w:type="dxa"/>
            <w:gridSpan w:val="7"/>
            <w:shd w:val="clear" w:color="auto" w:fill="auto"/>
            <w:vAlign w:val="center"/>
          </w:tcPr>
          <w:p>
            <w:pPr>
              <w:ind w:firstLine="0" w:firstLineChars="0"/>
              <w:rPr>
                <w:rFonts w:ascii="宋体" w:hAnsi="宋体"/>
                <w:color w:val="000000"/>
                <w:sz w:val="21"/>
                <w:szCs w:val="21"/>
              </w:rPr>
            </w:pPr>
            <w:r>
              <w:rPr>
                <w:rFonts w:hint="eastAsia" w:ascii="宋体" w:hAnsi="宋体"/>
                <w:color w:val="000000"/>
                <w:sz w:val="21"/>
                <w:szCs w:val="21"/>
              </w:rPr>
              <w:t>排污许可证</w:t>
            </w:r>
            <w:r>
              <w:rPr>
                <w:color w:val="000000"/>
                <w:sz w:val="21"/>
                <w:szCs w:val="21"/>
              </w:rPr>
              <w:t xml:space="preserve"> </w:t>
            </w:r>
            <w:r>
              <w:rPr>
                <w:rFonts w:hint="eastAsia" w:ascii="宋体" w:hAnsi="宋体"/>
                <w:color w:val="000000"/>
                <w:sz w:val="21"/>
                <w:szCs w:val="21"/>
              </w:rPr>
              <w:t>口</w:t>
            </w:r>
            <w:r>
              <w:rPr>
                <w:rFonts w:hint="eastAsia"/>
                <w:color w:val="000000"/>
                <w:sz w:val="21"/>
                <w:szCs w:val="21"/>
              </w:rPr>
              <w:t>；</w:t>
            </w:r>
            <w:r>
              <w:rPr>
                <w:rFonts w:hint="eastAsia" w:ascii="宋体" w:hAnsi="宋体"/>
                <w:color w:val="000000"/>
                <w:sz w:val="21"/>
                <w:szCs w:val="21"/>
              </w:rPr>
              <w:t>环评</w:t>
            </w:r>
            <w:r>
              <w:rPr>
                <w:color w:val="000000"/>
                <w:sz w:val="21"/>
                <w:szCs w:val="21"/>
              </w:rPr>
              <w:t xml:space="preserve"> </w:t>
            </w:r>
            <w:r>
              <w:rPr>
                <w:rFonts w:hint="eastAsia" w:ascii="宋体" w:hAnsi="宋体"/>
                <w:color w:val="000000"/>
                <w:sz w:val="21"/>
                <w:szCs w:val="21"/>
              </w:rPr>
              <w:t>口；环保验收</w:t>
            </w:r>
            <w:r>
              <w:rPr>
                <w:color w:val="000000"/>
                <w:sz w:val="21"/>
                <w:szCs w:val="21"/>
              </w:rPr>
              <w:t xml:space="preserve"> </w:t>
            </w:r>
            <w:r>
              <w:rPr>
                <w:rFonts w:hint="eastAsia" w:ascii="宋体" w:hAnsi="宋体"/>
                <w:color w:val="000000"/>
                <w:sz w:val="21"/>
                <w:szCs w:val="21"/>
              </w:rPr>
              <w:t>口；既有实现</w:t>
            </w:r>
            <w:r>
              <w:rPr>
                <w:rFonts w:hint="eastAsia"/>
                <w:color w:val="000000"/>
                <w:sz w:val="21"/>
                <w:szCs w:val="21"/>
              </w:rPr>
              <w:t xml:space="preserve">测 </w:t>
            </w:r>
            <w:r>
              <w:rPr>
                <w:rFonts w:hint="eastAsia" w:ascii="宋体" w:hAnsi="宋体"/>
                <w:color w:val="000000"/>
                <w:sz w:val="21"/>
                <w:szCs w:val="21"/>
              </w:rPr>
              <w:t>口</w:t>
            </w:r>
            <w:r>
              <w:rPr>
                <w:rFonts w:hint="eastAsia"/>
                <w:color w:val="000000"/>
                <w:sz w:val="21"/>
                <w:szCs w:val="21"/>
              </w:rPr>
              <w:t>；</w:t>
            </w:r>
            <w:r>
              <w:rPr>
                <w:rFonts w:hint="eastAsia" w:ascii="宋体" w:hAnsi="宋体"/>
                <w:color w:val="000000"/>
                <w:sz w:val="21"/>
                <w:szCs w:val="21"/>
              </w:rPr>
              <w:t>现场监测 口；入河排放口数据</w:t>
            </w:r>
            <w:r>
              <w:rPr>
                <w:color w:val="000000"/>
                <w:sz w:val="21"/>
                <w:szCs w:val="21"/>
              </w:rPr>
              <w:t xml:space="preserve">  </w:t>
            </w:r>
            <w:r>
              <w:rPr>
                <w:rFonts w:hint="eastAsia" w:ascii="宋体" w:hAnsi="宋体"/>
                <w:color w:val="000000"/>
                <w:sz w:val="21"/>
                <w:szCs w:val="21"/>
              </w:rPr>
              <w:t>口</w:t>
            </w:r>
            <w:r>
              <w:rPr>
                <w:rFonts w:hint="eastAsia"/>
                <w:color w:val="000000"/>
                <w:sz w:val="21"/>
                <w:szCs w:val="21"/>
              </w:rPr>
              <w:t xml:space="preserve">； </w:t>
            </w:r>
            <w:r>
              <w:rPr>
                <w:rFonts w:hint="eastAsia" w:ascii="宋体" w:hAnsi="宋体"/>
                <w:color w:val="000000"/>
                <w:sz w:val="21"/>
                <w:szCs w:val="21"/>
              </w:rPr>
              <w:t>其他口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541" w:hRule="atLeast"/>
        </w:trPr>
        <w:tc>
          <w:tcPr>
            <w:tcW w:w="2694" w:type="dxa"/>
            <w:gridSpan w:val="2"/>
            <w:vMerge w:val="continue"/>
            <w:vAlign w:val="center"/>
          </w:tcPr>
          <w:p>
            <w:pPr>
              <w:ind w:firstLine="420"/>
              <w:rPr>
                <w:color w:val="000000"/>
                <w:sz w:val="21"/>
                <w:szCs w:val="21"/>
              </w:rPr>
            </w:pPr>
          </w:p>
        </w:tc>
        <w:tc>
          <w:tcPr>
            <w:tcW w:w="2268" w:type="dxa"/>
            <w:gridSpan w:val="2"/>
            <w:vMerge w:val="restart"/>
            <w:shd w:val="clear" w:color="auto" w:fill="auto"/>
            <w:vAlign w:val="center"/>
          </w:tcPr>
          <w:p>
            <w:pPr>
              <w:ind w:firstLine="420"/>
              <w:jc w:val="center"/>
              <w:rPr>
                <w:color w:val="000000"/>
                <w:sz w:val="21"/>
                <w:szCs w:val="21"/>
              </w:rPr>
            </w:pPr>
            <w:r>
              <w:rPr>
                <w:color w:val="000000"/>
                <w:sz w:val="21"/>
                <w:szCs w:val="21"/>
              </w:rPr>
              <w:t>　</w:t>
            </w:r>
            <w:r>
              <w:rPr>
                <w:rFonts w:hint="eastAsia" w:ascii="宋体" w:hAnsi="宋体"/>
                <w:color w:val="000000"/>
                <w:sz w:val="21"/>
                <w:szCs w:val="21"/>
              </w:rPr>
              <w:t>受影响水体水环境质量</w:t>
            </w:r>
          </w:p>
        </w:tc>
        <w:tc>
          <w:tcPr>
            <w:tcW w:w="5103" w:type="dxa"/>
            <w:gridSpan w:val="6"/>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调查时期</w:t>
            </w:r>
          </w:p>
        </w:tc>
        <w:tc>
          <w:tcPr>
            <w:tcW w:w="4398" w:type="dxa"/>
            <w:gridSpan w:val="7"/>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数据来源</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337" w:hRule="atLeast"/>
        </w:trPr>
        <w:tc>
          <w:tcPr>
            <w:tcW w:w="2694" w:type="dxa"/>
            <w:gridSpan w:val="2"/>
            <w:vMerge w:val="continue"/>
            <w:vAlign w:val="center"/>
          </w:tcPr>
          <w:p>
            <w:pPr>
              <w:ind w:firstLine="420"/>
              <w:rPr>
                <w:color w:val="000000"/>
                <w:sz w:val="21"/>
                <w:szCs w:val="21"/>
              </w:rPr>
            </w:pPr>
          </w:p>
        </w:tc>
        <w:tc>
          <w:tcPr>
            <w:tcW w:w="2268" w:type="dxa"/>
            <w:gridSpan w:val="2"/>
            <w:vMerge w:val="continue"/>
            <w:shd w:val="clear" w:color="auto" w:fill="auto"/>
            <w:vAlign w:val="center"/>
          </w:tcPr>
          <w:p>
            <w:pPr>
              <w:ind w:firstLine="420"/>
              <w:rPr>
                <w:rFonts w:ascii="宋体" w:hAnsi="宋体"/>
                <w:color w:val="000000"/>
                <w:sz w:val="21"/>
                <w:szCs w:val="21"/>
              </w:rPr>
            </w:pPr>
          </w:p>
        </w:tc>
        <w:tc>
          <w:tcPr>
            <w:tcW w:w="5103" w:type="dxa"/>
            <w:gridSpan w:val="6"/>
            <w:shd w:val="clear" w:color="auto" w:fill="auto"/>
            <w:vAlign w:val="center"/>
          </w:tcPr>
          <w:p>
            <w:pPr>
              <w:ind w:firstLine="0" w:firstLineChars="0"/>
              <w:rPr>
                <w:color w:val="000000"/>
                <w:sz w:val="21"/>
                <w:szCs w:val="21"/>
              </w:rPr>
            </w:pPr>
            <w:r>
              <w:rPr>
                <w:rFonts w:hint="eastAsia"/>
                <w:color w:val="000000"/>
                <w:sz w:val="21"/>
                <w:szCs w:val="21"/>
              </w:rPr>
              <w:t>丰</w:t>
            </w:r>
            <w:r>
              <w:rPr>
                <w:rFonts w:hint="eastAsia" w:ascii="宋体" w:hAnsi="宋体"/>
                <w:color w:val="000000"/>
                <w:sz w:val="21"/>
                <w:szCs w:val="21"/>
              </w:rPr>
              <w:t>水期</w:t>
            </w:r>
            <w:r>
              <w:rPr>
                <w:color w:val="000000"/>
                <w:sz w:val="21"/>
                <w:szCs w:val="21"/>
              </w:rPr>
              <w:t xml:space="preserve"> </w:t>
            </w:r>
            <w:r>
              <w:rPr>
                <w:rFonts w:hint="eastAsia" w:ascii="宋体" w:hAnsi="宋体"/>
                <w:color w:val="000000"/>
                <w:sz w:val="21"/>
                <w:szCs w:val="21"/>
              </w:rPr>
              <w:sym w:font="Wingdings" w:char="00FE"/>
            </w:r>
            <w:r>
              <w:rPr>
                <w:rFonts w:hint="eastAsia"/>
                <w:color w:val="000000"/>
                <w:sz w:val="21"/>
                <w:szCs w:val="21"/>
              </w:rPr>
              <w:t>；</w:t>
            </w:r>
            <w:r>
              <w:rPr>
                <w:rFonts w:hint="eastAsia" w:ascii="宋体" w:hAnsi="宋体"/>
                <w:color w:val="000000"/>
                <w:sz w:val="21"/>
                <w:szCs w:val="21"/>
              </w:rPr>
              <w:t>平水期</w:t>
            </w:r>
            <w:r>
              <w:rPr>
                <w:color w:val="000000"/>
                <w:sz w:val="21"/>
                <w:szCs w:val="21"/>
              </w:rPr>
              <w:t xml:space="preserve"> </w:t>
            </w:r>
            <w:r>
              <w:rPr>
                <w:rFonts w:hint="eastAsia" w:ascii="宋体" w:hAnsi="宋体"/>
                <w:color w:val="000000"/>
                <w:sz w:val="21"/>
                <w:szCs w:val="21"/>
              </w:rPr>
              <w:sym w:font="Wingdings" w:char="00FE"/>
            </w:r>
            <w:r>
              <w:rPr>
                <w:rFonts w:hint="eastAsia" w:ascii="宋体" w:hAnsi="宋体"/>
                <w:color w:val="000000"/>
                <w:sz w:val="21"/>
                <w:szCs w:val="21"/>
              </w:rPr>
              <w:t>；</w:t>
            </w:r>
            <w:r>
              <w:rPr>
                <w:color w:val="000000"/>
                <w:sz w:val="21"/>
                <w:szCs w:val="21"/>
              </w:rPr>
              <w:t xml:space="preserve"> </w:t>
            </w:r>
            <w:r>
              <w:rPr>
                <w:rFonts w:hint="eastAsia" w:ascii="宋体" w:hAnsi="宋体"/>
                <w:color w:val="000000"/>
                <w:sz w:val="21"/>
                <w:szCs w:val="21"/>
              </w:rPr>
              <w:t>枯水期</w:t>
            </w:r>
            <w:r>
              <w:rPr>
                <w:color w:val="000000"/>
                <w:sz w:val="21"/>
                <w:szCs w:val="21"/>
              </w:rPr>
              <w:t xml:space="preserve"> </w:t>
            </w:r>
            <w:r>
              <w:rPr>
                <w:rFonts w:hint="eastAsia" w:ascii="宋体" w:hAnsi="宋体"/>
                <w:color w:val="000000"/>
                <w:sz w:val="21"/>
                <w:szCs w:val="21"/>
              </w:rPr>
              <w:sym w:font="Wingdings" w:char="00FE"/>
            </w:r>
            <w:r>
              <w:rPr>
                <w:rFonts w:hint="eastAsia" w:ascii="宋体" w:hAnsi="宋体"/>
                <w:color w:val="000000"/>
                <w:sz w:val="21"/>
                <w:szCs w:val="21"/>
              </w:rPr>
              <w:t>；</w:t>
            </w:r>
            <w:r>
              <w:rPr>
                <w:color w:val="000000"/>
                <w:sz w:val="21"/>
                <w:szCs w:val="21"/>
              </w:rPr>
              <w:t xml:space="preserve"> </w:t>
            </w:r>
            <w:r>
              <w:rPr>
                <w:rFonts w:hint="eastAsia" w:ascii="宋体" w:hAnsi="宋体"/>
                <w:color w:val="000000"/>
                <w:sz w:val="21"/>
                <w:szCs w:val="21"/>
              </w:rPr>
              <w:t>冰封期</w:t>
            </w:r>
            <w:r>
              <w:rPr>
                <w:color w:val="000000"/>
                <w:sz w:val="21"/>
                <w:szCs w:val="21"/>
              </w:rPr>
              <w:t xml:space="preserve"> </w:t>
            </w:r>
            <w:r>
              <w:rPr>
                <w:rFonts w:hint="eastAsia" w:ascii="宋体" w:hAnsi="宋体"/>
                <w:color w:val="000000"/>
                <w:sz w:val="21"/>
                <w:szCs w:val="21"/>
              </w:rPr>
              <w:t>口</w:t>
            </w:r>
          </w:p>
          <w:p>
            <w:pPr>
              <w:ind w:firstLine="199" w:firstLineChars="95"/>
              <w:rPr>
                <w:color w:val="000000"/>
                <w:sz w:val="21"/>
                <w:szCs w:val="21"/>
              </w:rPr>
            </w:pPr>
            <w:r>
              <w:rPr>
                <w:rFonts w:hint="eastAsia" w:ascii="宋体" w:hAnsi="宋体"/>
                <w:color w:val="000000"/>
                <w:sz w:val="21"/>
                <w:szCs w:val="21"/>
              </w:rPr>
              <w:t>春季</w:t>
            </w:r>
            <w:r>
              <w:rPr>
                <w:color w:val="000000"/>
                <w:sz w:val="21"/>
                <w:szCs w:val="21"/>
              </w:rPr>
              <w:t xml:space="preserve"> </w:t>
            </w:r>
            <w:r>
              <w:rPr>
                <w:rFonts w:hint="eastAsia" w:ascii="宋体" w:hAnsi="宋体"/>
                <w:color w:val="000000"/>
                <w:sz w:val="21"/>
                <w:szCs w:val="21"/>
              </w:rPr>
              <w:sym w:font="Wingdings" w:char="00FE"/>
            </w:r>
            <w:r>
              <w:rPr>
                <w:rFonts w:hint="eastAsia" w:ascii="宋体" w:hAnsi="宋体"/>
                <w:color w:val="000000"/>
                <w:sz w:val="21"/>
                <w:szCs w:val="21"/>
              </w:rPr>
              <w:t>；夏季</w:t>
            </w:r>
            <w:r>
              <w:rPr>
                <w:color w:val="000000"/>
                <w:sz w:val="21"/>
                <w:szCs w:val="21"/>
              </w:rPr>
              <w:t xml:space="preserve"> </w:t>
            </w:r>
            <w:r>
              <w:rPr>
                <w:rFonts w:hint="eastAsia" w:ascii="宋体" w:hAnsi="宋体"/>
                <w:color w:val="000000"/>
                <w:sz w:val="21"/>
                <w:szCs w:val="21"/>
              </w:rPr>
              <w:sym w:font="Wingdings" w:char="00FE"/>
            </w:r>
            <w:r>
              <w:rPr>
                <w:rFonts w:hint="eastAsia" w:ascii="宋体" w:hAnsi="宋体"/>
                <w:color w:val="000000"/>
                <w:sz w:val="21"/>
                <w:szCs w:val="21"/>
              </w:rPr>
              <w:t>；</w:t>
            </w:r>
            <w:r>
              <w:rPr>
                <w:color w:val="000000"/>
                <w:sz w:val="21"/>
                <w:szCs w:val="21"/>
              </w:rPr>
              <w:t xml:space="preserve"> </w:t>
            </w:r>
            <w:r>
              <w:rPr>
                <w:rFonts w:hint="eastAsia" w:ascii="宋体" w:hAnsi="宋体"/>
                <w:color w:val="000000"/>
                <w:sz w:val="21"/>
                <w:szCs w:val="21"/>
              </w:rPr>
              <w:t>秋季</w:t>
            </w:r>
            <w:r>
              <w:rPr>
                <w:color w:val="000000"/>
                <w:sz w:val="21"/>
                <w:szCs w:val="21"/>
              </w:rPr>
              <w:t xml:space="preserve"> </w:t>
            </w:r>
            <w:r>
              <w:rPr>
                <w:rFonts w:hint="eastAsia" w:ascii="宋体" w:hAnsi="宋体"/>
                <w:color w:val="000000"/>
                <w:sz w:val="21"/>
                <w:szCs w:val="21"/>
              </w:rPr>
              <w:sym w:font="Wingdings" w:char="00FE"/>
            </w:r>
            <w:r>
              <w:rPr>
                <w:rFonts w:hint="eastAsia"/>
                <w:color w:val="000000"/>
                <w:sz w:val="21"/>
                <w:szCs w:val="21"/>
              </w:rPr>
              <w:t>；</w:t>
            </w:r>
            <w:r>
              <w:rPr>
                <w:rFonts w:hint="eastAsia" w:ascii="宋体" w:hAnsi="宋体"/>
                <w:color w:val="000000"/>
                <w:sz w:val="21"/>
                <w:szCs w:val="21"/>
              </w:rPr>
              <w:t>冬季</w:t>
            </w:r>
            <w:r>
              <w:rPr>
                <w:color w:val="000000"/>
                <w:sz w:val="21"/>
                <w:szCs w:val="21"/>
              </w:rPr>
              <w:t xml:space="preserve"> </w:t>
            </w:r>
            <w:r>
              <w:rPr>
                <w:rFonts w:hint="eastAsia" w:ascii="宋体" w:hAnsi="宋体"/>
                <w:color w:val="000000"/>
                <w:sz w:val="21"/>
                <w:szCs w:val="21"/>
              </w:rPr>
              <w:sym w:font="Wingdings" w:char="00FE"/>
            </w:r>
          </w:p>
        </w:tc>
        <w:tc>
          <w:tcPr>
            <w:tcW w:w="4398" w:type="dxa"/>
            <w:gridSpan w:val="7"/>
            <w:shd w:val="clear" w:color="auto" w:fill="auto"/>
            <w:vAlign w:val="center"/>
          </w:tcPr>
          <w:p>
            <w:pPr>
              <w:ind w:firstLine="0" w:firstLineChars="0"/>
              <w:rPr>
                <w:color w:val="000000"/>
                <w:sz w:val="21"/>
                <w:szCs w:val="21"/>
              </w:rPr>
            </w:pPr>
            <w:r>
              <w:rPr>
                <w:rFonts w:hint="eastAsia" w:ascii="宋体" w:hAnsi="宋体"/>
                <w:color w:val="000000"/>
                <w:sz w:val="21"/>
                <w:szCs w:val="21"/>
              </w:rPr>
              <w:t>生态环境保护主管部门</w:t>
            </w:r>
            <w:r>
              <w:rPr>
                <w:color w:val="000000"/>
                <w:sz w:val="21"/>
                <w:szCs w:val="21"/>
              </w:rPr>
              <w:t xml:space="preserve"> </w:t>
            </w:r>
            <w:r>
              <w:rPr>
                <w:rFonts w:hint="eastAsia" w:ascii="宋体" w:hAnsi="宋体"/>
                <w:color w:val="000000"/>
                <w:sz w:val="21"/>
                <w:szCs w:val="21"/>
              </w:rPr>
              <w:sym w:font="Wingdings" w:char="00FE"/>
            </w:r>
            <w:r>
              <w:rPr>
                <w:rFonts w:hint="eastAsia" w:ascii="宋体" w:hAnsi="宋体"/>
                <w:color w:val="000000"/>
                <w:sz w:val="21"/>
                <w:szCs w:val="21"/>
              </w:rPr>
              <w:t>；补充监测</w:t>
            </w:r>
            <w:r>
              <w:rPr>
                <w:color w:val="000000"/>
                <w:sz w:val="21"/>
                <w:szCs w:val="21"/>
              </w:rPr>
              <w:t xml:space="preserve"> </w:t>
            </w:r>
            <w:r>
              <w:rPr>
                <w:rFonts w:hint="eastAsia" w:ascii="宋体" w:hAnsi="宋体"/>
                <w:color w:val="000000"/>
                <w:sz w:val="21"/>
                <w:szCs w:val="21"/>
              </w:rPr>
              <w:t>口；</w:t>
            </w:r>
            <w:r>
              <w:rPr>
                <w:color w:val="000000"/>
                <w:sz w:val="21"/>
                <w:szCs w:val="21"/>
              </w:rPr>
              <w:t xml:space="preserve"> </w:t>
            </w:r>
            <w:r>
              <w:rPr>
                <w:rFonts w:hint="eastAsia" w:ascii="宋体" w:hAnsi="宋体"/>
                <w:color w:val="000000"/>
                <w:sz w:val="21"/>
                <w:szCs w:val="21"/>
              </w:rPr>
              <w:t>其他</w:t>
            </w:r>
            <w:r>
              <w:rPr>
                <w:color w:val="000000"/>
                <w:sz w:val="21"/>
                <w:szCs w:val="21"/>
              </w:rPr>
              <w:t xml:space="preserve"> </w:t>
            </w:r>
            <w:r>
              <w:rPr>
                <w:rFonts w:hint="eastAsia" w:ascii="宋体" w:hAnsi="宋体"/>
                <w:color w:val="000000"/>
                <w:sz w:val="21"/>
                <w:szCs w:val="21"/>
              </w:rPr>
              <w:t>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416" w:hRule="atLeast"/>
        </w:trPr>
        <w:tc>
          <w:tcPr>
            <w:tcW w:w="2694" w:type="dxa"/>
            <w:gridSpan w:val="2"/>
            <w:vMerge w:val="continue"/>
            <w:vAlign w:val="center"/>
          </w:tcPr>
          <w:p>
            <w:pPr>
              <w:ind w:firstLine="420"/>
              <w:rPr>
                <w:color w:val="000000"/>
                <w:sz w:val="21"/>
                <w:szCs w:val="21"/>
              </w:rPr>
            </w:pPr>
          </w:p>
        </w:tc>
        <w:tc>
          <w:tcPr>
            <w:tcW w:w="2268" w:type="dxa"/>
            <w:gridSpan w:val="2"/>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区域水资源开发利用状况</w:t>
            </w:r>
          </w:p>
        </w:tc>
        <w:tc>
          <w:tcPr>
            <w:tcW w:w="9501" w:type="dxa"/>
            <w:gridSpan w:val="13"/>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未开发</w:t>
            </w:r>
            <w:r>
              <w:rPr>
                <w:color w:val="000000"/>
                <w:sz w:val="21"/>
                <w:szCs w:val="21"/>
              </w:rPr>
              <w:t xml:space="preserve"> </w:t>
            </w:r>
            <w:r>
              <w:rPr>
                <w:rFonts w:hint="eastAsia" w:ascii="宋体" w:hAnsi="宋体"/>
                <w:color w:val="000000"/>
                <w:sz w:val="21"/>
                <w:szCs w:val="21"/>
              </w:rPr>
              <w:t>口</w:t>
            </w:r>
            <w:r>
              <w:rPr>
                <w:rFonts w:hint="eastAsia"/>
                <w:color w:val="000000"/>
                <w:sz w:val="21"/>
                <w:szCs w:val="21"/>
              </w:rPr>
              <w:t>；</w:t>
            </w:r>
            <w:r>
              <w:rPr>
                <w:rFonts w:hint="eastAsia" w:ascii="宋体" w:hAnsi="宋体"/>
                <w:color w:val="000000"/>
                <w:sz w:val="21"/>
                <w:szCs w:val="21"/>
              </w:rPr>
              <w:t>开发量</w:t>
            </w:r>
            <w:r>
              <w:rPr>
                <w:color w:val="000000"/>
                <w:sz w:val="21"/>
                <w:szCs w:val="21"/>
              </w:rPr>
              <w:t>40%</w:t>
            </w:r>
            <w:r>
              <w:rPr>
                <w:rFonts w:hint="eastAsia" w:ascii="宋体" w:hAnsi="宋体"/>
                <w:color w:val="000000"/>
                <w:sz w:val="21"/>
                <w:szCs w:val="21"/>
              </w:rPr>
              <w:t>以下</w:t>
            </w:r>
            <w:r>
              <w:rPr>
                <w:color w:val="000000"/>
                <w:sz w:val="21"/>
                <w:szCs w:val="21"/>
              </w:rPr>
              <w:t xml:space="preserve"> </w:t>
            </w:r>
            <w:r>
              <w:rPr>
                <w:rFonts w:hint="eastAsia" w:ascii="宋体" w:hAnsi="宋体"/>
                <w:color w:val="000000"/>
                <w:sz w:val="21"/>
                <w:szCs w:val="21"/>
              </w:rPr>
              <w:t>口</w:t>
            </w:r>
            <w:r>
              <w:rPr>
                <w:rFonts w:hint="eastAsia"/>
                <w:color w:val="000000"/>
                <w:sz w:val="21"/>
                <w:szCs w:val="21"/>
              </w:rPr>
              <w:t>；</w:t>
            </w:r>
            <w:r>
              <w:rPr>
                <w:rFonts w:hint="eastAsia" w:ascii="宋体" w:hAnsi="宋体"/>
                <w:color w:val="000000"/>
                <w:sz w:val="21"/>
                <w:szCs w:val="21"/>
              </w:rPr>
              <w:t>开发量</w:t>
            </w:r>
            <w:r>
              <w:rPr>
                <w:color w:val="000000"/>
                <w:sz w:val="21"/>
                <w:szCs w:val="21"/>
              </w:rPr>
              <w:t>40%</w:t>
            </w:r>
            <w:r>
              <w:rPr>
                <w:rFonts w:hint="eastAsia" w:ascii="宋体" w:hAnsi="宋体"/>
                <w:color w:val="000000"/>
                <w:sz w:val="21"/>
                <w:szCs w:val="21"/>
              </w:rPr>
              <w:t>以上</w:t>
            </w:r>
            <w:r>
              <w:rPr>
                <w:color w:val="000000"/>
                <w:sz w:val="21"/>
                <w:szCs w:val="21"/>
              </w:rPr>
              <w:t xml:space="preserve"> </w:t>
            </w:r>
            <w:r>
              <w:rPr>
                <w:rFonts w:hint="eastAsia" w:ascii="宋体" w:hAnsi="宋体"/>
                <w:color w:val="000000"/>
                <w:sz w:val="21"/>
                <w:szCs w:val="21"/>
              </w:rPr>
              <w:t>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634" w:hRule="atLeast"/>
        </w:trPr>
        <w:tc>
          <w:tcPr>
            <w:tcW w:w="2694" w:type="dxa"/>
            <w:gridSpan w:val="2"/>
            <w:vMerge w:val="continue"/>
            <w:vAlign w:val="center"/>
          </w:tcPr>
          <w:p>
            <w:pPr>
              <w:ind w:firstLine="420"/>
              <w:rPr>
                <w:color w:val="000000"/>
                <w:sz w:val="21"/>
                <w:szCs w:val="21"/>
              </w:rPr>
            </w:pPr>
          </w:p>
        </w:tc>
        <w:tc>
          <w:tcPr>
            <w:tcW w:w="2268" w:type="dxa"/>
            <w:gridSpan w:val="2"/>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水文情势调查</w:t>
            </w:r>
          </w:p>
        </w:tc>
        <w:tc>
          <w:tcPr>
            <w:tcW w:w="5103" w:type="dxa"/>
            <w:gridSpan w:val="6"/>
            <w:shd w:val="clear" w:color="auto" w:fill="auto"/>
            <w:vAlign w:val="center"/>
          </w:tcPr>
          <w:p>
            <w:pPr>
              <w:ind w:firstLine="0" w:firstLineChars="0"/>
              <w:rPr>
                <w:rFonts w:ascii="宋体" w:hAnsi="宋体"/>
                <w:color w:val="000000"/>
                <w:sz w:val="21"/>
                <w:szCs w:val="21"/>
              </w:rPr>
            </w:pPr>
            <w:r>
              <w:rPr>
                <w:rFonts w:hint="eastAsia" w:ascii="宋体" w:hAnsi="宋体"/>
                <w:color w:val="000000"/>
                <w:sz w:val="21"/>
                <w:szCs w:val="21"/>
              </w:rPr>
              <w:t>丰水期</w:t>
            </w:r>
            <w:r>
              <w:rPr>
                <w:rFonts w:ascii="宋体" w:hAnsi="宋体"/>
                <w:color w:val="000000"/>
                <w:sz w:val="21"/>
                <w:szCs w:val="21"/>
              </w:rPr>
              <w:t xml:space="preserve"> </w:t>
            </w:r>
            <w:r>
              <w:rPr>
                <w:rFonts w:hint="eastAsia" w:ascii="宋体" w:hAnsi="宋体"/>
                <w:color w:val="000000"/>
                <w:sz w:val="21"/>
                <w:szCs w:val="21"/>
              </w:rPr>
              <w:t>口；平水期</w:t>
            </w:r>
            <w:r>
              <w:rPr>
                <w:rFonts w:ascii="宋体" w:hAnsi="宋体"/>
                <w:color w:val="000000"/>
                <w:sz w:val="21"/>
                <w:szCs w:val="21"/>
              </w:rPr>
              <w:t xml:space="preserve"> </w:t>
            </w:r>
            <w:r>
              <w:rPr>
                <w:rFonts w:hint="eastAsia" w:ascii="宋体" w:hAnsi="宋体"/>
                <w:color w:val="000000"/>
                <w:sz w:val="21"/>
                <w:szCs w:val="21"/>
              </w:rPr>
              <w:t>口；枯水</w:t>
            </w:r>
            <w:r>
              <w:rPr>
                <w:rFonts w:ascii="宋体" w:hAnsi="宋体"/>
                <w:color w:val="000000"/>
                <w:sz w:val="21"/>
                <w:szCs w:val="21"/>
              </w:rPr>
              <w:t xml:space="preserve">期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冰封期</w:t>
            </w:r>
            <w:r>
              <w:rPr>
                <w:rFonts w:ascii="宋体" w:hAnsi="宋体"/>
                <w:color w:val="000000"/>
                <w:sz w:val="21"/>
                <w:szCs w:val="21"/>
              </w:rPr>
              <w:t xml:space="preserve"> </w:t>
            </w:r>
            <w:r>
              <w:rPr>
                <w:rFonts w:hint="eastAsia" w:ascii="宋体" w:hAnsi="宋体"/>
                <w:color w:val="000000"/>
                <w:sz w:val="21"/>
                <w:szCs w:val="21"/>
              </w:rPr>
              <w:t>口</w:t>
            </w:r>
          </w:p>
          <w:p>
            <w:pPr>
              <w:ind w:firstLine="420"/>
              <w:rPr>
                <w:rFonts w:ascii="宋体" w:hAnsi="宋体"/>
                <w:color w:val="000000"/>
                <w:sz w:val="21"/>
                <w:szCs w:val="21"/>
              </w:rPr>
            </w:pPr>
            <w:r>
              <w:rPr>
                <w:rFonts w:hint="eastAsia" w:ascii="宋体" w:hAnsi="宋体"/>
                <w:color w:val="000000"/>
                <w:sz w:val="21"/>
                <w:szCs w:val="21"/>
              </w:rPr>
              <w:t>春季</w:t>
            </w:r>
            <w:r>
              <w:rPr>
                <w:rFonts w:ascii="宋体" w:hAnsi="宋体"/>
                <w:color w:val="000000"/>
                <w:sz w:val="21"/>
                <w:szCs w:val="21"/>
              </w:rPr>
              <w:t xml:space="preserve"> </w:t>
            </w:r>
            <w:r>
              <w:rPr>
                <w:rFonts w:hint="eastAsia" w:ascii="宋体" w:hAnsi="宋体"/>
                <w:color w:val="000000"/>
                <w:sz w:val="21"/>
                <w:szCs w:val="21"/>
              </w:rPr>
              <w:t>口；夏季</w:t>
            </w:r>
            <w:r>
              <w:rPr>
                <w:rFonts w:ascii="宋体" w:hAnsi="宋体"/>
                <w:color w:val="000000"/>
                <w:sz w:val="21"/>
                <w:szCs w:val="21"/>
              </w:rPr>
              <w:t xml:space="preserve"> </w:t>
            </w:r>
            <w:r>
              <w:rPr>
                <w:rFonts w:hint="eastAsia" w:ascii="宋体" w:hAnsi="宋体"/>
                <w:color w:val="000000"/>
                <w:sz w:val="21"/>
                <w:szCs w:val="21"/>
              </w:rPr>
              <w:t>口；秋季</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冬季</w:t>
            </w:r>
            <w:r>
              <w:rPr>
                <w:rFonts w:ascii="宋体" w:hAnsi="宋体"/>
                <w:color w:val="000000"/>
                <w:sz w:val="21"/>
                <w:szCs w:val="21"/>
              </w:rPr>
              <w:t xml:space="preserve"> </w:t>
            </w:r>
            <w:r>
              <w:rPr>
                <w:rFonts w:hint="eastAsia" w:ascii="宋体" w:hAnsi="宋体"/>
                <w:color w:val="000000"/>
                <w:sz w:val="21"/>
                <w:szCs w:val="21"/>
              </w:rPr>
              <w:t>口</w:t>
            </w:r>
          </w:p>
        </w:tc>
        <w:tc>
          <w:tcPr>
            <w:tcW w:w="4398" w:type="dxa"/>
            <w:gridSpan w:val="7"/>
            <w:shd w:val="clear" w:color="auto" w:fill="auto"/>
            <w:vAlign w:val="center"/>
          </w:tcPr>
          <w:p>
            <w:pPr>
              <w:ind w:firstLine="0" w:firstLineChars="0"/>
              <w:rPr>
                <w:rFonts w:ascii="宋体" w:hAnsi="宋体"/>
                <w:color w:val="000000"/>
                <w:sz w:val="21"/>
                <w:szCs w:val="21"/>
              </w:rPr>
            </w:pPr>
            <w:r>
              <w:rPr>
                <w:rFonts w:hint="eastAsia" w:ascii="宋体" w:hAnsi="宋体"/>
                <w:color w:val="000000"/>
                <w:sz w:val="21"/>
                <w:szCs w:val="21"/>
              </w:rPr>
              <w:t>水行政主管部门</w:t>
            </w:r>
            <w:r>
              <w:rPr>
                <w:rFonts w:ascii="宋体" w:hAnsi="宋体"/>
                <w:color w:val="000000"/>
                <w:sz w:val="21"/>
                <w:szCs w:val="21"/>
              </w:rPr>
              <w:t xml:space="preserve"> </w:t>
            </w:r>
            <w:r>
              <w:rPr>
                <w:rFonts w:hint="eastAsia" w:ascii="宋体" w:hAnsi="宋体"/>
                <w:color w:val="000000"/>
                <w:sz w:val="21"/>
                <w:szCs w:val="21"/>
              </w:rPr>
              <w:t>口；补充监测</w:t>
            </w:r>
            <w:r>
              <w:rPr>
                <w:rFonts w:ascii="宋体" w:hAnsi="宋体"/>
                <w:color w:val="000000"/>
                <w:sz w:val="21"/>
                <w:szCs w:val="21"/>
              </w:rPr>
              <w:t xml:space="preserve"> </w:t>
            </w:r>
            <w:r>
              <w:rPr>
                <w:rFonts w:hint="eastAsia" w:ascii="宋体" w:hAnsi="宋体"/>
                <w:color w:val="000000"/>
                <w:sz w:val="21"/>
                <w:szCs w:val="21"/>
              </w:rPr>
              <w:t>口；其他</w:t>
            </w:r>
            <w:r>
              <w:rPr>
                <w:rFonts w:ascii="宋体" w:hAnsi="宋体"/>
                <w:color w:val="000000"/>
                <w:sz w:val="21"/>
                <w:szCs w:val="21"/>
              </w:rPr>
              <w:t xml:space="preserve"> </w:t>
            </w:r>
            <w:r>
              <w:rPr>
                <w:rFonts w:hint="eastAsia" w:ascii="宋体" w:hAnsi="宋体"/>
                <w:color w:val="000000"/>
                <w:sz w:val="21"/>
                <w:szCs w:val="21"/>
              </w:rPr>
              <w:t>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117" w:hRule="atLeast"/>
        </w:trPr>
        <w:tc>
          <w:tcPr>
            <w:tcW w:w="2694" w:type="dxa"/>
            <w:gridSpan w:val="2"/>
            <w:vMerge w:val="continue"/>
            <w:vAlign w:val="center"/>
          </w:tcPr>
          <w:p>
            <w:pPr>
              <w:ind w:firstLine="420"/>
              <w:rPr>
                <w:rFonts w:ascii="宋体" w:hAnsi="宋体"/>
                <w:color w:val="000000"/>
                <w:sz w:val="21"/>
                <w:szCs w:val="21"/>
              </w:rPr>
            </w:pPr>
          </w:p>
        </w:tc>
        <w:tc>
          <w:tcPr>
            <w:tcW w:w="2268" w:type="dxa"/>
            <w:gridSpan w:val="2"/>
            <w:vMerge w:val="restart"/>
            <w:shd w:val="clear" w:color="auto" w:fill="auto"/>
            <w:vAlign w:val="center"/>
          </w:tcPr>
          <w:p>
            <w:pPr>
              <w:ind w:firstLine="420"/>
              <w:rPr>
                <w:rFonts w:ascii="宋体" w:hAnsi="宋体"/>
                <w:color w:val="000000"/>
                <w:sz w:val="21"/>
                <w:szCs w:val="21"/>
              </w:rPr>
            </w:pPr>
            <w:r>
              <w:rPr>
                <w:rFonts w:ascii="宋体" w:hAnsi="宋体"/>
                <w:color w:val="000000"/>
                <w:sz w:val="21"/>
                <w:szCs w:val="21"/>
              </w:rPr>
              <w:t>　</w:t>
            </w:r>
            <w:r>
              <w:rPr>
                <w:rFonts w:hint="eastAsia" w:ascii="宋体" w:hAnsi="宋体"/>
                <w:color w:val="000000"/>
                <w:sz w:val="21"/>
                <w:szCs w:val="21"/>
              </w:rPr>
              <w:t>补充监测</w:t>
            </w:r>
          </w:p>
        </w:tc>
        <w:tc>
          <w:tcPr>
            <w:tcW w:w="5103" w:type="dxa"/>
            <w:gridSpan w:val="6"/>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监测时期</w:t>
            </w:r>
          </w:p>
        </w:tc>
        <w:tc>
          <w:tcPr>
            <w:tcW w:w="1842" w:type="dxa"/>
            <w:gridSpan w:val="4"/>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监测因子</w:t>
            </w:r>
          </w:p>
        </w:tc>
        <w:tc>
          <w:tcPr>
            <w:tcW w:w="2556" w:type="dxa"/>
            <w:gridSpan w:val="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监测断面或点位</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54" w:hRule="atLeast"/>
        </w:trPr>
        <w:tc>
          <w:tcPr>
            <w:tcW w:w="2694" w:type="dxa"/>
            <w:gridSpan w:val="2"/>
            <w:vMerge w:val="continue"/>
            <w:vAlign w:val="center"/>
          </w:tcPr>
          <w:p>
            <w:pPr>
              <w:ind w:firstLine="420"/>
              <w:rPr>
                <w:rFonts w:ascii="宋体" w:hAnsi="宋体"/>
                <w:color w:val="000000"/>
                <w:sz w:val="21"/>
                <w:szCs w:val="21"/>
              </w:rPr>
            </w:pPr>
          </w:p>
        </w:tc>
        <w:tc>
          <w:tcPr>
            <w:tcW w:w="2268" w:type="dxa"/>
            <w:gridSpan w:val="2"/>
            <w:vMerge w:val="continue"/>
            <w:shd w:val="clear" w:color="auto" w:fill="auto"/>
            <w:vAlign w:val="center"/>
          </w:tcPr>
          <w:p>
            <w:pPr>
              <w:ind w:firstLine="420"/>
              <w:rPr>
                <w:rFonts w:ascii="宋体" w:hAnsi="宋体"/>
                <w:color w:val="000000"/>
                <w:sz w:val="21"/>
                <w:szCs w:val="21"/>
              </w:rPr>
            </w:pPr>
          </w:p>
        </w:tc>
        <w:tc>
          <w:tcPr>
            <w:tcW w:w="5103" w:type="dxa"/>
            <w:gridSpan w:val="6"/>
            <w:shd w:val="clear" w:color="auto" w:fill="auto"/>
            <w:vAlign w:val="center"/>
          </w:tcPr>
          <w:p>
            <w:pPr>
              <w:ind w:firstLine="0" w:firstLineChars="0"/>
              <w:rPr>
                <w:rFonts w:ascii="宋体" w:hAnsi="宋体"/>
                <w:color w:val="000000"/>
                <w:sz w:val="21"/>
                <w:szCs w:val="21"/>
              </w:rPr>
            </w:pPr>
            <w:r>
              <w:rPr>
                <w:rFonts w:hint="eastAsia" w:ascii="宋体" w:hAnsi="宋体"/>
                <w:color w:val="000000"/>
                <w:sz w:val="21"/>
                <w:szCs w:val="21"/>
              </w:rPr>
              <w:t>丰水期</w:t>
            </w:r>
            <w:r>
              <w:rPr>
                <w:rFonts w:ascii="宋体" w:hAnsi="宋体"/>
                <w:color w:val="000000"/>
                <w:sz w:val="21"/>
                <w:szCs w:val="21"/>
              </w:rPr>
              <w:t xml:space="preserve"> </w:t>
            </w:r>
            <w:r>
              <w:rPr>
                <w:rFonts w:hint="eastAsia" w:ascii="宋体" w:hAnsi="宋体"/>
                <w:color w:val="000000"/>
                <w:sz w:val="21"/>
                <w:szCs w:val="21"/>
              </w:rPr>
              <w:t>口；平水期</w:t>
            </w:r>
            <w:r>
              <w:rPr>
                <w:rFonts w:ascii="宋体" w:hAnsi="宋体"/>
                <w:color w:val="000000"/>
                <w:sz w:val="21"/>
                <w:szCs w:val="21"/>
              </w:rPr>
              <w:t xml:space="preserve"> </w:t>
            </w:r>
            <w:r>
              <w:rPr>
                <w:rFonts w:hint="eastAsia" w:ascii="宋体" w:hAnsi="宋体"/>
                <w:color w:val="000000"/>
                <w:sz w:val="21"/>
                <w:szCs w:val="21"/>
              </w:rPr>
              <w:t>口；枯水</w:t>
            </w:r>
            <w:r>
              <w:rPr>
                <w:rFonts w:ascii="宋体" w:hAnsi="宋体"/>
                <w:color w:val="000000"/>
                <w:sz w:val="21"/>
                <w:szCs w:val="21"/>
              </w:rPr>
              <w:t xml:space="preserve">期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冰封期</w:t>
            </w:r>
            <w:r>
              <w:rPr>
                <w:rFonts w:ascii="宋体" w:hAnsi="宋体"/>
                <w:color w:val="000000"/>
                <w:sz w:val="21"/>
                <w:szCs w:val="21"/>
              </w:rPr>
              <w:t xml:space="preserve"> </w:t>
            </w:r>
            <w:r>
              <w:rPr>
                <w:rFonts w:hint="eastAsia" w:ascii="宋体" w:hAnsi="宋体"/>
                <w:color w:val="000000"/>
                <w:sz w:val="21"/>
                <w:szCs w:val="21"/>
              </w:rPr>
              <w:t>口</w:t>
            </w:r>
          </w:p>
          <w:p>
            <w:pPr>
              <w:ind w:firstLine="199" w:firstLineChars="95"/>
              <w:rPr>
                <w:rFonts w:ascii="宋体" w:hAnsi="宋体"/>
                <w:color w:val="000000"/>
                <w:sz w:val="21"/>
                <w:szCs w:val="21"/>
              </w:rPr>
            </w:pPr>
            <w:r>
              <w:rPr>
                <w:rFonts w:hint="eastAsia" w:ascii="宋体" w:hAnsi="宋体"/>
                <w:color w:val="000000"/>
                <w:sz w:val="21"/>
                <w:szCs w:val="21"/>
              </w:rPr>
              <w:t>春季</w:t>
            </w:r>
            <w:r>
              <w:rPr>
                <w:rFonts w:ascii="宋体" w:hAnsi="宋体"/>
                <w:color w:val="000000"/>
                <w:sz w:val="21"/>
                <w:szCs w:val="21"/>
              </w:rPr>
              <w:t xml:space="preserve"> </w:t>
            </w:r>
            <w:r>
              <w:rPr>
                <w:rFonts w:hint="eastAsia" w:ascii="宋体" w:hAnsi="宋体"/>
                <w:color w:val="000000"/>
                <w:sz w:val="21"/>
                <w:szCs w:val="21"/>
              </w:rPr>
              <w:t>口；夏季</w:t>
            </w:r>
            <w:r>
              <w:rPr>
                <w:rFonts w:ascii="宋体" w:hAnsi="宋体"/>
                <w:color w:val="000000"/>
                <w:sz w:val="21"/>
                <w:szCs w:val="21"/>
              </w:rPr>
              <w:t xml:space="preserve"> </w:t>
            </w:r>
            <w:r>
              <w:rPr>
                <w:rFonts w:hint="eastAsia" w:ascii="宋体" w:hAnsi="宋体"/>
                <w:color w:val="000000"/>
                <w:sz w:val="21"/>
                <w:szCs w:val="21"/>
              </w:rPr>
              <w:t>口；秋季</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冬季</w:t>
            </w:r>
            <w:r>
              <w:rPr>
                <w:rFonts w:ascii="宋体" w:hAnsi="宋体"/>
                <w:color w:val="000000"/>
                <w:sz w:val="21"/>
                <w:szCs w:val="21"/>
              </w:rPr>
              <w:t xml:space="preserve"> </w:t>
            </w:r>
            <w:r>
              <w:rPr>
                <w:rFonts w:hint="eastAsia" w:ascii="宋体" w:hAnsi="宋体"/>
                <w:color w:val="000000"/>
                <w:sz w:val="21"/>
                <w:szCs w:val="21"/>
              </w:rPr>
              <w:t>口</w:t>
            </w:r>
          </w:p>
        </w:tc>
        <w:tc>
          <w:tcPr>
            <w:tcW w:w="1842" w:type="dxa"/>
            <w:gridSpan w:val="4"/>
            <w:shd w:val="clear" w:color="auto" w:fill="auto"/>
            <w:vAlign w:val="center"/>
          </w:tcPr>
          <w:p>
            <w:pPr>
              <w:ind w:firstLine="420"/>
              <w:rPr>
                <w:rFonts w:ascii="宋体" w:hAnsi="宋体"/>
                <w:color w:val="000000"/>
                <w:sz w:val="21"/>
                <w:szCs w:val="21"/>
              </w:rPr>
            </w:pPr>
            <w:r>
              <w:rPr>
                <w:rFonts w:ascii="宋体" w:hAnsi="宋体"/>
                <w:color w:val="000000"/>
                <w:sz w:val="21"/>
                <w:szCs w:val="21"/>
              </w:rPr>
              <w:t>　</w:t>
            </w:r>
            <w:r>
              <w:rPr>
                <w:rFonts w:hint="eastAsia" w:ascii="宋体" w:hAnsi="宋体"/>
                <w:color w:val="000000"/>
                <w:sz w:val="21"/>
                <w:szCs w:val="21"/>
              </w:rPr>
              <w:t>（）</w:t>
            </w:r>
          </w:p>
        </w:tc>
        <w:tc>
          <w:tcPr>
            <w:tcW w:w="2556" w:type="dxa"/>
            <w:gridSpan w:val="3"/>
            <w:shd w:val="clear" w:color="auto" w:fill="auto"/>
            <w:vAlign w:val="center"/>
          </w:tcPr>
          <w:p>
            <w:pPr>
              <w:ind w:firstLine="0" w:firstLineChars="0"/>
              <w:rPr>
                <w:rFonts w:ascii="宋体" w:hAnsi="宋体"/>
                <w:color w:val="000000"/>
                <w:sz w:val="21"/>
                <w:szCs w:val="21"/>
              </w:rPr>
            </w:pPr>
            <w:r>
              <w:rPr>
                <w:rFonts w:hint="eastAsia" w:ascii="宋体" w:hAnsi="宋体"/>
                <w:color w:val="000000"/>
                <w:sz w:val="21"/>
                <w:szCs w:val="21"/>
              </w:rPr>
              <w:t>监测测断面或点位个数</w:t>
            </w:r>
          </w:p>
          <w:p>
            <w:pPr>
              <w:ind w:firstLine="420"/>
              <w:rPr>
                <w:rFonts w:ascii="宋体" w:hAnsi="宋体"/>
                <w:color w:val="000000"/>
                <w:sz w:val="21"/>
                <w:szCs w:val="21"/>
              </w:rPr>
            </w:pPr>
            <w:r>
              <w:rPr>
                <w:rFonts w:hint="eastAsia" w:ascii="宋体" w:hAnsi="宋体"/>
                <w:color w:val="000000"/>
                <w:sz w:val="21"/>
                <w:szCs w:val="21"/>
              </w:rPr>
              <w:t>（</w:t>
            </w:r>
            <w:r>
              <w:rPr>
                <w:rFonts w:ascii="宋体" w:hAnsi="宋体"/>
                <w:color w:val="000000"/>
                <w:sz w:val="21"/>
                <w:szCs w:val="21"/>
              </w:rPr>
              <w:t>2</w:t>
            </w:r>
            <w:r>
              <w:rPr>
                <w:rFonts w:hint="eastAsia" w:ascii="宋体" w:hAnsi="宋体"/>
                <w:color w:val="000000"/>
                <w:sz w:val="21"/>
                <w:szCs w:val="21"/>
              </w:rPr>
              <w:t>）个</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480" w:hRule="atLeast"/>
        </w:trPr>
        <w:tc>
          <w:tcPr>
            <w:tcW w:w="2694" w:type="dxa"/>
            <w:gridSpan w:val="2"/>
            <w:vMerge w:val="restart"/>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现状</w:t>
            </w:r>
            <w:r>
              <w:rPr>
                <w:rFonts w:ascii="宋体" w:hAnsi="宋体"/>
                <w:color w:val="000000"/>
                <w:sz w:val="21"/>
                <w:szCs w:val="21"/>
              </w:rPr>
              <w:t>评价</w:t>
            </w:r>
          </w:p>
        </w:tc>
        <w:tc>
          <w:tcPr>
            <w:tcW w:w="2268" w:type="dxa"/>
            <w:gridSpan w:val="2"/>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评价范围</w:t>
            </w:r>
          </w:p>
        </w:tc>
        <w:tc>
          <w:tcPr>
            <w:tcW w:w="9501" w:type="dxa"/>
            <w:gridSpan w:val="1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河流长度（）</w:t>
            </w:r>
            <w:r>
              <w:rPr>
                <w:rFonts w:ascii="宋体" w:hAnsi="宋体"/>
                <w:color w:val="000000"/>
                <w:sz w:val="21"/>
                <w:szCs w:val="21"/>
              </w:rPr>
              <w:t>km</w:t>
            </w:r>
            <w:r>
              <w:rPr>
                <w:rFonts w:hint="eastAsia" w:ascii="宋体" w:hAnsi="宋体"/>
                <w:color w:val="000000"/>
                <w:sz w:val="21"/>
                <w:szCs w:val="21"/>
              </w:rPr>
              <w:t xml:space="preserve">； </w:t>
            </w:r>
            <w:r>
              <w:rPr>
                <w:rFonts w:ascii="宋体" w:hAnsi="宋体"/>
                <w:color w:val="000000"/>
                <w:sz w:val="21"/>
                <w:szCs w:val="21"/>
              </w:rPr>
              <w:t>湖</w:t>
            </w:r>
            <w:r>
              <w:rPr>
                <w:rFonts w:hint="eastAsia" w:ascii="宋体" w:hAnsi="宋体"/>
                <w:color w:val="000000"/>
                <w:sz w:val="21"/>
                <w:szCs w:val="21"/>
              </w:rPr>
              <w:t>明库、河口及近岸海域面积（）</w:t>
            </w:r>
            <w:r>
              <w:rPr>
                <w:rFonts w:ascii="宋体" w:hAnsi="宋体"/>
                <w:color w:val="000000"/>
                <w:sz w:val="21"/>
                <w:szCs w:val="21"/>
              </w:rPr>
              <w:t>km</w:t>
            </w:r>
            <w:r>
              <w:rPr>
                <w:rFonts w:hint="eastAsia" w:ascii="宋体" w:hAnsi="宋体"/>
                <w:color w:val="000000"/>
                <w:sz w:val="21"/>
                <w:szCs w:val="21"/>
              </w:rPr>
              <w:t>²</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10" w:hRule="atLeast"/>
        </w:trPr>
        <w:tc>
          <w:tcPr>
            <w:tcW w:w="2694" w:type="dxa"/>
            <w:gridSpan w:val="2"/>
            <w:vMerge w:val="continue"/>
            <w:shd w:val="clear" w:color="auto" w:fill="auto"/>
            <w:vAlign w:val="center"/>
          </w:tcPr>
          <w:p>
            <w:pPr>
              <w:ind w:firstLine="420"/>
              <w:jc w:val="center"/>
              <w:rPr>
                <w:rFonts w:ascii="宋体" w:hAnsi="宋体"/>
                <w:color w:val="000000"/>
                <w:sz w:val="21"/>
                <w:szCs w:val="21"/>
              </w:rPr>
            </w:pPr>
          </w:p>
        </w:tc>
        <w:tc>
          <w:tcPr>
            <w:tcW w:w="2268" w:type="dxa"/>
            <w:gridSpan w:val="2"/>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评价因子</w:t>
            </w:r>
          </w:p>
        </w:tc>
        <w:tc>
          <w:tcPr>
            <w:tcW w:w="9501" w:type="dxa"/>
            <w:gridSpan w:val="1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0" w:hRule="atLeast"/>
        </w:trPr>
        <w:tc>
          <w:tcPr>
            <w:tcW w:w="2694" w:type="dxa"/>
            <w:gridSpan w:val="2"/>
            <w:vMerge w:val="continue"/>
            <w:shd w:val="clear" w:color="auto" w:fill="auto"/>
            <w:vAlign w:val="center"/>
          </w:tcPr>
          <w:p>
            <w:pPr>
              <w:ind w:firstLine="420"/>
              <w:jc w:val="center"/>
              <w:rPr>
                <w:rFonts w:ascii="宋体" w:hAnsi="宋体"/>
                <w:color w:val="000000"/>
                <w:sz w:val="21"/>
                <w:szCs w:val="21"/>
              </w:rPr>
            </w:pPr>
          </w:p>
        </w:tc>
        <w:tc>
          <w:tcPr>
            <w:tcW w:w="2268" w:type="dxa"/>
            <w:gridSpan w:val="2"/>
            <w:vMerge w:val="restart"/>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评价标准</w:t>
            </w:r>
          </w:p>
        </w:tc>
        <w:tc>
          <w:tcPr>
            <w:tcW w:w="9501" w:type="dxa"/>
            <w:gridSpan w:val="1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河流、湖库河口</w:t>
            </w:r>
            <w:r>
              <w:rPr>
                <w:rFonts w:ascii="宋体" w:hAnsi="宋体"/>
                <w:color w:val="000000"/>
                <w:sz w:val="21"/>
                <w:szCs w:val="21"/>
              </w:rPr>
              <w:t xml:space="preserve"> I</w:t>
            </w:r>
            <w:r>
              <w:rPr>
                <w:rFonts w:hint="eastAsia" w:ascii="宋体" w:hAnsi="宋体"/>
                <w:color w:val="000000"/>
                <w:sz w:val="21"/>
                <w:szCs w:val="21"/>
              </w:rPr>
              <w:t>类</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II</w:t>
            </w:r>
            <w:r>
              <w:rPr>
                <w:rFonts w:hint="eastAsia" w:ascii="宋体" w:hAnsi="宋体"/>
                <w:color w:val="000000"/>
                <w:sz w:val="21"/>
                <w:szCs w:val="21"/>
              </w:rPr>
              <w:t>类口；I</w:t>
            </w:r>
            <w:r>
              <w:rPr>
                <w:rFonts w:ascii="宋体" w:hAnsi="宋体"/>
                <w:color w:val="000000"/>
                <w:sz w:val="21"/>
                <w:szCs w:val="21"/>
              </w:rPr>
              <w:t>II</w:t>
            </w:r>
            <w:r>
              <w:rPr>
                <w:rFonts w:hint="eastAsia" w:ascii="宋体" w:hAnsi="宋体"/>
                <w:color w:val="000000"/>
                <w:sz w:val="21"/>
                <w:szCs w:val="21"/>
              </w:rPr>
              <w:t>类</w:t>
            </w:r>
            <w:r>
              <w:rPr>
                <w:rFonts w:hint="eastAsia" w:ascii="宋体" w:hAnsi="宋体"/>
                <w:color w:val="000000"/>
                <w:sz w:val="21"/>
                <w:szCs w:val="21"/>
              </w:rPr>
              <w:sym w:font="Wingdings" w:char="00FE"/>
            </w:r>
            <w:r>
              <w:rPr>
                <w:rFonts w:hint="eastAsia" w:ascii="宋体" w:hAnsi="宋体"/>
                <w:color w:val="000000"/>
                <w:sz w:val="21"/>
                <w:szCs w:val="21"/>
              </w:rPr>
              <w:t>；</w:t>
            </w:r>
            <w:r>
              <w:rPr>
                <w:rFonts w:ascii="宋体" w:hAnsi="宋体"/>
                <w:color w:val="000000"/>
                <w:sz w:val="21"/>
                <w:szCs w:val="21"/>
              </w:rPr>
              <w:t>IV</w:t>
            </w:r>
            <w:r>
              <w:rPr>
                <w:rFonts w:hint="eastAsia" w:ascii="宋体" w:hAnsi="宋体"/>
                <w:color w:val="000000"/>
                <w:sz w:val="21"/>
                <w:szCs w:val="21"/>
              </w:rPr>
              <w:t>类</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V</w:t>
            </w:r>
            <w:r>
              <w:rPr>
                <w:rFonts w:hint="eastAsia" w:ascii="宋体" w:hAnsi="宋体"/>
                <w:color w:val="000000"/>
                <w:sz w:val="21"/>
                <w:szCs w:val="21"/>
              </w:rPr>
              <w:t>类</w:t>
            </w:r>
            <w:r>
              <w:rPr>
                <w:rFonts w:ascii="宋体" w:hAnsi="宋体"/>
                <w:color w:val="000000"/>
                <w:sz w:val="21"/>
                <w:szCs w:val="21"/>
              </w:rPr>
              <w:t xml:space="preserve"> </w:t>
            </w:r>
            <w:r>
              <w:rPr>
                <w:rFonts w:hint="eastAsia" w:ascii="宋体" w:hAnsi="宋体"/>
                <w:color w:val="000000"/>
                <w:sz w:val="21"/>
                <w:szCs w:val="21"/>
              </w:rPr>
              <w:t>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0" w:hRule="atLeast"/>
        </w:trPr>
        <w:tc>
          <w:tcPr>
            <w:tcW w:w="2694" w:type="dxa"/>
            <w:gridSpan w:val="2"/>
            <w:vMerge w:val="continue"/>
            <w:shd w:val="clear" w:color="auto" w:fill="auto"/>
            <w:vAlign w:val="center"/>
          </w:tcPr>
          <w:p>
            <w:pPr>
              <w:ind w:firstLine="420"/>
              <w:jc w:val="center"/>
              <w:rPr>
                <w:rFonts w:ascii="宋体" w:hAnsi="宋体"/>
                <w:color w:val="000000"/>
                <w:sz w:val="21"/>
                <w:szCs w:val="21"/>
              </w:rPr>
            </w:pPr>
          </w:p>
        </w:tc>
        <w:tc>
          <w:tcPr>
            <w:tcW w:w="2268" w:type="dxa"/>
            <w:gridSpan w:val="2"/>
            <w:vMerge w:val="continue"/>
            <w:shd w:val="clear" w:color="auto" w:fill="auto"/>
            <w:vAlign w:val="center"/>
          </w:tcPr>
          <w:p>
            <w:pPr>
              <w:ind w:firstLine="420"/>
              <w:jc w:val="center"/>
              <w:rPr>
                <w:rFonts w:ascii="宋体" w:hAnsi="宋体"/>
                <w:color w:val="000000"/>
                <w:sz w:val="21"/>
                <w:szCs w:val="21"/>
              </w:rPr>
            </w:pPr>
          </w:p>
        </w:tc>
        <w:tc>
          <w:tcPr>
            <w:tcW w:w="9501" w:type="dxa"/>
            <w:gridSpan w:val="1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近岸海域第一类</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第二类</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第一类</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第四类</w:t>
            </w:r>
            <w:r>
              <w:rPr>
                <w:rFonts w:ascii="宋体" w:hAnsi="宋体"/>
                <w:color w:val="000000"/>
                <w:sz w:val="21"/>
                <w:szCs w:val="21"/>
              </w:rPr>
              <w:t xml:space="preserve"> </w:t>
            </w:r>
            <w:r>
              <w:rPr>
                <w:rFonts w:hint="eastAsia" w:ascii="宋体" w:hAnsi="宋体"/>
                <w:color w:val="000000"/>
                <w:sz w:val="21"/>
                <w:szCs w:val="21"/>
              </w:rPr>
              <w:t>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10" w:hRule="atLeast"/>
        </w:trPr>
        <w:tc>
          <w:tcPr>
            <w:tcW w:w="2694" w:type="dxa"/>
            <w:gridSpan w:val="2"/>
            <w:vMerge w:val="continue"/>
            <w:shd w:val="clear" w:color="auto" w:fill="auto"/>
            <w:vAlign w:val="center"/>
          </w:tcPr>
          <w:p>
            <w:pPr>
              <w:ind w:firstLine="420"/>
              <w:jc w:val="center"/>
              <w:rPr>
                <w:rFonts w:ascii="宋体" w:hAnsi="宋体"/>
                <w:color w:val="000000"/>
                <w:sz w:val="21"/>
                <w:szCs w:val="21"/>
              </w:rPr>
            </w:pPr>
          </w:p>
        </w:tc>
        <w:tc>
          <w:tcPr>
            <w:tcW w:w="2268" w:type="dxa"/>
            <w:gridSpan w:val="2"/>
            <w:vMerge w:val="continue"/>
            <w:shd w:val="clear" w:color="auto" w:fill="auto"/>
            <w:vAlign w:val="center"/>
          </w:tcPr>
          <w:p>
            <w:pPr>
              <w:ind w:firstLine="420"/>
              <w:jc w:val="center"/>
              <w:rPr>
                <w:rFonts w:ascii="宋体" w:hAnsi="宋体"/>
                <w:color w:val="000000"/>
                <w:sz w:val="21"/>
                <w:szCs w:val="21"/>
              </w:rPr>
            </w:pPr>
          </w:p>
        </w:tc>
        <w:tc>
          <w:tcPr>
            <w:tcW w:w="9501" w:type="dxa"/>
            <w:gridSpan w:val="1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规划年评价标准（）</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966" w:hRule="atLeast"/>
        </w:trPr>
        <w:tc>
          <w:tcPr>
            <w:tcW w:w="2694" w:type="dxa"/>
            <w:gridSpan w:val="2"/>
            <w:vMerge w:val="continue"/>
            <w:shd w:val="clear" w:color="auto" w:fill="auto"/>
          </w:tcPr>
          <w:p>
            <w:pPr>
              <w:ind w:firstLine="420"/>
              <w:jc w:val="center"/>
              <w:rPr>
                <w:rFonts w:ascii="宋体" w:hAnsi="宋体"/>
                <w:color w:val="000000"/>
                <w:sz w:val="21"/>
                <w:szCs w:val="21"/>
              </w:rPr>
            </w:pPr>
          </w:p>
        </w:tc>
        <w:tc>
          <w:tcPr>
            <w:tcW w:w="2268" w:type="dxa"/>
            <w:gridSpan w:val="2"/>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评价时期</w:t>
            </w:r>
          </w:p>
        </w:tc>
        <w:tc>
          <w:tcPr>
            <w:tcW w:w="9501" w:type="dxa"/>
            <w:gridSpan w:val="1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丰水期</w:t>
            </w:r>
            <w:r>
              <w:rPr>
                <w:rFonts w:ascii="宋体" w:hAnsi="宋体"/>
                <w:color w:val="000000"/>
                <w:sz w:val="21"/>
                <w:szCs w:val="21"/>
              </w:rPr>
              <w:t xml:space="preserve"> </w:t>
            </w:r>
            <w:r>
              <w:rPr>
                <w:rFonts w:hint="eastAsia" w:ascii="宋体" w:hAnsi="宋体"/>
                <w:color w:val="000000"/>
                <w:sz w:val="21"/>
                <w:szCs w:val="21"/>
              </w:rPr>
              <w:t>口；平水期</w:t>
            </w:r>
            <w:r>
              <w:rPr>
                <w:rFonts w:ascii="宋体" w:hAnsi="宋体"/>
                <w:color w:val="000000"/>
                <w:sz w:val="21"/>
                <w:szCs w:val="21"/>
              </w:rPr>
              <w:t xml:space="preserve"> </w:t>
            </w:r>
            <w:r>
              <w:rPr>
                <w:rFonts w:hint="eastAsia" w:ascii="宋体" w:hAnsi="宋体"/>
                <w:color w:val="000000"/>
                <w:sz w:val="21"/>
                <w:szCs w:val="21"/>
              </w:rPr>
              <w:t>口；枯水</w:t>
            </w:r>
            <w:r>
              <w:rPr>
                <w:rFonts w:ascii="宋体" w:hAnsi="宋体"/>
                <w:color w:val="000000"/>
                <w:sz w:val="21"/>
                <w:szCs w:val="21"/>
              </w:rPr>
              <w:t xml:space="preserve">期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冰封期</w:t>
            </w:r>
            <w:r>
              <w:rPr>
                <w:rFonts w:ascii="宋体" w:hAnsi="宋体"/>
                <w:color w:val="000000"/>
                <w:sz w:val="21"/>
                <w:szCs w:val="21"/>
              </w:rPr>
              <w:t xml:space="preserve"> </w:t>
            </w:r>
            <w:r>
              <w:rPr>
                <w:rFonts w:hint="eastAsia" w:ascii="宋体" w:hAnsi="宋体"/>
                <w:color w:val="000000"/>
                <w:sz w:val="21"/>
                <w:szCs w:val="21"/>
              </w:rPr>
              <w:t>口</w:t>
            </w:r>
          </w:p>
          <w:p>
            <w:pPr>
              <w:ind w:firstLine="420"/>
              <w:rPr>
                <w:rFonts w:ascii="宋体" w:hAnsi="宋体"/>
                <w:color w:val="000000"/>
                <w:sz w:val="21"/>
                <w:szCs w:val="21"/>
              </w:rPr>
            </w:pPr>
            <w:r>
              <w:rPr>
                <w:rFonts w:ascii="宋体" w:hAnsi="宋体"/>
                <w:color w:val="000000"/>
                <w:sz w:val="21"/>
                <w:szCs w:val="21"/>
              </w:rPr>
              <w:t>　</w:t>
            </w:r>
            <w:r>
              <w:rPr>
                <w:rFonts w:hint="eastAsia" w:ascii="宋体" w:hAnsi="宋体"/>
                <w:color w:val="000000"/>
                <w:sz w:val="21"/>
                <w:szCs w:val="21"/>
              </w:rPr>
              <w:t>春季</w:t>
            </w:r>
            <w:r>
              <w:rPr>
                <w:rFonts w:ascii="宋体" w:hAnsi="宋体"/>
                <w:color w:val="000000"/>
                <w:sz w:val="21"/>
                <w:szCs w:val="21"/>
              </w:rPr>
              <w:t xml:space="preserve"> </w:t>
            </w:r>
            <w:r>
              <w:rPr>
                <w:rFonts w:hint="eastAsia" w:ascii="宋体" w:hAnsi="宋体"/>
                <w:color w:val="000000"/>
                <w:sz w:val="21"/>
                <w:szCs w:val="21"/>
              </w:rPr>
              <w:t>口；夏季</w:t>
            </w:r>
            <w:r>
              <w:rPr>
                <w:rFonts w:ascii="宋体" w:hAnsi="宋体"/>
                <w:color w:val="000000"/>
                <w:sz w:val="21"/>
                <w:szCs w:val="21"/>
              </w:rPr>
              <w:t xml:space="preserve"> </w:t>
            </w:r>
            <w:r>
              <w:rPr>
                <w:rFonts w:hint="eastAsia" w:ascii="宋体" w:hAnsi="宋体"/>
                <w:color w:val="000000"/>
                <w:sz w:val="21"/>
                <w:szCs w:val="21"/>
              </w:rPr>
              <w:t>口；秋季</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冬季</w:t>
            </w:r>
            <w:r>
              <w:rPr>
                <w:rFonts w:ascii="宋体" w:hAnsi="宋体"/>
                <w:color w:val="000000"/>
                <w:sz w:val="21"/>
                <w:szCs w:val="21"/>
              </w:rPr>
              <w:t xml:space="preserve"> </w:t>
            </w:r>
            <w:r>
              <w:rPr>
                <w:rFonts w:hint="eastAsia" w:ascii="宋体" w:hAnsi="宋体"/>
                <w:color w:val="000000"/>
                <w:sz w:val="21"/>
                <w:szCs w:val="21"/>
              </w:rPr>
              <w:t>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798" w:hRule="atLeast"/>
        </w:trPr>
        <w:tc>
          <w:tcPr>
            <w:tcW w:w="2694" w:type="dxa"/>
            <w:gridSpan w:val="2"/>
            <w:vMerge w:val="continue"/>
            <w:shd w:val="clear" w:color="auto" w:fill="auto"/>
          </w:tcPr>
          <w:p>
            <w:pPr>
              <w:ind w:firstLine="420"/>
              <w:jc w:val="center"/>
              <w:rPr>
                <w:rFonts w:ascii="宋体" w:hAnsi="宋体"/>
                <w:color w:val="000000"/>
                <w:sz w:val="21"/>
                <w:szCs w:val="21"/>
              </w:rPr>
            </w:pPr>
          </w:p>
        </w:tc>
        <w:tc>
          <w:tcPr>
            <w:tcW w:w="2268" w:type="dxa"/>
            <w:gridSpan w:val="2"/>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评价结论</w:t>
            </w:r>
          </w:p>
        </w:tc>
        <w:tc>
          <w:tcPr>
            <w:tcW w:w="7446" w:type="dxa"/>
            <w:gridSpan w:val="11"/>
            <w:shd w:val="clear" w:color="auto" w:fill="auto"/>
            <w:vAlign w:val="center"/>
          </w:tcPr>
          <w:p>
            <w:pPr>
              <w:spacing w:line="240" w:lineRule="auto"/>
              <w:ind w:firstLine="0" w:firstLineChars="0"/>
              <w:rPr>
                <w:rFonts w:ascii="宋体" w:hAnsi="宋体"/>
                <w:color w:val="000000"/>
                <w:sz w:val="21"/>
                <w:szCs w:val="21"/>
              </w:rPr>
            </w:pPr>
            <w:r>
              <w:rPr>
                <w:rFonts w:hint="eastAsia" w:ascii="宋体" w:hAnsi="宋体"/>
                <w:color w:val="000000"/>
                <w:sz w:val="21"/>
                <w:szCs w:val="21"/>
              </w:rPr>
              <w:t>水环境功能区或水功能区、近岸海域环境劝能区水质达标状况</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达标</w:t>
            </w:r>
            <w:r>
              <w:rPr>
                <w:rFonts w:ascii="宋体" w:hAnsi="宋体"/>
                <w:color w:val="000000"/>
                <w:sz w:val="21"/>
                <w:szCs w:val="21"/>
              </w:rPr>
              <w:t xml:space="preserve"> </w:t>
            </w:r>
            <w:r>
              <w:rPr>
                <w:rFonts w:hint="eastAsia" w:ascii="宋体" w:hAnsi="宋体"/>
                <w:color w:val="000000"/>
                <w:sz w:val="21"/>
                <w:szCs w:val="21"/>
              </w:rPr>
              <w:sym w:font="Wingdings" w:char="00FE"/>
            </w:r>
            <w:r>
              <w:rPr>
                <w:rFonts w:hint="eastAsia" w:ascii="宋体" w:hAnsi="宋体"/>
                <w:color w:val="000000"/>
                <w:sz w:val="21"/>
                <w:szCs w:val="21"/>
              </w:rPr>
              <w:t>；不达标</w:t>
            </w:r>
            <w:r>
              <w:rPr>
                <w:rFonts w:ascii="宋体" w:hAnsi="宋体"/>
                <w:color w:val="000000"/>
                <w:sz w:val="21"/>
                <w:szCs w:val="21"/>
              </w:rPr>
              <w:t xml:space="preserve"> </w:t>
            </w:r>
            <w:r>
              <w:rPr>
                <w:rFonts w:hint="eastAsia" w:ascii="宋体" w:hAnsi="宋体"/>
                <w:color w:val="000000"/>
                <w:sz w:val="21"/>
                <w:szCs w:val="21"/>
              </w:rPr>
              <w:t>口；</w:t>
            </w:r>
          </w:p>
          <w:p>
            <w:pPr>
              <w:spacing w:line="240" w:lineRule="auto"/>
              <w:ind w:firstLine="0" w:firstLineChars="0"/>
              <w:rPr>
                <w:rFonts w:ascii="宋体" w:hAnsi="宋体"/>
                <w:color w:val="000000"/>
                <w:sz w:val="21"/>
                <w:szCs w:val="21"/>
              </w:rPr>
            </w:pPr>
            <w:r>
              <w:rPr>
                <w:rFonts w:hint="eastAsia" w:ascii="宋体" w:hAnsi="宋体"/>
                <w:color w:val="000000"/>
                <w:sz w:val="21"/>
                <w:szCs w:val="21"/>
              </w:rPr>
              <w:t>水环境控制单元或断面水质达标状况</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达标口；</w:t>
            </w:r>
            <w:r>
              <w:rPr>
                <w:rFonts w:ascii="宋体" w:hAnsi="宋体"/>
                <w:color w:val="000000"/>
                <w:sz w:val="21"/>
                <w:szCs w:val="21"/>
              </w:rPr>
              <w:t xml:space="preserve"> </w:t>
            </w:r>
            <w:r>
              <w:rPr>
                <w:rFonts w:hint="eastAsia" w:ascii="宋体" w:hAnsi="宋体"/>
                <w:color w:val="000000"/>
                <w:sz w:val="21"/>
                <w:szCs w:val="21"/>
              </w:rPr>
              <w:t>不达标</w:t>
            </w:r>
            <w:r>
              <w:rPr>
                <w:rFonts w:ascii="宋体" w:hAnsi="宋体"/>
                <w:color w:val="000000"/>
                <w:sz w:val="21"/>
                <w:szCs w:val="21"/>
              </w:rPr>
              <w:t xml:space="preserve"> </w:t>
            </w:r>
            <w:r>
              <w:rPr>
                <w:rFonts w:hint="eastAsia" w:ascii="宋体" w:hAnsi="宋体"/>
                <w:color w:val="000000"/>
                <w:sz w:val="21"/>
                <w:szCs w:val="21"/>
              </w:rPr>
              <w:sym w:font="Wingdings" w:char="00FE"/>
            </w:r>
          </w:p>
          <w:p>
            <w:pPr>
              <w:spacing w:line="240" w:lineRule="auto"/>
              <w:ind w:firstLine="0" w:firstLineChars="0"/>
              <w:rPr>
                <w:rFonts w:ascii="宋体" w:hAnsi="宋体"/>
                <w:color w:val="000000"/>
                <w:sz w:val="21"/>
                <w:szCs w:val="21"/>
              </w:rPr>
            </w:pPr>
            <w:r>
              <w:rPr>
                <w:rFonts w:hint="eastAsia" w:ascii="宋体" w:hAnsi="宋体"/>
                <w:color w:val="000000"/>
                <w:sz w:val="21"/>
                <w:szCs w:val="21"/>
              </w:rPr>
              <w:t>水环境保护目标质量</w:t>
            </w:r>
            <w:r>
              <w:rPr>
                <w:rFonts w:ascii="宋体" w:hAnsi="宋体"/>
                <w:color w:val="000000"/>
                <w:sz w:val="21"/>
                <w:szCs w:val="21"/>
              </w:rPr>
              <w:t xml:space="preserve"> </w:t>
            </w:r>
            <w:r>
              <w:rPr>
                <w:rFonts w:hint="eastAsia" w:ascii="宋体" w:hAnsi="宋体"/>
                <w:color w:val="000000"/>
                <w:sz w:val="21"/>
                <w:szCs w:val="21"/>
              </w:rPr>
              <w:t>状况</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达标</w:t>
            </w:r>
            <w:r>
              <w:rPr>
                <w:rFonts w:ascii="宋体" w:hAnsi="宋体"/>
                <w:color w:val="000000"/>
                <w:sz w:val="21"/>
                <w:szCs w:val="21"/>
              </w:rPr>
              <w:t xml:space="preserve"> </w:t>
            </w:r>
            <w:r>
              <w:rPr>
                <w:rFonts w:hint="eastAsia" w:ascii="宋体" w:hAnsi="宋体"/>
                <w:color w:val="000000"/>
                <w:sz w:val="21"/>
                <w:szCs w:val="21"/>
              </w:rPr>
              <w:t>口；不达标</w:t>
            </w:r>
            <w:r>
              <w:rPr>
                <w:rFonts w:ascii="宋体" w:hAnsi="宋体"/>
                <w:color w:val="000000"/>
                <w:sz w:val="21"/>
                <w:szCs w:val="21"/>
              </w:rPr>
              <w:t xml:space="preserve"> </w:t>
            </w:r>
            <w:r>
              <w:rPr>
                <w:rFonts w:hint="eastAsia" w:ascii="宋体" w:hAnsi="宋体"/>
                <w:color w:val="000000"/>
                <w:sz w:val="21"/>
                <w:szCs w:val="21"/>
              </w:rPr>
              <w:t>口</w:t>
            </w:r>
          </w:p>
          <w:p>
            <w:pPr>
              <w:spacing w:line="240" w:lineRule="auto"/>
              <w:ind w:firstLine="0" w:firstLineChars="0"/>
              <w:rPr>
                <w:rFonts w:ascii="宋体" w:hAnsi="宋体"/>
                <w:color w:val="000000"/>
                <w:sz w:val="21"/>
                <w:szCs w:val="21"/>
              </w:rPr>
            </w:pPr>
            <w:r>
              <w:rPr>
                <w:rFonts w:hint="eastAsia" w:ascii="宋体" w:hAnsi="宋体"/>
                <w:color w:val="000000"/>
                <w:sz w:val="21"/>
                <w:szCs w:val="21"/>
              </w:rPr>
              <w:t>对照断面、控制断面等代表性断面</w:t>
            </w:r>
            <w:r>
              <w:rPr>
                <w:rFonts w:ascii="宋体" w:hAnsi="宋体"/>
                <w:color w:val="000000"/>
                <w:sz w:val="21"/>
                <w:szCs w:val="21"/>
              </w:rPr>
              <w:t>的</w:t>
            </w:r>
            <w:r>
              <w:rPr>
                <w:rFonts w:hint="eastAsia" w:ascii="宋体" w:hAnsi="宋体"/>
                <w:color w:val="000000"/>
                <w:sz w:val="21"/>
                <w:szCs w:val="21"/>
              </w:rPr>
              <w:t>水质状况</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达标</w:t>
            </w:r>
            <w:r>
              <w:rPr>
                <w:rFonts w:ascii="宋体" w:hAnsi="宋体"/>
                <w:color w:val="000000"/>
                <w:sz w:val="21"/>
                <w:szCs w:val="21"/>
              </w:rPr>
              <w:t xml:space="preserve"> </w:t>
            </w:r>
            <w:r>
              <w:rPr>
                <w:rFonts w:hint="eastAsia" w:ascii="宋体" w:hAnsi="宋体"/>
                <w:color w:val="000000"/>
                <w:sz w:val="21"/>
                <w:szCs w:val="21"/>
              </w:rPr>
              <w:t>口；不达标</w:t>
            </w:r>
            <w:r>
              <w:rPr>
                <w:rFonts w:ascii="宋体" w:hAnsi="宋体"/>
                <w:color w:val="000000"/>
                <w:sz w:val="21"/>
                <w:szCs w:val="21"/>
              </w:rPr>
              <w:t xml:space="preserve"> </w:t>
            </w:r>
            <w:r>
              <w:rPr>
                <w:rFonts w:hint="eastAsia" w:ascii="宋体" w:hAnsi="宋体"/>
                <w:color w:val="000000"/>
                <w:sz w:val="21"/>
                <w:szCs w:val="21"/>
              </w:rPr>
              <w:t>口</w:t>
            </w:r>
          </w:p>
          <w:p>
            <w:pPr>
              <w:spacing w:line="240" w:lineRule="auto"/>
              <w:ind w:firstLine="0" w:firstLineChars="0"/>
              <w:rPr>
                <w:rFonts w:ascii="宋体" w:hAnsi="宋体"/>
                <w:color w:val="000000"/>
                <w:sz w:val="21"/>
                <w:szCs w:val="21"/>
              </w:rPr>
            </w:pPr>
            <w:r>
              <w:rPr>
                <w:rFonts w:hint="eastAsia" w:ascii="宋体" w:hAnsi="宋体"/>
                <w:color w:val="000000"/>
                <w:sz w:val="21"/>
                <w:szCs w:val="21"/>
              </w:rPr>
              <w:t>底泥污染评价</w:t>
            </w:r>
            <w:r>
              <w:rPr>
                <w:rFonts w:ascii="宋体" w:hAnsi="宋体"/>
                <w:color w:val="000000"/>
                <w:sz w:val="21"/>
                <w:szCs w:val="21"/>
              </w:rPr>
              <w:t xml:space="preserve"> </w:t>
            </w:r>
            <w:r>
              <w:rPr>
                <w:rFonts w:hint="eastAsia" w:ascii="宋体" w:hAnsi="宋体"/>
                <w:color w:val="000000"/>
                <w:sz w:val="21"/>
                <w:szCs w:val="21"/>
              </w:rPr>
              <w:t>口</w:t>
            </w:r>
          </w:p>
          <w:p>
            <w:pPr>
              <w:spacing w:line="240" w:lineRule="auto"/>
              <w:ind w:firstLine="0" w:firstLineChars="0"/>
              <w:rPr>
                <w:rFonts w:ascii="宋体" w:hAnsi="宋体"/>
                <w:color w:val="000000"/>
                <w:sz w:val="21"/>
                <w:szCs w:val="21"/>
              </w:rPr>
            </w:pPr>
            <w:r>
              <w:rPr>
                <w:rFonts w:hint="eastAsia" w:ascii="宋体" w:hAnsi="宋体"/>
                <w:color w:val="000000"/>
                <w:sz w:val="21"/>
                <w:szCs w:val="21"/>
              </w:rPr>
              <w:t>水资源与开发利用程度及其水文情势评价</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w:t>
            </w:r>
          </w:p>
          <w:p>
            <w:pPr>
              <w:spacing w:line="240" w:lineRule="auto"/>
              <w:ind w:firstLine="0" w:firstLineChars="0"/>
              <w:rPr>
                <w:rFonts w:ascii="宋体" w:hAnsi="宋体"/>
                <w:color w:val="000000"/>
                <w:sz w:val="21"/>
                <w:szCs w:val="21"/>
              </w:rPr>
            </w:pPr>
            <w:r>
              <w:rPr>
                <w:rFonts w:hint="eastAsia" w:ascii="宋体" w:hAnsi="宋体"/>
                <w:color w:val="000000"/>
                <w:sz w:val="21"/>
                <w:szCs w:val="21"/>
              </w:rPr>
              <w:t>水环境质量回顾评价</w:t>
            </w:r>
            <w:r>
              <w:rPr>
                <w:rFonts w:ascii="宋体" w:hAnsi="宋体"/>
                <w:color w:val="000000"/>
                <w:sz w:val="21"/>
                <w:szCs w:val="21"/>
              </w:rPr>
              <w:t xml:space="preserve"> </w:t>
            </w:r>
            <w:r>
              <w:rPr>
                <w:rFonts w:hint="eastAsia" w:ascii="宋体" w:hAnsi="宋体"/>
                <w:color w:val="000000"/>
                <w:sz w:val="21"/>
                <w:szCs w:val="21"/>
              </w:rPr>
              <w:t>口</w:t>
            </w:r>
          </w:p>
          <w:p>
            <w:pPr>
              <w:spacing w:line="240" w:lineRule="auto"/>
              <w:ind w:firstLine="0" w:firstLineChars="0"/>
              <w:rPr>
                <w:rFonts w:ascii="宋体" w:hAnsi="宋体"/>
                <w:color w:val="000000"/>
                <w:sz w:val="21"/>
                <w:szCs w:val="21"/>
              </w:rPr>
            </w:pPr>
            <w:r>
              <w:rPr>
                <w:rFonts w:hint="eastAsia" w:ascii="宋体" w:hAnsi="宋体"/>
                <w:color w:val="000000"/>
                <w:sz w:val="21"/>
                <w:szCs w:val="21"/>
              </w:rPr>
              <w:t>流域（区域</w:t>
            </w:r>
            <w:r>
              <w:rPr>
                <w:rFonts w:ascii="宋体" w:hAnsi="宋体"/>
                <w:color w:val="000000"/>
                <w:sz w:val="21"/>
                <w:szCs w:val="21"/>
              </w:rPr>
              <w:t>)</w:t>
            </w:r>
            <w:r>
              <w:rPr>
                <w:rFonts w:hint="eastAsia" w:ascii="宋体" w:hAnsi="宋体"/>
                <w:color w:val="000000"/>
                <w:sz w:val="21"/>
                <w:szCs w:val="21"/>
              </w:rPr>
              <w:t>水资源</w:t>
            </w:r>
            <w:r>
              <w:rPr>
                <w:rFonts w:ascii="宋体" w:hAnsi="宋体"/>
                <w:color w:val="000000"/>
                <w:sz w:val="21"/>
                <w:szCs w:val="21"/>
              </w:rPr>
              <w:t xml:space="preserve"> </w:t>
            </w:r>
            <w:r>
              <w:rPr>
                <w:rFonts w:hint="eastAsia" w:ascii="宋体" w:hAnsi="宋体"/>
                <w:color w:val="000000"/>
                <w:sz w:val="21"/>
                <w:szCs w:val="21"/>
              </w:rPr>
              <w:t>（包括水能资源）与开发利用总体状况、生态流量管理要求与现状满足程度、建设项目占用水域空间的水流状况与河湖演变状况</w:t>
            </w:r>
            <w:r>
              <w:rPr>
                <w:rFonts w:ascii="宋体" w:hAnsi="宋体"/>
                <w:color w:val="000000"/>
                <w:sz w:val="21"/>
                <w:szCs w:val="21"/>
              </w:rPr>
              <w:t xml:space="preserve"> </w:t>
            </w:r>
            <w:r>
              <w:rPr>
                <w:rFonts w:hint="eastAsia" w:ascii="宋体" w:hAnsi="宋体"/>
                <w:color w:val="000000"/>
                <w:sz w:val="21"/>
                <w:szCs w:val="21"/>
              </w:rPr>
              <w:t>口</w:t>
            </w:r>
          </w:p>
        </w:tc>
        <w:tc>
          <w:tcPr>
            <w:tcW w:w="2055" w:type="dxa"/>
            <w:gridSpan w:val="2"/>
            <w:shd w:val="clear" w:color="auto" w:fill="auto"/>
            <w:vAlign w:val="center"/>
          </w:tcPr>
          <w:p>
            <w:pPr>
              <w:ind w:firstLine="420"/>
              <w:rPr>
                <w:rFonts w:ascii="宋体" w:hAnsi="宋体"/>
                <w:color w:val="000000"/>
                <w:sz w:val="21"/>
                <w:szCs w:val="21"/>
              </w:rPr>
            </w:pPr>
            <w:r>
              <w:rPr>
                <w:rFonts w:ascii="宋体" w:hAnsi="宋体"/>
                <w:color w:val="000000"/>
                <w:sz w:val="21"/>
                <w:szCs w:val="21"/>
              </w:rPr>
              <w:t>　</w:t>
            </w:r>
            <w:r>
              <w:rPr>
                <w:rFonts w:hint="eastAsia" w:ascii="宋体" w:hAnsi="宋体"/>
                <w:color w:val="000000"/>
                <w:sz w:val="21"/>
                <w:szCs w:val="21"/>
              </w:rPr>
              <w:t>达标区口</w:t>
            </w:r>
          </w:p>
          <w:p>
            <w:pPr>
              <w:ind w:firstLine="420"/>
              <w:rPr>
                <w:rFonts w:ascii="宋体" w:hAnsi="宋体"/>
                <w:color w:val="000000"/>
                <w:sz w:val="21"/>
                <w:szCs w:val="21"/>
              </w:rPr>
            </w:pPr>
            <w:r>
              <w:rPr>
                <w:rFonts w:ascii="宋体" w:hAnsi="宋体"/>
                <w:color w:val="000000"/>
                <w:sz w:val="21"/>
                <w:szCs w:val="21"/>
              </w:rPr>
              <w:t>　</w:t>
            </w:r>
            <w:r>
              <w:rPr>
                <w:rFonts w:hint="eastAsia" w:ascii="宋体" w:hAnsi="宋体"/>
                <w:color w:val="000000"/>
                <w:sz w:val="21"/>
                <w:szCs w:val="21"/>
              </w:rPr>
              <w:t>不达标区</w:t>
            </w:r>
            <w:r>
              <w:rPr>
                <w:rFonts w:ascii="宋体" w:hAnsi="宋体"/>
                <w:color w:val="000000"/>
                <w:sz w:val="21"/>
                <w:szCs w:val="21"/>
              </w:rPr>
              <w:t xml:space="preserve"> </w:t>
            </w:r>
            <w:r>
              <w:rPr>
                <w:rFonts w:hint="eastAsia" w:ascii="宋体" w:hAnsi="宋体"/>
                <w:color w:val="000000"/>
                <w:sz w:val="21"/>
                <w:szCs w:val="21"/>
              </w:rPr>
              <w:sym w:font="Wingdings" w:char="00FE"/>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23" w:hRule="atLeast"/>
        </w:trPr>
        <w:tc>
          <w:tcPr>
            <w:tcW w:w="2694" w:type="dxa"/>
            <w:gridSpan w:val="2"/>
            <w:vMerge w:val="restart"/>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影响</w:t>
            </w:r>
            <w:r>
              <w:rPr>
                <w:rFonts w:ascii="宋体" w:hAnsi="宋体"/>
                <w:color w:val="000000"/>
                <w:sz w:val="21"/>
                <w:szCs w:val="21"/>
              </w:rPr>
              <w:t>预测</w:t>
            </w:r>
          </w:p>
        </w:tc>
        <w:tc>
          <w:tcPr>
            <w:tcW w:w="2268" w:type="dxa"/>
            <w:gridSpan w:val="2"/>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预测范围</w:t>
            </w:r>
          </w:p>
        </w:tc>
        <w:tc>
          <w:tcPr>
            <w:tcW w:w="9501" w:type="dxa"/>
            <w:gridSpan w:val="13"/>
            <w:shd w:val="clear" w:color="auto" w:fill="auto"/>
            <w:vAlign w:val="center"/>
          </w:tcPr>
          <w:p>
            <w:pPr>
              <w:ind w:firstLine="199" w:firstLineChars="95"/>
              <w:rPr>
                <w:rFonts w:ascii="宋体" w:hAnsi="宋体"/>
                <w:color w:val="000000"/>
                <w:sz w:val="21"/>
                <w:szCs w:val="21"/>
              </w:rPr>
            </w:pPr>
            <w:r>
              <w:rPr>
                <w:rFonts w:hint="eastAsia" w:ascii="宋体" w:hAnsi="宋体"/>
                <w:color w:val="000000"/>
                <w:sz w:val="21"/>
                <w:szCs w:val="21"/>
              </w:rPr>
              <w:t>河流长度（）</w:t>
            </w:r>
            <w:r>
              <w:rPr>
                <w:rFonts w:ascii="宋体" w:hAnsi="宋体"/>
                <w:color w:val="000000"/>
                <w:sz w:val="21"/>
                <w:szCs w:val="21"/>
              </w:rPr>
              <w:t>km</w:t>
            </w:r>
            <w:r>
              <w:rPr>
                <w:rFonts w:hint="eastAsia" w:ascii="宋体" w:hAnsi="宋体"/>
                <w:color w:val="000000"/>
                <w:sz w:val="21"/>
                <w:szCs w:val="21"/>
              </w:rPr>
              <w:t xml:space="preserve">； </w:t>
            </w:r>
            <w:r>
              <w:rPr>
                <w:rFonts w:ascii="宋体" w:hAnsi="宋体"/>
                <w:color w:val="000000"/>
                <w:sz w:val="21"/>
                <w:szCs w:val="21"/>
              </w:rPr>
              <w:t>湖</w:t>
            </w:r>
            <w:r>
              <w:rPr>
                <w:rFonts w:hint="eastAsia" w:ascii="宋体" w:hAnsi="宋体"/>
                <w:color w:val="000000"/>
                <w:sz w:val="21"/>
                <w:szCs w:val="21"/>
              </w:rPr>
              <w:t>明库、河口及近岸海域面积（）</w:t>
            </w:r>
            <w:r>
              <w:rPr>
                <w:rFonts w:ascii="宋体" w:hAnsi="宋体"/>
                <w:color w:val="000000"/>
                <w:sz w:val="21"/>
                <w:szCs w:val="21"/>
              </w:rPr>
              <w:t>km</w:t>
            </w:r>
            <w:r>
              <w:rPr>
                <w:rFonts w:hint="eastAsia" w:ascii="宋体" w:hAnsi="宋体"/>
                <w:color w:val="000000"/>
                <w:sz w:val="21"/>
                <w:szCs w:val="21"/>
              </w:rPr>
              <w:t>²</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10" w:hRule="atLeast"/>
        </w:trPr>
        <w:tc>
          <w:tcPr>
            <w:tcW w:w="2694" w:type="dxa"/>
            <w:gridSpan w:val="2"/>
            <w:vMerge w:val="continue"/>
            <w:shd w:val="clear" w:color="auto" w:fill="auto"/>
            <w:vAlign w:val="center"/>
          </w:tcPr>
          <w:p>
            <w:pPr>
              <w:ind w:firstLine="420"/>
              <w:jc w:val="center"/>
              <w:rPr>
                <w:rFonts w:ascii="宋体" w:hAnsi="宋体"/>
                <w:color w:val="000000"/>
                <w:sz w:val="21"/>
                <w:szCs w:val="21"/>
              </w:rPr>
            </w:pPr>
          </w:p>
        </w:tc>
        <w:tc>
          <w:tcPr>
            <w:tcW w:w="2268" w:type="dxa"/>
            <w:gridSpan w:val="2"/>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预测因子</w:t>
            </w:r>
          </w:p>
        </w:tc>
        <w:tc>
          <w:tcPr>
            <w:tcW w:w="9501" w:type="dxa"/>
            <w:gridSpan w:val="1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19" w:hRule="atLeast"/>
        </w:trPr>
        <w:tc>
          <w:tcPr>
            <w:tcW w:w="2694" w:type="dxa"/>
            <w:gridSpan w:val="2"/>
            <w:vMerge w:val="continue"/>
            <w:shd w:val="clear" w:color="auto" w:fill="auto"/>
            <w:vAlign w:val="center"/>
          </w:tcPr>
          <w:p>
            <w:pPr>
              <w:ind w:firstLine="420"/>
              <w:jc w:val="center"/>
              <w:rPr>
                <w:rFonts w:ascii="宋体" w:hAnsi="宋体"/>
                <w:color w:val="000000"/>
                <w:sz w:val="21"/>
                <w:szCs w:val="21"/>
              </w:rPr>
            </w:pPr>
          </w:p>
        </w:tc>
        <w:tc>
          <w:tcPr>
            <w:tcW w:w="2268" w:type="dxa"/>
            <w:gridSpan w:val="2"/>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预测时期</w:t>
            </w:r>
          </w:p>
        </w:tc>
        <w:tc>
          <w:tcPr>
            <w:tcW w:w="9501" w:type="dxa"/>
            <w:gridSpan w:val="13"/>
            <w:shd w:val="clear" w:color="auto" w:fill="auto"/>
            <w:vAlign w:val="center"/>
          </w:tcPr>
          <w:p>
            <w:pPr>
              <w:spacing w:line="240" w:lineRule="auto"/>
              <w:ind w:firstLine="199" w:firstLineChars="95"/>
              <w:rPr>
                <w:rFonts w:ascii="宋体" w:hAnsi="宋体"/>
                <w:color w:val="000000"/>
                <w:sz w:val="21"/>
                <w:szCs w:val="21"/>
              </w:rPr>
            </w:pPr>
            <w:r>
              <w:rPr>
                <w:rFonts w:hint="eastAsia" w:ascii="宋体" w:hAnsi="宋体"/>
                <w:color w:val="000000"/>
                <w:sz w:val="21"/>
                <w:szCs w:val="21"/>
              </w:rPr>
              <w:t>丰水期</w:t>
            </w:r>
            <w:r>
              <w:rPr>
                <w:rFonts w:ascii="宋体" w:hAnsi="宋体"/>
                <w:color w:val="000000"/>
                <w:sz w:val="21"/>
                <w:szCs w:val="21"/>
              </w:rPr>
              <w:t xml:space="preserve"> </w:t>
            </w:r>
            <w:r>
              <w:rPr>
                <w:rFonts w:hint="eastAsia" w:ascii="宋体" w:hAnsi="宋体"/>
                <w:color w:val="000000"/>
                <w:sz w:val="21"/>
                <w:szCs w:val="21"/>
              </w:rPr>
              <w:t>口；平水期</w:t>
            </w:r>
            <w:r>
              <w:rPr>
                <w:rFonts w:ascii="宋体" w:hAnsi="宋体"/>
                <w:color w:val="000000"/>
                <w:sz w:val="21"/>
                <w:szCs w:val="21"/>
              </w:rPr>
              <w:t xml:space="preserve"> </w:t>
            </w:r>
            <w:r>
              <w:rPr>
                <w:rFonts w:hint="eastAsia" w:ascii="宋体" w:hAnsi="宋体"/>
                <w:color w:val="000000"/>
                <w:sz w:val="21"/>
                <w:szCs w:val="21"/>
              </w:rPr>
              <w:t>口；枯水</w:t>
            </w:r>
            <w:r>
              <w:rPr>
                <w:rFonts w:ascii="宋体" w:hAnsi="宋体"/>
                <w:color w:val="000000"/>
                <w:sz w:val="21"/>
                <w:szCs w:val="21"/>
              </w:rPr>
              <w:t xml:space="preserve">期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冰封期</w:t>
            </w:r>
            <w:r>
              <w:rPr>
                <w:rFonts w:ascii="宋体" w:hAnsi="宋体"/>
                <w:color w:val="000000"/>
                <w:sz w:val="21"/>
                <w:szCs w:val="21"/>
              </w:rPr>
              <w:t xml:space="preserve"> </w:t>
            </w:r>
            <w:r>
              <w:rPr>
                <w:rFonts w:hint="eastAsia" w:ascii="宋体" w:hAnsi="宋体"/>
                <w:color w:val="000000"/>
                <w:sz w:val="21"/>
                <w:szCs w:val="21"/>
              </w:rPr>
              <w:t>口</w:t>
            </w:r>
          </w:p>
          <w:p>
            <w:pPr>
              <w:spacing w:line="240" w:lineRule="auto"/>
              <w:ind w:firstLine="199" w:firstLineChars="95"/>
              <w:rPr>
                <w:rFonts w:ascii="宋体" w:hAnsi="宋体"/>
                <w:color w:val="000000"/>
                <w:sz w:val="21"/>
                <w:szCs w:val="21"/>
              </w:rPr>
            </w:pPr>
            <w:r>
              <w:rPr>
                <w:rFonts w:hint="eastAsia" w:ascii="宋体" w:hAnsi="宋体"/>
                <w:color w:val="000000"/>
                <w:sz w:val="21"/>
                <w:szCs w:val="21"/>
              </w:rPr>
              <w:t>春季</w:t>
            </w:r>
            <w:r>
              <w:rPr>
                <w:rFonts w:ascii="宋体" w:hAnsi="宋体"/>
                <w:color w:val="000000"/>
                <w:sz w:val="21"/>
                <w:szCs w:val="21"/>
              </w:rPr>
              <w:t xml:space="preserve"> </w:t>
            </w:r>
            <w:r>
              <w:rPr>
                <w:rFonts w:hint="eastAsia" w:ascii="宋体" w:hAnsi="宋体"/>
                <w:color w:val="000000"/>
                <w:sz w:val="21"/>
                <w:szCs w:val="21"/>
              </w:rPr>
              <w:t>口；夏季</w:t>
            </w:r>
            <w:r>
              <w:rPr>
                <w:rFonts w:ascii="宋体" w:hAnsi="宋体"/>
                <w:color w:val="000000"/>
                <w:sz w:val="21"/>
                <w:szCs w:val="21"/>
              </w:rPr>
              <w:t xml:space="preserve"> </w:t>
            </w:r>
            <w:r>
              <w:rPr>
                <w:rFonts w:hint="eastAsia" w:ascii="宋体" w:hAnsi="宋体"/>
                <w:color w:val="000000"/>
                <w:sz w:val="21"/>
                <w:szCs w:val="21"/>
              </w:rPr>
              <w:t>口；秋季</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冬季</w:t>
            </w:r>
            <w:r>
              <w:rPr>
                <w:rFonts w:ascii="宋体" w:hAnsi="宋体"/>
                <w:color w:val="000000"/>
                <w:sz w:val="21"/>
                <w:szCs w:val="21"/>
              </w:rPr>
              <w:t xml:space="preserve"> </w:t>
            </w:r>
            <w:r>
              <w:rPr>
                <w:rFonts w:hint="eastAsia" w:ascii="宋体" w:hAnsi="宋体"/>
                <w:color w:val="000000"/>
                <w:sz w:val="21"/>
                <w:szCs w:val="21"/>
              </w:rPr>
              <w:t>口</w:t>
            </w:r>
          </w:p>
          <w:p>
            <w:pPr>
              <w:spacing w:line="240" w:lineRule="auto"/>
              <w:ind w:firstLine="199" w:firstLineChars="95"/>
              <w:rPr>
                <w:rFonts w:ascii="宋体" w:hAnsi="宋体"/>
                <w:color w:val="000000"/>
                <w:sz w:val="21"/>
                <w:szCs w:val="21"/>
              </w:rPr>
            </w:pPr>
            <w:r>
              <w:rPr>
                <w:rFonts w:hint="eastAsia" w:ascii="宋体" w:hAnsi="宋体"/>
                <w:color w:val="000000"/>
                <w:sz w:val="21"/>
                <w:szCs w:val="21"/>
              </w:rPr>
              <w:t>设计水文条件</w:t>
            </w:r>
            <w:r>
              <w:rPr>
                <w:rFonts w:ascii="宋体" w:hAnsi="宋体"/>
                <w:color w:val="000000"/>
                <w:sz w:val="21"/>
                <w:szCs w:val="21"/>
              </w:rPr>
              <w:t xml:space="preserve"> </w:t>
            </w:r>
            <w:r>
              <w:rPr>
                <w:rFonts w:hint="eastAsia" w:ascii="宋体" w:hAnsi="宋体"/>
                <w:color w:val="000000"/>
                <w:sz w:val="21"/>
                <w:szCs w:val="21"/>
              </w:rPr>
              <w:t>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544" w:hRule="atLeast"/>
        </w:trPr>
        <w:tc>
          <w:tcPr>
            <w:tcW w:w="2694" w:type="dxa"/>
            <w:gridSpan w:val="2"/>
            <w:vMerge w:val="continue"/>
            <w:vAlign w:val="center"/>
          </w:tcPr>
          <w:p>
            <w:pPr>
              <w:ind w:firstLine="420"/>
              <w:jc w:val="center"/>
              <w:rPr>
                <w:rFonts w:ascii="宋体" w:hAnsi="宋体"/>
                <w:color w:val="000000"/>
                <w:sz w:val="21"/>
                <w:szCs w:val="21"/>
              </w:rPr>
            </w:pPr>
          </w:p>
        </w:tc>
        <w:tc>
          <w:tcPr>
            <w:tcW w:w="2268" w:type="dxa"/>
            <w:gridSpan w:val="2"/>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预测情景</w:t>
            </w:r>
          </w:p>
        </w:tc>
        <w:tc>
          <w:tcPr>
            <w:tcW w:w="9501" w:type="dxa"/>
            <w:gridSpan w:val="13"/>
            <w:shd w:val="clear" w:color="auto" w:fill="auto"/>
            <w:vAlign w:val="center"/>
          </w:tcPr>
          <w:p>
            <w:pPr>
              <w:spacing w:line="240" w:lineRule="auto"/>
              <w:ind w:firstLine="420"/>
              <w:rPr>
                <w:rFonts w:ascii="宋体" w:hAnsi="宋体"/>
                <w:color w:val="000000"/>
                <w:sz w:val="21"/>
                <w:szCs w:val="21"/>
              </w:rPr>
            </w:pPr>
            <w:r>
              <w:rPr>
                <w:rFonts w:hint="eastAsia" w:ascii="宋体" w:hAnsi="宋体"/>
                <w:color w:val="000000"/>
                <w:sz w:val="21"/>
                <w:szCs w:val="21"/>
              </w:rPr>
              <w:t>建设期 口；</w:t>
            </w:r>
            <w:r>
              <w:rPr>
                <w:rFonts w:ascii="宋体" w:hAnsi="宋体"/>
                <w:color w:val="000000"/>
                <w:sz w:val="21"/>
                <w:szCs w:val="21"/>
              </w:rPr>
              <w:t xml:space="preserve"> </w:t>
            </w:r>
            <w:r>
              <w:rPr>
                <w:rFonts w:hint="eastAsia" w:ascii="宋体" w:hAnsi="宋体"/>
                <w:color w:val="000000"/>
                <w:sz w:val="21"/>
                <w:szCs w:val="21"/>
              </w:rPr>
              <w:t>生产运行期</w:t>
            </w:r>
            <w:r>
              <w:rPr>
                <w:rFonts w:ascii="宋体" w:hAnsi="宋体"/>
                <w:color w:val="000000"/>
                <w:sz w:val="21"/>
                <w:szCs w:val="21"/>
              </w:rPr>
              <w:t xml:space="preserve"> </w:t>
            </w:r>
            <w:r>
              <w:rPr>
                <w:rFonts w:hint="eastAsia" w:ascii="宋体" w:hAnsi="宋体"/>
                <w:color w:val="000000"/>
                <w:sz w:val="21"/>
                <w:szCs w:val="21"/>
              </w:rPr>
              <w:t>口； 服务期</w:t>
            </w:r>
            <w:r>
              <w:rPr>
                <w:rFonts w:ascii="宋体" w:hAnsi="宋体"/>
                <w:color w:val="000000"/>
                <w:sz w:val="21"/>
                <w:szCs w:val="21"/>
              </w:rPr>
              <w:t>满后</w:t>
            </w:r>
            <w:r>
              <w:rPr>
                <w:rFonts w:hint="eastAsia" w:ascii="宋体" w:hAnsi="宋体"/>
                <w:color w:val="000000"/>
                <w:sz w:val="21"/>
                <w:szCs w:val="21"/>
              </w:rPr>
              <w:t xml:space="preserve"> 口</w:t>
            </w:r>
          </w:p>
          <w:p>
            <w:pPr>
              <w:spacing w:line="240" w:lineRule="auto"/>
              <w:ind w:firstLine="420"/>
              <w:rPr>
                <w:rFonts w:ascii="宋体" w:hAnsi="宋体"/>
                <w:color w:val="000000"/>
                <w:sz w:val="21"/>
                <w:szCs w:val="21"/>
              </w:rPr>
            </w:pPr>
            <w:r>
              <w:rPr>
                <w:rFonts w:hint="eastAsia" w:ascii="宋体" w:hAnsi="宋体"/>
                <w:color w:val="000000"/>
                <w:sz w:val="21"/>
                <w:szCs w:val="21"/>
              </w:rPr>
              <w:t>正常工况 口；</w:t>
            </w:r>
            <w:r>
              <w:rPr>
                <w:rFonts w:ascii="宋体" w:hAnsi="宋体"/>
                <w:color w:val="000000"/>
                <w:sz w:val="21"/>
                <w:szCs w:val="21"/>
              </w:rPr>
              <w:t xml:space="preserve"> I </w:t>
            </w:r>
            <w:r>
              <w:rPr>
                <w:rFonts w:hint="eastAsia" w:ascii="宋体" w:hAnsi="宋体"/>
                <w:color w:val="000000"/>
                <w:sz w:val="21"/>
                <w:szCs w:val="21"/>
              </w:rPr>
              <w:t>正常工况</w:t>
            </w:r>
            <w:r>
              <w:rPr>
                <w:rFonts w:ascii="宋体" w:hAnsi="宋体"/>
                <w:color w:val="000000"/>
                <w:sz w:val="21"/>
                <w:szCs w:val="21"/>
              </w:rPr>
              <w:t xml:space="preserve"> </w:t>
            </w:r>
            <w:r>
              <w:rPr>
                <w:rFonts w:hint="eastAsia" w:ascii="宋体" w:hAnsi="宋体"/>
                <w:color w:val="000000"/>
                <w:sz w:val="21"/>
                <w:szCs w:val="21"/>
              </w:rPr>
              <w:t>口；</w:t>
            </w:r>
          </w:p>
          <w:p>
            <w:pPr>
              <w:spacing w:line="240" w:lineRule="auto"/>
              <w:ind w:firstLine="420"/>
              <w:rPr>
                <w:rFonts w:ascii="宋体" w:hAnsi="宋体"/>
                <w:color w:val="000000"/>
                <w:sz w:val="21"/>
                <w:szCs w:val="21"/>
              </w:rPr>
            </w:pPr>
            <w:r>
              <w:rPr>
                <w:rFonts w:hint="eastAsia" w:ascii="宋体" w:hAnsi="宋体"/>
                <w:color w:val="000000"/>
                <w:sz w:val="21"/>
                <w:szCs w:val="21"/>
              </w:rPr>
              <w:t>污染控制和减缓措施方案 口</w:t>
            </w:r>
          </w:p>
          <w:p>
            <w:pPr>
              <w:spacing w:line="240" w:lineRule="auto"/>
              <w:ind w:firstLine="420"/>
              <w:rPr>
                <w:rFonts w:ascii="宋体" w:hAnsi="宋体"/>
                <w:color w:val="000000"/>
                <w:sz w:val="21"/>
                <w:szCs w:val="21"/>
              </w:rPr>
            </w:pPr>
            <w:r>
              <w:rPr>
                <w:rFonts w:hint="eastAsia" w:ascii="宋体" w:hAnsi="宋体"/>
                <w:color w:val="000000"/>
                <w:sz w:val="21"/>
                <w:szCs w:val="21"/>
              </w:rPr>
              <w:t>区（流）域环境质量改善目标要求情景</w:t>
            </w:r>
            <w:r>
              <w:rPr>
                <w:rFonts w:ascii="宋体" w:hAnsi="宋体"/>
                <w:color w:val="000000"/>
                <w:sz w:val="21"/>
                <w:szCs w:val="21"/>
              </w:rPr>
              <w:t xml:space="preserve"> </w:t>
            </w:r>
            <w:r>
              <w:rPr>
                <w:rFonts w:hint="eastAsia" w:ascii="宋体" w:hAnsi="宋体"/>
                <w:color w:val="000000"/>
                <w:sz w:val="21"/>
                <w:szCs w:val="21"/>
              </w:rPr>
              <w:t>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428" w:hRule="atLeast"/>
        </w:trPr>
        <w:tc>
          <w:tcPr>
            <w:tcW w:w="2694" w:type="dxa"/>
            <w:gridSpan w:val="2"/>
            <w:vMerge w:val="continue"/>
            <w:vAlign w:val="center"/>
          </w:tcPr>
          <w:p>
            <w:pPr>
              <w:ind w:firstLine="420"/>
              <w:jc w:val="center"/>
              <w:rPr>
                <w:rFonts w:ascii="宋体" w:hAnsi="宋体"/>
                <w:color w:val="000000"/>
                <w:sz w:val="21"/>
                <w:szCs w:val="21"/>
              </w:rPr>
            </w:pPr>
          </w:p>
        </w:tc>
        <w:tc>
          <w:tcPr>
            <w:tcW w:w="2268" w:type="dxa"/>
            <w:gridSpan w:val="2"/>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预测方法</w:t>
            </w:r>
          </w:p>
        </w:tc>
        <w:tc>
          <w:tcPr>
            <w:tcW w:w="9501" w:type="dxa"/>
            <w:gridSpan w:val="13"/>
            <w:shd w:val="clear" w:color="auto" w:fill="auto"/>
            <w:vAlign w:val="center"/>
          </w:tcPr>
          <w:p>
            <w:pPr>
              <w:spacing w:line="240" w:lineRule="auto"/>
              <w:ind w:firstLine="420"/>
              <w:rPr>
                <w:rFonts w:ascii="宋体" w:hAnsi="宋体"/>
                <w:color w:val="000000"/>
                <w:sz w:val="21"/>
                <w:szCs w:val="21"/>
              </w:rPr>
            </w:pPr>
            <w:r>
              <w:rPr>
                <w:rFonts w:hint="eastAsia" w:ascii="宋体" w:hAnsi="宋体"/>
                <w:color w:val="000000"/>
                <w:sz w:val="21"/>
                <w:szCs w:val="21"/>
              </w:rPr>
              <w:t>数值解 口；解析解 口；其他</w:t>
            </w:r>
            <w:r>
              <w:rPr>
                <w:rFonts w:ascii="宋体" w:hAnsi="宋体"/>
                <w:color w:val="000000"/>
                <w:sz w:val="21"/>
                <w:szCs w:val="21"/>
              </w:rPr>
              <w:t xml:space="preserve"> </w:t>
            </w:r>
            <w:r>
              <w:rPr>
                <w:rFonts w:hint="eastAsia" w:ascii="宋体" w:hAnsi="宋体"/>
                <w:color w:val="000000"/>
                <w:sz w:val="21"/>
                <w:szCs w:val="21"/>
              </w:rPr>
              <w:t>口</w:t>
            </w:r>
          </w:p>
          <w:p>
            <w:pPr>
              <w:spacing w:line="240" w:lineRule="auto"/>
              <w:ind w:firstLine="420"/>
              <w:rPr>
                <w:rFonts w:ascii="宋体" w:hAnsi="宋体"/>
                <w:color w:val="000000"/>
                <w:sz w:val="21"/>
                <w:szCs w:val="21"/>
              </w:rPr>
            </w:pPr>
            <w:r>
              <w:rPr>
                <w:rFonts w:hint="eastAsia" w:ascii="宋体" w:hAnsi="宋体"/>
                <w:color w:val="000000"/>
                <w:sz w:val="21"/>
                <w:szCs w:val="21"/>
              </w:rPr>
              <w:t>导则推荐模式 口；</w:t>
            </w:r>
            <w:r>
              <w:rPr>
                <w:rFonts w:ascii="宋体" w:hAnsi="宋体"/>
                <w:color w:val="000000"/>
                <w:sz w:val="21"/>
                <w:szCs w:val="21"/>
              </w:rPr>
              <w:t xml:space="preserve">  </w:t>
            </w:r>
            <w:r>
              <w:rPr>
                <w:rFonts w:hint="eastAsia" w:ascii="宋体" w:hAnsi="宋体"/>
                <w:color w:val="000000"/>
                <w:sz w:val="21"/>
                <w:szCs w:val="21"/>
              </w:rPr>
              <w:t>其他</w:t>
            </w:r>
            <w:r>
              <w:rPr>
                <w:rFonts w:ascii="宋体" w:hAnsi="宋体"/>
                <w:color w:val="000000"/>
                <w:sz w:val="21"/>
                <w:szCs w:val="21"/>
              </w:rPr>
              <w:t xml:space="preserve"> </w:t>
            </w:r>
            <w:r>
              <w:rPr>
                <w:rFonts w:hint="eastAsia" w:ascii="宋体" w:hAnsi="宋体"/>
                <w:color w:val="000000"/>
                <w:sz w:val="21"/>
                <w:szCs w:val="21"/>
              </w:rPr>
              <w:t>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471" w:hRule="atLeast"/>
        </w:trPr>
        <w:tc>
          <w:tcPr>
            <w:tcW w:w="2694" w:type="dxa"/>
            <w:gridSpan w:val="2"/>
            <w:vMerge w:val="restart"/>
            <w:shd w:val="clear" w:color="auto" w:fill="auto"/>
            <w:vAlign w:val="center"/>
          </w:tcPr>
          <w:p>
            <w:pPr>
              <w:ind w:firstLine="420"/>
              <w:jc w:val="center"/>
              <w:rPr>
                <w:rFonts w:ascii="宋体" w:hAnsi="宋体"/>
                <w:color w:val="000000"/>
                <w:sz w:val="21"/>
                <w:szCs w:val="21"/>
              </w:rPr>
            </w:pPr>
            <w:r>
              <w:rPr>
                <w:rFonts w:ascii="宋体" w:hAnsi="宋体"/>
                <w:color w:val="000000"/>
                <w:sz w:val="21"/>
                <w:szCs w:val="21"/>
              </w:rPr>
              <w:t>环境影响评价</w:t>
            </w:r>
          </w:p>
        </w:tc>
        <w:tc>
          <w:tcPr>
            <w:tcW w:w="2268" w:type="dxa"/>
            <w:gridSpan w:val="2"/>
            <w:shd w:val="clear" w:color="auto" w:fill="auto"/>
            <w:vAlign w:val="center"/>
          </w:tcPr>
          <w:p>
            <w:pPr>
              <w:spacing w:line="240" w:lineRule="auto"/>
              <w:ind w:firstLine="0" w:firstLineChars="0"/>
              <w:rPr>
                <w:rFonts w:ascii="宋体" w:hAnsi="宋体"/>
                <w:color w:val="000000"/>
                <w:sz w:val="21"/>
                <w:szCs w:val="21"/>
              </w:rPr>
            </w:pPr>
            <w:r>
              <w:rPr>
                <w:rFonts w:hint="eastAsia" w:ascii="宋体" w:hAnsi="宋体"/>
                <w:color w:val="000000"/>
                <w:sz w:val="21"/>
                <w:szCs w:val="21"/>
              </w:rPr>
              <w:t>水污染控制和水环环境影响减缓措施有效性评价</w:t>
            </w:r>
          </w:p>
        </w:tc>
        <w:tc>
          <w:tcPr>
            <w:tcW w:w="9501" w:type="dxa"/>
            <w:gridSpan w:val="1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区</w:t>
            </w:r>
            <w:r>
              <w:rPr>
                <w:rFonts w:ascii="宋体" w:hAnsi="宋体"/>
                <w:color w:val="000000"/>
                <w:sz w:val="21"/>
                <w:szCs w:val="21"/>
              </w:rPr>
              <w:t xml:space="preserve"> </w:t>
            </w:r>
            <w:r>
              <w:rPr>
                <w:rFonts w:hint="eastAsia" w:ascii="宋体" w:hAnsi="宋体"/>
                <w:color w:val="000000"/>
                <w:sz w:val="21"/>
                <w:szCs w:val="21"/>
              </w:rPr>
              <w:t>（流）域水环境质量改善目标 口；  替代削减源</w:t>
            </w:r>
            <w:r>
              <w:rPr>
                <w:rFonts w:ascii="宋体" w:hAnsi="宋体"/>
                <w:color w:val="000000"/>
                <w:sz w:val="21"/>
                <w:szCs w:val="21"/>
              </w:rPr>
              <w:t xml:space="preserve"> </w:t>
            </w:r>
            <w:r>
              <w:rPr>
                <w:rFonts w:hint="eastAsia" w:ascii="宋体" w:hAnsi="宋体"/>
                <w:color w:val="000000"/>
                <w:sz w:val="21"/>
                <w:szCs w:val="21"/>
              </w:rPr>
              <w:t>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2556" w:hRule="atLeast"/>
        </w:trPr>
        <w:tc>
          <w:tcPr>
            <w:tcW w:w="2694" w:type="dxa"/>
            <w:gridSpan w:val="2"/>
            <w:vMerge w:val="continue"/>
            <w:tcBorders>
              <w:bottom w:val="single" w:color="000000" w:sz="8" w:space="0"/>
            </w:tcBorders>
            <w:shd w:val="clear" w:color="auto" w:fill="auto"/>
            <w:vAlign w:val="center"/>
          </w:tcPr>
          <w:p>
            <w:pPr>
              <w:ind w:firstLine="420"/>
              <w:rPr>
                <w:rFonts w:ascii="宋体" w:hAnsi="宋体"/>
                <w:color w:val="000000"/>
                <w:sz w:val="21"/>
                <w:szCs w:val="21"/>
              </w:rPr>
            </w:pPr>
          </w:p>
        </w:tc>
        <w:tc>
          <w:tcPr>
            <w:tcW w:w="2268" w:type="dxa"/>
            <w:gridSpan w:val="2"/>
            <w:tcBorders>
              <w:bottom w:val="single" w:color="000000" w:sz="8" w:space="0"/>
            </w:tcBorders>
            <w:shd w:val="clear" w:color="auto" w:fill="auto"/>
            <w:vAlign w:val="center"/>
          </w:tcPr>
          <w:p>
            <w:pPr>
              <w:ind w:firstLine="203" w:firstLineChars="97"/>
              <w:rPr>
                <w:rFonts w:ascii="宋体" w:hAnsi="宋体"/>
                <w:color w:val="000000"/>
                <w:sz w:val="21"/>
                <w:szCs w:val="21"/>
              </w:rPr>
            </w:pPr>
            <w:r>
              <w:rPr>
                <w:rFonts w:hint="eastAsia" w:ascii="宋体" w:hAnsi="宋体"/>
                <w:color w:val="000000"/>
                <w:sz w:val="21"/>
                <w:szCs w:val="21"/>
              </w:rPr>
              <w:t>水环境影响评价</w:t>
            </w:r>
          </w:p>
        </w:tc>
        <w:tc>
          <w:tcPr>
            <w:tcW w:w="9501" w:type="dxa"/>
            <w:gridSpan w:val="13"/>
            <w:tcBorders>
              <w:bottom w:val="single" w:color="000000" w:sz="8" w:space="0"/>
            </w:tcBorders>
            <w:shd w:val="clear" w:color="auto" w:fill="auto"/>
            <w:vAlign w:val="center"/>
          </w:tcPr>
          <w:p>
            <w:pPr>
              <w:spacing w:line="240" w:lineRule="auto"/>
              <w:ind w:firstLine="0" w:firstLineChars="0"/>
              <w:rPr>
                <w:rFonts w:ascii="宋体" w:hAnsi="宋体"/>
                <w:color w:val="000000"/>
                <w:sz w:val="21"/>
                <w:szCs w:val="21"/>
              </w:rPr>
            </w:pPr>
            <w:r>
              <w:rPr>
                <w:rFonts w:hint="eastAsia" w:ascii="宋体" w:hAnsi="宋体"/>
                <w:color w:val="000000"/>
                <w:sz w:val="21"/>
                <w:szCs w:val="21"/>
              </w:rPr>
              <w:t>排放口混合区外满足水环境管理要求口</w:t>
            </w:r>
          </w:p>
          <w:p>
            <w:pPr>
              <w:spacing w:line="240" w:lineRule="auto"/>
              <w:ind w:firstLine="0" w:firstLineChars="0"/>
              <w:rPr>
                <w:rFonts w:ascii="宋体" w:hAnsi="宋体"/>
                <w:color w:val="000000"/>
                <w:sz w:val="21"/>
                <w:szCs w:val="21"/>
              </w:rPr>
            </w:pPr>
            <w:r>
              <w:rPr>
                <w:rFonts w:hint="eastAsia" w:ascii="宋体" w:hAnsi="宋体"/>
                <w:color w:val="000000"/>
                <w:sz w:val="21"/>
                <w:szCs w:val="21"/>
              </w:rPr>
              <w:t>水环境功能区或水功能区、近岸海域环填功能区水质直达标</w:t>
            </w:r>
            <w:r>
              <w:rPr>
                <w:rFonts w:ascii="宋体" w:hAnsi="宋体"/>
                <w:color w:val="000000"/>
                <w:sz w:val="21"/>
                <w:szCs w:val="21"/>
              </w:rPr>
              <w:t xml:space="preserve"> </w:t>
            </w:r>
            <w:r>
              <w:rPr>
                <w:rFonts w:hint="eastAsia" w:ascii="宋体" w:hAnsi="宋体"/>
                <w:color w:val="000000"/>
                <w:sz w:val="21"/>
                <w:szCs w:val="21"/>
              </w:rPr>
              <w:t>口</w:t>
            </w:r>
          </w:p>
          <w:p>
            <w:pPr>
              <w:spacing w:line="240" w:lineRule="auto"/>
              <w:ind w:firstLine="0" w:firstLineChars="0"/>
              <w:rPr>
                <w:rFonts w:ascii="宋体" w:hAnsi="宋体"/>
                <w:color w:val="000000"/>
                <w:sz w:val="21"/>
                <w:szCs w:val="21"/>
              </w:rPr>
            </w:pPr>
            <w:r>
              <w:rPr>
                <w:rFonts w:ascii="宋体" w:hAnsi="宋体"/>
                <w:color w:val="000000"/>
                <w:sz w:val="21"/>
                <w:szCs w:val="21"/>
              </w:rPr>
              <w:t xml:space="preserve"> </w:t>
            </w:r>
            <w:r>
              <w:rPr>
                <w:rFonts w:hint="eastAsia" w:ascii="宋体" w:hAnsi="宋体"/>
                <w:color w:val="000000"/>
                <w:sz w:val="21"/>
                <w:szCs w:val="21"/>
              </w:rPr>
              <w:t>满足水环境保护目标水域水环境质量要求</w:t>
            </w:r>
            <w:r>
              <w:rPr>
                <w:rFonts w:ascii="宋体" w:hAnsi="宋体"/>
                <w:color w:val="000000"/>
                <w:sz w:val="21"/>
                <w:szCs w:val="21"/>
              </w:rPr>
              <w:t xml:space="preserve"> </w:t>
            </w:r>
            <w:r>
              <w:rPr>
                <w:rFonts w:hint="eastAsia" w:ascii="宋体" w:hAnsi="宋体"/>
                <w:color w:val="000000"/>
                <w:sz w:val="21"/>
                <w:szCs w:val="21"/>
              </w:rPr>
              <w:t>口</w:t>
            </w:r>
          </w:p>
          <w:p>
            <w:pPr>
              <w:spacing w:line="240" w:lineRule="auto"/>
              <w:ind w:firstLine="0" w:firstLineChars="0"/>
              <w:rPr>
                <w:rFonts w:ascii="宋体" w:hAnsi="宋体"/>
                <w:color w:val="000000"/>
                <w:sz w:val="21"/>
                <w:szCs w:val="21"/>
              </w:rPr>
            </w:pPr>
            <w:r>
              <w:rPr>
                <w:rFonts w:ascii="宋体" w:hAnsi="宋体"/>
                <w:color w:val="000000"/>
                <w:sz w:val="21"/>
                <w:szCs w:val="21"/>
              </w:rPr>
              <w:t xml:space="preserve"> </w:t>
            </w:r>
            <w:r>
              <w:rPr>
                <w:rFonts w:hint="eastAsia" w:ascii="宋体" w:hAnsi="宋体"/>
                <w:color w:val="000000"/>
                <w:sz w:val="21"/>
                <w:szCs w:val="21"/>
              </w:rPr>
              <w:t>水环境控制单元或断面水质达标</w:t>
            </w:r>
            <w:r>
              <w:rPr>
                <w:rFonts w:ascii="宋体" w:hAnsi="宋体"/>
                <w:color w:val="000000"/>
                <w:sz w:val="21"/>
                <w:szCs w:val="21"/>
              </w:rPr>
              <w:t xml:space="preserve"> </w:t>
            </w:r>
            <w:r>
              <w:rPr>
                <w:rFonts w:hint="eastAsia" w:ascii="宋体" w:hAnsi="宋体"/>
                <w:color w:val="000000"/>
                <w:sz w:val="21"/>
                <w:szCs w:val="21"/>
              </w:rPr>
              <w:t>口</w:t>
            </w:r>
          </w:p>
          <w:p>
            <w:pPr>
              <w:spacing w:line="240" w:lineRule="auto"/>
              <w:ind w:firstLine="0" w:firstLineChars="0"/>
              <w:rPr>
                <w:rFonts w:ascii="宋体" w:hAnsi="宋体"/>
                <w:color w:val="000000"/>
                <w:sz w:val="21"/>
                <w:szCs w:val="21"/>
              </w:rPr>
            </w:pPr>
            <w:r>
              <w:rPr>
                <w:rFonts w:hint="eastAsia" w:ascii="宋体" w:hAnsi="宋体"/>
                <w:color w:val="000000"/>
                <w:sz w:val="21"/>
                <w:szCs w:val="21"/>
              </w:rPr>
              <w:t>满足重点水污染物排放总量控制指标要求，重点行业建设项目，</w:t>
            </w:r>
            <w:r>
              <w:rPr>
                <w:rFonts w:ascii="宋体" w:hAnsi="宋体"/>
                <w:color w:val="000000"/>
                <w:sz w:val="21"/>
                <w:szCs w:val="21"/>
              </w:rPr>
              <w:t xml:space="preserve"> </w:t>
            </w:r>
            <w:r>
              <w:rPr>
                <w:rFonts w:hint="eastAsia" w:ascii="宋体" w:hAnsi="宋体"/>
                <w:color w:val="000000"/>
                <w:sz w:val="21"/>
                <w:szCs w:val="21"/>
              </w:rPr>
              <w:t>主变污染物排放满足等量</w:t>
            </w:r>
            <w:r>
              <w:rPr>
                <w:rFonts w:ascii="宋体" w:hAnsi="宋体"/>
                <w:color w:val="000000"/>
                <w:sz w:val="21"/>
                <w:szCs w:val="21"/>
              </w:rPr>
              <w:t>或</w:t>
            </w:r>
            <w:r>
              <w:rPr>
                <w:rFonts w:hint="eastAsia" w:ascii="宋体" w:hAnsi="宋体"/>
                <w:color w:val="000000"/>
                <w:sz w:val="21"/>
                <w:szCs w:val="21"/>
              </w:rPr>
              <w:t>减量替代要求</w:t>
            </w:r>
            <w:r>
              <w:rPr>
                <w:rFonts w:ascii="宋体" w:hAnsi="宋体"/>
                <w:color w:val="000000"/>
                <w:sz w:val="21"/>
                <w:szCs w:val="21"/>
              </w:rPr>
              <w:t xml:space="preserve"> </w:t>
            </w:r>
            <w:r>
              <w:rPr>
                <w:rFonts w:hint="eastAsia" w:ascii="宋体" w:hAnsi="宋体"/>
                <w:color w:val="000000"/>
                <w:sz w:val="21"/>
                <w:szCs w:val="21"/>
              </w:rPr>
              <w:t>口</w:t>
            </w:r>
          </w:p>
          <w:p>
            <w:pPr>
              <w:spacing w:line="240" w:lineRule="auto"/>
              <w:ind w:firstLine="0" w:firstLineChars="0"/>
              <w:rPr>
                <w:rFonts w:ascii="宋体" w:hAnsi="宋体"/>
                <w:color w:val="000000"/>
                <w:sz w:val="21"/>
                <w:szCs w:val="21"/>
              </w:rPr>
            </w:pPr>
            <w:r>
              <w:rPr>
                <w:rFonts w:hint="eastAsia" w:ascii="宋体" w:hAnsi="宋体"/>
                <w:color w:val="000000"/>
                <w:sz w:val="21"/>
                <w:szCs w:val="21"/>
              </w:rPr>
              <w:t>满足区（流）域水环境质量改善目标要求 口</w:t>
            </w:r>
          </w:p>
          <w:p>
            <w:pPr>
              <w:spacing w:line="240" w:lineRule="auto"/>
              <w:ind w:firstLine="0" w:firstLineChars="0"/>
              <w:rPr>
                <w:rFonts w:ascii="宋体" w:hAnsi="宋体"/>
                <w:color w:val="000000"/>
                <w:sz w:val="21"/>
                <w:szCs w:val="21"/>
              </w:rPr>
            </w:pPr>
            <w:r>
              <w:rPr>
                <w:rFonts w:hint="eastAsia" w:ascii="宋体" w:hAnsi="宋体"/>
                <w:color w:val="000000"/>
                <w:sz w:val="21"/>
                <w:szCs w:val="21"/>
              </w:rPr>
              <w:t>水文要素影响型建设项目同时应包括水文情势变化评价、主要水文特征值影响评价、生态流量符合性评价 口</w:t>
            </w:r>
            <w:r>
              <w:rPr>
                <w:rFonts w:ascii="宋体" w:hAnsi="宋体"/>
                <w:color w:val="000000"/>
                <w:sz w:val="21"/>
                <w:szCs w:val="21"/>
              </w:rPr>
              <w:t xml:space="preserve"> </w:t>
            </w:r>
          </w:p>
          <w:p>
            <w:pPr>
              <w:spacing w:line="240" w:lineRule="auto"/>
              <w:ind w:firstLine="0" w:firstLineChars="0"/>
              <w:rPr>
                <w:rFonts w:ascii="宋体" w:hAnsi="宋体"/>
                <w:color w:val="000000"/>
                <w:sz w:val="21"/>
                <w:szCs w:val="21"/>
              </w:rPr>
            </w:pPr>
            <w:r>
              <w:rPr>
                <w:rFonts w:hint="eastAsia" w:ascii="宋体" w:hAnsi="宋体"/>
                <w:color w:val="000000"/>
                <w:sz w:val="21"/>
                <w:szCs w:val="21"/>
              </w:rPr>
              <w:t>对于新建设或调整入河〈湖库</w:t>
            </w:r>
            <w:r>
              <w:rPr>
                <w:rFonts w:ascii="宋体" w:hAnsi="宋体"/>
                <w:color w:val="000000"/>
                <w:sz w:val="21"/>
                <w:szCs w:val="21"/>
              </w:rPr>
              <w:t xml:space="preserve"> </w:t>
            </w:r>
            <w:r>
              <w:rPr>
                <w:rFonts w:hint="eastAsia" w:ascii="宋体" w:hAnsi="宋体"/>
                <w:color w:val="000000"/>
                <w:sz w:val="21"/>
                <w:szCs w:val="21"/>
              </w:rPr>
              <w:t>、近岸海域〉始放口的建设项目，应包括排放口设置的环境合理性评价</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w:t>
            </w:r>
          </w:p>
          <w:p>
            <w:pPr>
              <w:spacing w:line="240" w:lineRule="auto"/>
              <w:ind w:firstLine="0" w:firstLineChars="0"/>
              <w:rPr>
                <w:rFonts w:ascii="宋体" w:hAnsi="宋体"/>
                <w:color w:val="000000"/>
                <w:sz w:val="21"/>
                <w:szCs w:val="21"/>
              </w:rPr>
            </w:pPr>
            <w:r>
              <w:rPr>
                <w:rFonts w:hint="eastAsia" w:ascii="宋体" w:hAnsi="宋体"/>
                <w:color w:val="000000"/>
                <w:sz w:val="21"/>
                <w:szCs w:val="21"/>
              </w:rPr>
              <w:t>满足生态保护红线、水环境质量底线、资源利用上线和环境准入清单管理要求 口</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428" w:hRule="atLeast"/>
        </w:trPr>
        <w:tc>
          <w:tcPr>
            <w:tcW w:w="2694" w:type="dxa"/>
            <w:gridSpan w:val="2"/>
            <w:vMerge w:val="continue"/>
            <w:shd w:val="clear" w:color="auto" w:fill="auto"/>
          </w:tcPr>
          <w:p>
            <w:pPr>
              <w:ind w:firstLine="420"/>
              <w:rPr>
                <w:rFonts w:ascii="宋体" w:hAnsi="宋体"/>
                <w:color w:val="000000"/>
                <w:sz w:val="21"/>
                <w:szCs w:val="21"/>
              </w:rPr>
            </w:pPr>
          </w:p>
        </w:tc>
        <w:tc>
          <w:tcPr>
            <w:tcW w:w="2268" w:type="dxa"/>
            <w:gridSpan w:val="2"/>
            <w:vMerge w:val="restart"/>
            <w:shd w:val="clear" w:color="auto" w:fill="auto"/>
            <w:vAlign w:val="center"/>
          </w:tcPr>
          <w:p>
            <w:pPr>
              <w:ind w:firstLine="0" w:firstLineChars="0"/>
              <w:rPr>
                <w:rFonts w:ascii="宋体" w:hAnsi="宋体"/>
                <w:color w:val="000000"/>
                <w:sz w:val="21"/>
                <w:szCs w:val="21"/>
              </w:rPr>
            </w:pPr>
            <w:r>
              <w:rPr>
                <w:rFonts w:hint="eastAsia" w:ascii="宋体" w:hAnsi="宋体"/>
                <w:color w:val="000000"/>
                <w:sz w:val="21"/>
                <w:szCs w:val="21"/>
              </w:rPr>
              <w:t>污染源排放量核算</w:t>
            </w:r>
          </w:p>
        </w:tc>
        <w:tc>
          <w:tcPr>
            <w:tcW w:w="2268" w:type="dxa"/>
            <w:gridSpan w:val="2"/>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污染物名称</w:t>
            </w:r>
          </w:p>
        </w:tc>
        <w:tc>
          <w:tcPr>
            <w:tcW w:w="4466" w:type="dxa"/>
            <w:gridSpan w:val="7"/>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排放量/</w:t>
            </w:r>
            <w:r>
              <w:rPr>
                <w:rFonts w:ascii="宋体" w:hAnsi="宋体"/>
                <w:color w:val="000000"/>
                <w:sz w:val="21"/>
                <w:szCs w:val="21"/>
              </w:rPr>
              <w:t>(t/a )</w:t>
            </w:r>
          </w:p>
        </w:tc>
        <w:tc>
          <w:tcPr>
            <w:tcW w:w="2767" w:type="dxa"/>
            <w:gridSpan w:val="4"/>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排放浓度/</w:t>
            </w:r>
            <w:r>
              <w:rPr>
                <w:rFonts w:ascii="宋体" w:hAnsi="宋体"/>
                <w:color w:val="000000"/>
                <w:sz w:val="21"/>
                <w:szCs w:val="21"/>
              </w:rPr>
              <w:t xml:space="preserve"> (mg</w:t>
            </w:r>
            <w:r>
              <w:rPr>
                <w:rFonts w:hint="eastAsia" w:ascii="宋体" w:hAnsi="宋体"/>
                <w:color w:val="000000"/>
                <w:sz w:val="21"/>
                <w:szCs w:val="21"/>
              </w:rPr>
              <w:t>/</w:t>
            </w:r>
            <w:r>
              <w:rPr>
                <w:rFonts w:ascii="宋体" w:hAnsi="宋体"/>
                <w:color w:val="000000"/>
                <w:sz w:val="21"/>
                <w:szCs w:val="21"/>
              </w:rPr>
              <w:t>L)</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88" w:hRule="atLeast"/>
        </w:trPr>
        <w:tc>
          <w:tcPr>
            <w:tcW w:w="2694" w:type="dxa"/>
            <w:gridSpan w:val="2"/>
            <w:vMerge w:val="continue"/>
            <w:shd w:val="clear" w:color="auto" w:fill="auto"/>
          </w:tcPr>
          <w:p>
            <w:pPr>
              <w:ind w:firstLine="420"/>
              <w:rPr>
                <w:rFonts w:ascii="宋体" w:hAnsi="宋体"/>
                <w:color w:val="000000"/>
                <w:sz w:val="21"/>
                <w:szCs w:val="21"/>
              </w:rPr>
            </w:pPr>
          </w:p>
        </w:tc>
        <w:tc>
          <w:tcPr>
            <w:tcW w:w="2268" w:type="dxa"/>
            <w:gridSpan w:val="2"/>
            <w:vMerge w:val="continue"/>
            <w:shd w:val="clear" w:color="auto" w:fill="auto"/>
            <w:vAlign w:val="center"/>
          </w:tcPr>
          <w:p>
            <w:pPr>
              <w:ind w:firstLine="420"/>
              <w:rPr>
                <w:rFonts w:ascii="宋体" w:hAnsi="宋体"/>
                <w:color w:val="000000"/>
                <w:sz w:val="21"/>
                <w:szCs w:val="21"/>
              </w:rPr>
            </w:pPr>
          </w:p>
        </w:tc>
        <w:tc>
          <w:tcPr>
            <w:tcW w:w="2268" w:type="dxa"/>
            <w:gridSpan w:val="2"/>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（COD、氨氮）</w:t>
            </w:r>
          </w:p>
        </w:tc>
        <w:tc>
          <w:tcPr>
            <w:tcW w:w="4466" w:type="dxa"/>
            <w:gridSpan w:val="7"/>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w:t>
            </w:r>
            <w:r>
              <w:rPr>
                <w:rFonts w:ascii="宋体" w:hAnsi="宋体"/>
                <w:color w:val="000000"/>
                <w:sz w:val="21"/>
                <w:szCs w:val="21"/>
              </w:rPr>
              <w:t>0.073</w:t>
            </w:r>
            <w:r>
              <w:rPr>
                <w:rFonts w:hint="eastAsia" w:ascii="宋体" w:hAnsi="宋体"/>
                <w:color w:val="000000"/>
                <w:sz w:val="21"/>
                <w:szCs w:val="21"/>
              </w:rPr>
              <w:t>、</w:t>
            </w:r>
            <w:r>
              <w:rPr>
                <w:rFonts w:ascii="宋体" w:hAnsi="宋体"/>
                <w:color w:val="000000"/>
                <w:sz w:val="21"/>
                <w:szCs w:val="21"/>
              </w:rPr>
              <w:t>0.0097</w:t>
            </w:r>
            <w:r>
              <w:rPr>
                <w:rFonts w:hint="eastAsia" w:ascii="宋体" w:hAnsi="宋体"/>
                <w:color w:val="000000"/>
                <w:sz w:val="21"/>
                <w:szCs w:val="21"/>
              </w:rPr>
              <w:t>）</w:t>
            </w:r>
          </w:p>
        </w:tc>
        <w:tc>
          <w:tcPr>
            <w:tcW w:w="2767" w:type="dxa"/>
            <w:gridSpan w:val="4"/>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w:t>
            </w:r>
            <w:r>
              <w:rPr>
                <w:rFonts w:ascii="宋体" w:hAnsi="宋体"/>
                <w:color w:val="000000"/>
                <w:sz w:val="21"/>
                <w:szCs w:val="21"/>
              </w:rPr>
              <w:t>225</w:t>
            </w:r>
            <w:r>
              <w:rPr>
                <w:rFonts w:hint="eastAsia" w:ascii="宋体" w:hAnsi="宋体"/>
                <w:color w:val="000000"/>
                <w:sz w:val="21"/>
                <w:szCs w:val="21"/>
              </w:rPr>
              <w:t>、</w:t>
            </w:r>
            <w:r>
              <w:rPr>
                <w:rFonts w:ascii="宋体" w:hAnsi="宋体"/>
                <w:color w:val="000000"/>
                <w:sz w:val="21"/>
                <w:szCs w:val="21"/>
              </w:rPr>
              <w:t>30</w:t>
            </w:r>
            <w:r>
              <w:rPr>
                <w:rFonts w:hint="eastAsia" w:ascii="宋体" w:hAnsi="宋体"/>
                <w:color w:val="000000"/>
                <w:sz w:val="21"/>
                <w:szCs w:val="21"/>
              </w:rPr>
              <w:t>）</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833" w:hRule="atLeast"/>
        </w:trPr>
        <w:tc>
          <w:tcPr>
            <w:tcW w:w="2694" w:type="dxa"/>
            <w:gridSpan w:val="2"/>
            <w:vMerge w:val="continue"/>
            <w:shd w:val="clear" w:color="auto" w:fill="auto"/>
          </w:tcPr>
          <w:p>
            <w:pPr>
              <w:ind w:firstLine="420"/>
              <w:rPr>
                <w:rFonts w:ascii="宋体" w:hAnsi="宋体"/>
                <w:color w:val="000000"/>
                <w:sz w:val="21"/>
                <w:szCs w:val="21"/>
              </w:rPr>
            </w:pPr>
          </w:p>
        </w:tc>
        <w:tc>
          <w:tcPr>
            <w:tcW w:w="2268" w:type="dxa"/>
            <w:gridSpan w:val="2"/>
            <w:vMerge w:val="continue"/>
            <w:shd w:val="clear" w:color="auto" w:fill="auto"/>
            <w:vAlign w:val="center"/>
          </w:tcPr>
          <w:p>
            <w:pPr>
              <w:ind w:firstLine="420"/>
              <w:rPr>
                <w:rFonts w:ascii="宋体" w:hAnsi="宋体"/>
                <w:color w:val="000000"/>
                <w:sz w:val="21"/>
                <w:szCs w:val="21"/>
              </w:rPr>
            </w:pPr>
          </w:p>
        </w:tc>
        <w:tc>
          <w:tcPr>
            <w:tcW w:w="1275" w:type="dxa"/>
            <w:shd w:val="clear" w:color="auto" w:fill="auto"/>
            <w:vAlign w:val="center"/>
          </w:tcPr>
          <w:p>
            <w:pPr>
              <w:ind w:firstLine="0" w:firstLineChars="0"/>
              <w:rPr>
                <w:rFonts w:ascii="宋体" w:hAnsi="宋体"/>
                <w:color w:val="000000"/>
                <w:sz w:val="21"/>
                <w:szCs w:val="21"/>
              </w:rPr>
            </w:pPr>
            <w:r>
              <w:rPr>
                <w:rFonts w:hint="eastAsia" w:ascii="宋体" w:hAnsi="宋体"/>
                <w:color w:val="000000"/>
                <w:sz w:val="21"/>
                <w:szCs w:val="21"/>
              </w:rPr>
              <w:t>污染源名称</w:t>
            </w:r>
          </w:p>
        </w:tc>
        <w:tc>
          <w:tcPr>
            <w:tcW w:w="2510" w:type="dxa"/>
            <w:gridSpan w:val="4"/>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排污许可证编号</w:t>
            </w:r>
          </w:p>
        </w:tc>
        <w:tc>
          <w:tcPr>
            <w:tcW w:w="1649" w:type="dxa"/>
            <w:gridSpan w:val="2"/>
            <w:shd w:val="clear" w:color="auto" w:fill="auto"/>
            <w:vAlign w:val="center"/>
          </w:tcPr>
          <w:p>
            <w:pPr>
              <w:ind w:firstLine="0" w:firstLineChars="0"/>
              <w:rPr>
                <w:rFonts w:ascii="宋体" w:hAnsi="宋体"/>
                <w:color w:val="000000"/>
                <w:sz w:val="21"/>
                <w:szCs w:val="21"/>
              </w:rPr>
            </w:pPr>
            <w:r>
              <w:rPr>
                <w:rFonts w:hint="eastAsia" w:ascii="宋体" w:hAnsi="宋体"/>
                <w:color w:val="000000"/>
                <w:sz w:val="21"/>
                <w:szCs w:val="21"/>
              </w:rPr>
              <w:t>污染物名称</w:t>
            </w:r>
          </w:p>
        </w:tc>
        <w:tc>
          <w:tcPr>
            <w:tcW w:w="2645" w:type="dxa"/>
            <w:gridSpan w:val="5"/>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排放量/</w:t>
            </w:r>
            <w:r>
              <w:rPr>
                <w:rFonts w:ascii="宋体" w:hAnsi="宋体"/>
                <w:color w:val="000000"/>
                <w:sz w:val="21"/>
                <w:szCs w:val="21"/>
              </w:rPr>
              <w:t>(t</w:t>
            </w:r>
            <w:r>
              <w:rPr>
                <w:rFonts w:hint="eastAsia" w:ascii="宋体" w:hAnsi="宋体"/>
                <w:color w:val="000000"/>
                <w:sz w:val="21"/>
                <w:szCs w:val="21"/>
              </w:rPr>
              <w:t>/</w:t>
            </w:r>
            <w:r>
              <w:rPr>
                <w:rFonts w:ascii="宋体" w:hAnsi="宋体"/>
                <w:color w:val="000000"/>
                <w:sz w:val="21"/>
                <w:szCs w:val="21"/>
              </w:rPr>
              <w:t>a )</w:t>
            </w:r>
          </w:p>
        </w:tc>
        <w:tc>
          <w:tcPr>
            <w:tcW w:w="1422" w:type="dxa"/>
            <w:shd w:val="clear" w:color="auto" w:fill="auto"/>
            <w:vAlign w:val="center"/>
          </w:tcPr>
          <w:p>
            <w:pPr>
              <w:ind w:firstLine="0" w:firstLineChars="0"/>
              <w:rPr>
                <w:rFonts w:ascii="宋体" w:hAnsi="宋体"/>
                <w:color w:val="000000"/>
                <w:sz w:val="21"/>
                <w:szCs w:val="21"/>
              </w:rPr>
            </w:pPr>
            <w:r>
              <w:rPr>
                <w:rFonts w:hint="eastAsia" w:ascii="宋体" w:hAnsi="宋体"/>
                <w:color w:val="000000"/>
                <w:sz w:val="21"/>
                <w:szCs w:val="21"/>
              </w:rPr>
              <w:t>排放浓度</w:t>
            </w:r>
            <w:r>
              <w:rPr>
                <w:rFonts w:ascii="宋体" w:hAnsi="宋体"/>
                <w:color w:val="000000"/>
                <w:sz w:val="21"/>
                <w:szCs w:val="21"/>
              </w:rPr>
              <w:t>/(mg</w:t>
            </w:r>
            <w:r>
              <w:rPr>
                <w:rFonts w:hint="eastAsia" w:ascii="宋体" w:hAnsi="宋体"/>
                <w:color w:val="000000"/>
                <w:sz w:val="21"/>
                <w:szCs w:val="21"/>
              </w:rPr>
              <w:t>/</w:t>
            </w:r>
            <w:r>
              <w:rPr>
                <w:rFonts w:ascii="宋体" w:hAnsi="宋体"/>
                <w:color w:val="000000"/>
                <w:sz w:val="21"/>
                <w:szCs w:val="21"/>
              </w:rPr>
              <w:t>L)</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788" w:hRule="atLeast"/>
        </w:trPr>
        <w:tc>
          <w:tcPr>
            <w:tcW w:w="2694" w:type="dxa"/>
            <w:gridSpan w:val="2"/>
            <w:vMerge w:val="continue"/>
            <w:shd w:val="clear" w:color="auto" w:fill="auto"/>
          </w:tcPr>
          <w:p>
            <w:pPr>
              <w:ind w:firstLine="420"/>
              <w:rPr>
                <w:rFonts w:ascii="宋体" w:hAnsi="宋体"/>
                <w:color w:val="000000"/>
                <w:sz w:val="21"/>
                <w:szCs w:val="21"/>
              </w:rPr>
            </w:pPr>
          </w:p>
        </w:tc>
        <w:tc>
          <w:tcPr>
            <w:tcW w:w="2268" w:type="dxa"/>
            <w:gridSpan w:val="2"/>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替代源排放情况</w:t>
            </w:r>
          </w:p>
        </w:tc>
        <w:tc>
          <w:tcPr>
            <w:tcW w:w="1275" w:type="dxa"/>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w:t>
            </w:r>
          </w:p>
        </w:tc>
        <w:tc>
          <w:tcPr>
            <w:tcW w:w="2510" w:type="dxa"/>
            <w:gridSpan w:val="4"/>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w:t>
            </w:r>
          </w:p>
        </w:tc>
        <w:tc>
          <w:tcPr>
            <w:tcW w:w="1649" w:type="dxa"/>
            <w:gridSpan w:val="2"/>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w:t>
            </w:r>
          </w:p>
        </w:tc>
        <w:tc>
          <w:tcPr>
            <w:tcW w:w="2645" w:type="dxa"/>
            <w:gridSpan w:val="5"/>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w:t>
            </w:r>
          </w:p>
        </w:tc>
        <w:tc>
          <w:tcPr>
            <w:tcW w:w="1422" w:type="dxa"/>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405" w:hRule="atLeast"/>
        </w:trPr>
        <w:tc>
          <w:tcPr>
            <w:tcW w:w="2694" w:type="dxa"/>
            <w:gridSpan w:val="2"/>
            <w:vMerge w:val="continue"/>
            <w:shd w:val="clear" w:color="auto" w:fill="auto"/>
          </w:tcPr>
          <w:p>
            <w:pPr>
              <w:ind w:firstLine="420"/>
              <w:rPr>
                <w:rFonts w:ascii="宋体" w:hAnsi="宋体"/>
                <w:color w:val="000000"/>
                <w:sz w:val="21"/>
                <w:szCs w:val="21"/>
              </w:rPr>
            </w:pPr>
          </w:p>
        </w:tc>
        <w:tc>
          <w:tcPr>
            <w:tcW w:w="2268" w:type="dxa"/>
            <w:gridSpan w:val="2"/>
            <w:vMerge w:val="restart"/>
            <w:shd w:val="clear" w:color="auto" w:fill="auto"/>
            <w:vAlign w:val="center"/>
          </w:tcPr>
          <w:p>
            <w:pPr>
              <w:ind w:firstLine="420"/>
              <w:rPr>
                <w:rFonts w:ascii="宋体" w:hAnsi="宋体"/>
                <w:color w:val="000000"/>
                <w:sz w:val="21"/>
                <w:szCs w:val="21"/>
              </w:rPr>
            </w:pPr>
            <w:r>
              <w:rPr>
                <w:rFonts w:ascii="宋体" w:hAnsi="宋体"/>
                <w:color w:val="000000"/>
                <w:sz w:val="21"/>
                <w:szCs w:val="21"/>
              </w:rPr>
              <w:t>　</w:t>
            </w:r>
            <w:r>
              <w:rPr>
                <w:rFonts w:hint="eastAsia" w:ascii="宋体" w:hAnsi="宋体"/>
                <w:color w:val="000000"/>
                <w:sz w:val="21"/>
                <w:szCs w:val="21"/>
              </w:rPr>
              <w:t>生态流量确定</w:t>
            </w:r>
          </w:p>
        </w:tc>
        <w:tc>
          <w:tcPr>
            <w:tcW w:w="9501" w:type="dxa"/>
            <w:gridSpan w:val="1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生态流量，一般水期</w:t>
            </w:r>
            <w:r>
              <w:rPr>
                <w:rFonts w:ascii="宋体" w:hAnsi="宋体"/>
                <w:color w:val="000000"/>
                <w:sz w:val="21"/>
                <w:szCs w:val="21"/>
              </w:rPr>
              <w:t xml:space="preserve">( ) </w:t>
            </w:r>
            <w:r>
              <w:rPr>
                <w:rFonts w:hint="eastAsia" w:ascii="宋体" w:hAnsi="宋体"/>
                <w:color w:val="000000"/>
                <w:sz w:val="21"/>
                <w:szCs w:val="21"/>
              </w:rPr>
              <w:t>m³/s；</w:t>
            </w:r>
            <w:r>
              <w:rPr>
                <w:rFonts w:ascii="宋体" w:hAnsi="宋体"/>
                <w:color w:val="000000"/>
                <w:sz w:val="21"/>
                <w:szCs w:val="21"/>
              </w:rPr>
              <w:t xml:space="preserve"> </w:t>
            </w:r>
            <w:r>
              <w:rPr>
                <w:rFonts w:hint="eastAsia" w:ascii="宋体" w:hAnsi="宋体"/>
                <w:color w:val="000000"/>
                <w:sz w:val="21"/>
                <w:szCs w:val="21"/>
              </w:rPr>
              <w:t>鱼类繁殖期（）一般水期</w:t>
            </w:r>
            <w:r>
              <w:rPr>
                <w:rFonts w:ascii="宋体" w:hAnsi="宋体"/>
                <w:color w:val="000000"/>
                <w:sz w:val="21"/>
                <w:szCs w:val="21"/>
              </w:rPr>
              <w:t xml:space="preserve">( ) </w:t>
            </w:r>
            <w:r>
              <w:rPr>
                <w:rFonts w:hint="eastAsia" w:ascii="宋体" w:hAnsi="宋体"/>
                <w:color w:val="000000"/>
                <w:sz w:val="21"/>
                <w:szCs w:val="21"/>
              </w:rPr>
              <w:t>m³/s；其他(</w:t>
            </w:r>
            <w:r>
              <w:rPr>
                <w:rFonts w:ascii="宋体" w:hAnsi="宋体"/>
                <w:color w:val="000000"/>
                <w:sz w:val="21"/>
                <w:szCs w:val="21"/>
              </w:rPr>
              <w:t xml:space="preserve"> ) </w:t>
            </w:r>
            <w:r>
              <w:rPr>
                <w:rFonts w:hint="eastAsia" w:ascii="宋体" w:hAnsi="宋体"/>
                <w:color w:val="000000"/>
                <w:sz w:val="21"/>
                <w:szCs w:val="21"/>
              </w:rPr>
              <w:t>m³</w:t>
            </w:r>
            <w:r>
              <w:rPr>
                <w:rFonts w:ascii="宋体" w:hAnsi="宋体"/>
                <w:color w:val="000000"/>
                <w:sz w:val="21"/>
                <w:szCs w:val="21"/>
              </w:rPr>
              <w:t>/s</w:t>
            </w:r>
          </w:p>
        </w:tc>
      </w:tr>
      <w:tr>
        <w:tblPrEx>
          <w:tblBorders>
            <w:top w:val="single" w:color="auto" w:sz="4"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gridBefore w:val="1"/>
          <w:wBefore w:w="15" w:type="dxa"/>
          <w:trHeight w:val="788" w:hRule="atLeast"/>
        </w:trPr>
        <w:tc>
          <w:tcPr>
            <w:tcW w:w="2694" w:type="dxa"/>
            <w:gridSpan w:val="2"/>
            <w:vMerge w:val="continue"/>
            <w:shd w:val="clear" w:color="auto" w:fill="auto"/>
          </w:tcPr>
          <w:p>
            <w:pPr>
              <w:ind w:firstLine="420"/>
              <w:rPr>
                <w:rFonts w:ascii="宋体" w:hAnsi="宋体"/>
                <w:color w:val="000000"/>
                <w:sz w:val="21"/>
                <w:szCs w:val="21"/>
              </w:rPr>
            </w:pPr>
          </w:p>
        </w:tc>
        <w:tc>
          <w:tcPr>
            <w:tcW w:w="2268" w:type="dxa"/>
            <w:gridSpan w:val="2"/>
            <w:vMerge w:val="continue"/>
            <w:shd w:val="clear" w:color="auto" w:fill="auto"/>
            <w:vAlign w:val="center"/>
          </w:tcPr>
          <w:p>
            <w:pPr>
              <w:ind w:firstLine="420"/>
              <w:rPr>
                <w:rFonts w:ascii="宋体" w:hAnsi="宋体"/>
                <w:color w:val="000000"/>
                <w:sz w:val="21"/>
                <w:szCs w:val="21"/>
              </w:rPr>
            </w:pPr>
          </w:p>
        </w:tc>
        <w:tc>
          <w:tcPr>
            <w:tcW w:w="9501" w:type="dxa"/>
            <w:gridSpan w:val="1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生态水衍，</w:t>
            </w:r>
            <w:r>
              <w:rPr>
                <w:rFonts w:ascii="宋体" w:hAnsi="宋体"/>
                <w:color w:val="000000"/>
                <w:sz w:val="21"/>
                <w:szCs w:val="21"/>
              </w:rPr>
              <w:t xml:space="preserve"> </w:t>
            </w:r>
            <w:r>
              <w:rPr>
                <w:rFonts w:hint="eastAsia" w:ascii="宋体" w:hAnsi="宋体"/>
                <w:color w:val="000000"/>
                <w:sz w:val="21"/>
                <w:szCs w:val="21"/>
              </w:rPr>
              <w:t>一般水期</w:t>
            </w:r>
            <w:r>
              <w:rPr>
                <w:rFonts w:ascii="宋体" w:hAnsi="宋体"/>
                <w:color w:val="000000"/>
                <w:sz w:val="21"/>
                <w:szCs w:val="21"/>
              </w:rPr>
              <w:t xml:space="preserve"> </w:t>
            </w:r>
            <w:r>
              <w:rPr>
                <w:rFonts w:hint="eastAsia" w:ascii="宋体" w:hAnsi="宋体"/>
                <w:color w:val="000000"/>
                <w:sz w:val="21"/>
                <w:szCs w:val="21"/>
              </w:rPr>
              <w:t>（）m；鱼类繁殖期（）m；</w:t>
            </w:r>
            <w:r>
              <w:rPr>
                <w:rFonts w:ascii="宋体" w:hAnsi="宋体"/>
                <w:color w:val="000000"/>
                <w:sz w:val="21"/>
                <w:szCs w:val="21"/>
              </w:rPr>
              <w:t xml:space="preserve"> </w:t>
            </w:r>
            <w:r>
              <w:rPr>
                <w:rFonts w:hint="eastAsia" w:ascii="宋体" w:hAnsi="宋体"/>
                <w:color w:val="000000"/>
                <w:sz w:val="21"/>
                <w:szCs w:val="21"/>
              </w:rPr>
              <w:t>其他</w:t>
            </w:r>
            <w:r>
              <w:rPr>
                <w:rFonts w:ascii="宋体" w:hAnsi="宋体"/>
                <w:color w:val="000000"/>
                <w:sz w:val="21"/>
                <w:szCs w:val="21"/>
              </w:rPr>
              <w:t xml:space="preserve"> </w:t>
            </w:r>
            <w:r>
              <w:rPr>
                <w:rFonts w:hint="eastAsia" w:ascii="宋体" w:hAnsi="宋体"/>
                <w:color w:val="000000"/>
                <w:sz w:val="21"/>
                <w:szCs w:val="21"/>
              </w:rPr>
              <w:t>（）m；</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578" w:hRule="atLeast"/>
        </w:trPr>
        <w:tc>
          <w:tcPr>
            <w:tcW w:w="2688" w:type="dxa"/>
            <w:gridSpan w:val="2"/>
            <w:vMerge w:val="restart"/>
            <w:tcBorders>
              <w:bottom w:val="single" w:color="000000" w:sz="8" w:space="0"/>
            </w:tcBorders>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防治措施</w:t>
            </w:r>
          </w:p>
        </w:tc>
        <w:tc>
          <w:tcPr>
            <w:tcW w:w="2289" w:type="dxa"/>
            <w:gridSpan w:val="3"/>
            <w:tcBorders>
              <w:bottom w:val="single" w:color="000000" w:sz="8" w:space="0"/>
            </w:tcBorders>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环保措施</w:t>
            </w:r>
          </w:p>
        </w:tc>
        <w:tc>
          <w:tcPr>
            <w:tcW w:w="9501" w:type="dxa"/>
            <w:gridSpan w:val="13"/>
            <w:tcBorders>
              <w:bottom w:val="single" w:color="000000" w:sz="8" w:space="0"/>
            </w:tcBorders>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污水处理设施</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水文减缓设施</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生态流量保障设施 口；</w:t>
            </w:r>
            <w:r>
              <w:rPr>
                <w:rFonts w:ascii="宋体" w:hAnsi="宋体"/>
                <w:color w:val="000000"/>
                <w:sz w:val="21"/>
                <w:szCs w:val="21"/>
              </w:rPr>
              <w:t>:</w:t>
            </w:r>
            <w:r>
              <w:rPr>
                <w:rFonts w:hint="eastAsia" w:ascii="宋体" w:hAnsi="宋体"/>
                <w:color w:val="000000"/>
                <w:sz w:val="21"/>
                <w:szCs w:val="21"/>
              </w:rPr>
              <w:t>区域削减 口；依托其他工程措施 口；</w:t>
            </w:r>
            <w:r>
              <w:rPr>
                <w:rFonts w:ascii="宋体" w:hAnsi="宋体"/>
                <w:color w:val="000000"/>
                <w:sz w:val="21"/>
                <w:szCs w:val="21"/>
              </w:rPr>
              <w:t xml:space="preserve"> </w:t>
            </w:r>
            <w:r>
              <w:rPr>
                <w:rFonts w:hint="eastAsia" w:ascii="宋体" w:hAnsi="宋体"/>
                <w:color w:val="000000"/>
                <w:sz w:val="21"/>
                <w:szCs w:val="21"/>
              </w:rPr>
              <w:t>其他</w:t>
            </w:r>
            <w:r>
              <w:rPr>
                <w:rFonts w:ascii="宋体" w:hAnsi="宋体"/>
                <w:color w:val="000000"/>
                <w:sz w:val="21"/>
                <w:szCs w:val="21"/>
              </w:rPr>
              <w:t xml:space="preserve"> </w:t>
            </w:r>
            <w:r>
              <w:rPr>
                <w:rFonts w:hint="eastAsia" w:ascii="宋体" w:hAnsi="宋体"/>
                <w:color w:val="000000"/>
                <w:sz w:val="21"/>
                <w:szCs w:val="21"/>
              </w:rPr>
              <w:t>口</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382" w:hRule="atLeast"/>
        </w:trPr>
        <w:tc>
          <w:tcPr>
            <w:tcW w:w="2688" w:type="dxa"/>
            <w:gridSpan w:val="2"/>
            <w:vMerge w:val="continue"/>
            <w:tcBorders>
              <w:bottom w:val="single" w:color="000000" w:sz="8" w:space="0"/>
            </w:tcBorders>
            <w:shd w:val="clear" w:color="auto" w:fill="auto"/>
            <w:vAlign w:val="center"/>
          </w:tcPr>
          <w:p>
            <w:pPr>
              <w:ind w:firstLine="420"/>
              <w:rPr>
                <w:rFonts w:ascii="宋体" w:hAnsi="宋体"/>
                <w:color w:val="000000"/>
                <w:sz w:val="21"/>
                <w:szCs w:val="21"/>
              </w:rPr>
            </w:pPr>
          </w:p>
        </w:tc>
        <w:tc>
          <w:tcPr>
            <w:tcW w:w="2289" w:type="dxa"/>
            <w:gridSpan w:val="3"/>
            <w:vMerge w:val="restart"/>
            <w:tcBorders>
              <w:bottom w:val="single" w:color="000000" w:sz="8" w:space="0"/>
            </w:tcBorders>
            <w:shd w:val="clear" w:color="auto" w:fill="auto"/>
            <w:vAlign w:val="center"/>
          </w:tcPr>
          <w:p>
            <w:pPr>
              <w:ind w:firstLine="420"/>
              <w:rPr>
                <w:rFonts w:ascii="宋体" w:hAnsi="宋体"/>
                <w:color w:val="000000"/>
                <w:sz w:val="21"/>
                <w:szCs w:val="21"/>
              </w:rPr>
            </w:pPr>
            <w:r>
              <w:rPr>
                <w:rFonts w:ascii="宋体" w:hAnsi="宋体"/>
                <w:color w:val="000000"/>
                <w:sz w:val="21"/>
                <w:szCs w:val="21"/>
              </w:rPr>
              <w:t>　</w:t>
            </w:r>
            <w:r>
              <w:rPr>
                <w:rFonts w:hint="eastAsia" w:ascii="宋体" w:hAnsi="宋体"/>
                <w:color w:val="000000"/>
                <w:sz w:val="21"/>
                <w:szCs w:val="21"/>
              </w:rPr>
              <w:t>监测计划</w:t>
            </w:r>
          </w:p>
        </w:tc>
        <w:tc>
          <w:tcPr>
            <w:tcW w:w="3088" w:type="dxa"/>
            <w:gridSpan w:val="3"/>
            <w:tcBorders>
              <w:bottom w:val="single" w:color="000000" w:sz="8" w:space="0"/>
            </w:tcBorders>
            <w:shd w:val="clear" w:color="auto" w:fill="auto"/>
            <w:vAlign w:val="center"/>
          </w:tcPr>
          <w:p>
            <w:pPr>
              <w:ind w:firstLine="420"/>
              <w:rPr>
                <w:rFonts w:ascii="宋体" w:hAnsi="宋体"/>
                <w:color w:val="000000"/>
                <w:sz w:val="21"/>
                <w:szCs w:val="21"/>
              </w:rPr>
            </w:pPr>
            <w:r>
              <w:rPr>
                <w:rFonts w:ascii="宋体" w:hAnsi="宋体"/>
                <w:color w:val="000000"/>
                <w:sz w:val="21"/>
                <w:szCs w:val="21"/>
              </w:rPr>
              <w:t>　</w:t>
            </w:r>
          </w:p>
        </w:tc>
        <w:tc>
          <w:tcPr>
            <w:tcW w:w="2688" w:type="dxa"/>
            <w:gridSpan w:val="5"/>
            <w:tcBorders>
              <w:bottom w:val="single" w:color="000000" w:sz="8" w:space="0"/>
            </w:tcBorders>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环境质量</w:t>
            </w:r>
          </w:p>
        </w:tc>
        <w:tc>
          <w:tcPr>
            <w:tcW w:w="3725" w:type="dxa"/>
            <w:gridSpan w:val="5"/>
            <w:tcBorders>
              <w:bottom w:val="single" w:color="000000" w:sz="8" w:space="0"/>
            </w:tcBorders>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污染源</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539" w:hRule="atLeast"/>
        </w:trPr>
        <w:tc>
          <w:tcPr>
            <w:tcW w:w="2688" w:type="dxa"/>
            <w:gridSpan w:val="2"/>
            <w:vMerge w:val="continue"/>
            <w:shd w:val="clear" w:color="auto" w:fill="auto"/>
            <w:vAlign w:val="center"/>
          </w:tcPr>
          <w:p>
            <w:pPr>
              <w:ind w:firstLine="420"/>
              <w:rPr>
                <w:rFonts w:ascii="宋体" w:hAnsi="宋体"/>
                <w:color w:val="000000"/>
                <w:sz w:val="21"/>
                <w:szCs w:val="21"/>
              </w:rPr>
            </w:pPr>
          </w:p>
        </w:tc>
        <w:tc>
          <w:tcPr>
            <w:tcW w:w="2289" w:type="dxa"/>
            <w:gridSpan w:val="3"/>
            <w:vMerge w:val="continue"/>
            <w:shd w:val="clear" w:color="auto" w:fill="auto"/>
            <w:vAlign w:val="center"/>
          </w:tcPr>
          <w:p>
            <w:pPr>
              <w:ind w:firstLine="420"/>
              <w:rPr>
                <w:rFonts w:ascii="宋体" w:hAnsi="宋体"/>
                <w:color w:val="000000"/>
                <w:sz w:val="21"/>
                <w:szCs w:val="21"/>
              </w:rPr>
            </w:pPr>
          </w:p>
        </w:tc>
        <w:tc>
          <w:tcPr>
            <w:tcW w:w="3088" w:type="dxa"/>
            <w:gridSpan w:val="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监测方案</w:t>
            </w:r>
          </w:p>
        </w:tc>
        <w:tc>
          <w:tcPr>
            <w:tcW w:w="2688" w:type="dxa"/>
            <w:gridSpan w:val="5"/>
            <w:shd w:val="clear" w:color="auto" w:fill="auto"/>
            <w:vAlign w:val="center"/>
          </w:tcPr>
          <w:p>
            <w:pPr>
              <w:ind w:firstLine="0" w:firstLineChars="0"/>
              <w:rPr>
                <w:rFonts w:ascii="宋体" w:hAnsi="宋体"/>
                <w:color w:val="000000"/>
                <w:sz w:val="21"/>
                <w:szCs w:val="21"/>
              </w:rPr>
            </w:pPr>
            <w:r>
              <w:rPr>
                <w:rFonts w:hint="eastAsia" w:ascii="宋体" w:hAnsi="宋体"/>
                <w:color w:val="000000"/>
                <w:sz w:val="21"/>
                <w:szCs w:val="21"/>
              </w:rPr>
              <w:t>手动</w:t>
            </w:r>
            <w:r>
              <w:rPr>
                <w:rFonts w:ascii="宋体" w:hAnsi="宋体"/>
                <w:color w:val="000000"/>
                <w:sz w:val="21"/>
                <w:szCs w:val="21"/>
              </w:rPr>
              <w:t xml:space="preserve"> </w:t>
            </w:r>
            <w:r>
              <w:rPr>
                <w:rFonts w:hint="eastAsia" w:ascii="宋体" w:hAnsi="宋体"/>
                <w:color w:val="000000"/>
                <w:sz w:val="21"/>
                <w:szCs w:val="21"/>
              </w:rPr>
              <w:t>口；</w:t>
            </w:r>
            <w:r>
              <w:rPr>
                <w:rFonts w:ascii="宋体" w:hAnsi="宋体"/>
                <w:color w:val="000000"/>
                <w:sz w:val="21"/>
                <w:szCs w:val="21"/>
              </w:rPr>
              <w:t xml:space="preserve"> </w:t>
            </w:r>
            <w:r>
              <w:rPr>
                <w:rFonts w:hint="eastAsia" w:ascii="宋体" w:hAnsi="宋体"/>
                <w:color w:val="000000"/>
                <w:sz w:val="21"/>
                <w:szCs w:val="21"/>
              </w:rPr>
              <w:t>自动</w:t>
            </w:r>
            <w:r>
              <w:rPr>
                <w:rFonts w:ascii="宋体" w:hAnsi="宋体"/>
                <w:color w:val="000000"/>
                <w:sz w:val="21"/>
                <w:szCs w:val="21"/>
              </w:rPr>
              <w:t xml:space="preserve"> </w:t>
            </w:r>
            <w:r>
              <w:rPr>
                <w:rFonts w:hint="eastAsia" w:ascii="宋体" w:hAnsi="宋体"/>
                <w:color w:val="000000"/>
                <w:sz w:val="21"/>
                <w:szCs w:val="21"/>
              </w:rPr>
              <w:t>口；无监测</w:t>
            </w:r>
            <w:r>
              <w:rPr>
                <w:rFonts w:ascii="宋体" w:hAnsi="宋体"/>
                <w:color w:val="000000"/>
                <w:sz w:val="21"/>
                <w:szCs w:val="21"/>
              </w:rPr>
              <w:t xml:space="preserve"> </w:t>
            </w:r>
            <w:r>
              <w:rPr>
                <w:rFonts w:hint="eastAsia" w:ascii="宋体" w:hAnsi="宋体"/>
                <w:color w:val="000000"/>
                <w:sz w:val="21"/>
                <w:szCs w:val="21"/>
              </w:rPr>
              <w:t>口</w:t>
            </w:r>
          </w:p>
        </w:tc>
        <w:tc>
          <w:tcPr>
            <w:tcW w:w="3725" w:type="dxa"/>
            <w:gridSpan w:val="5"/>
            <w:shd w:val="clear" w:color="auto" w:fill="auto"/>
            <w:vAlign w:val="center"/>
          </w:tcPr>
          <w:p>
            <w:pPr>
              <w:ind w:firstLine="203" w:firstLineChars="97"/>
              <w:rPr>
                <w:rFonts w:ascii="宋体" w:hAnsi="宋体"/>
                <w:color w:val="000000"/>
                <w:sz w:val="21"/>
                <w:szCs w:val="21"/>
              </w:rPr>
            </w:pPr>
            <w:r>
              <w:rPr>
                <w:rFonts w:hint="eastAsia" w:ascii="宋体" w:hAnsi="宋体"/>
                <w:color w:val="000000"/>
                <w:sz w:val="21"/>
                <w:szCs w:val="21"/>
              </w:rPr>
              <w:t>手动</w:t>
            </w:r>
            <w:r>
              <w:rPr>
                <w:rFonts w:ascii="宋体" w:hAnsi="宋体"/>
                <w:color w:val="000000"/>
                <w:sz w:val="21"/>
                <w:szCs w:val="21"/>
              </w:rPr>
              <w:t xml:space="preserve"> </w:t>
            </w:r>
            <w:r>
              <w:rPr>
                <w:rFonts w:hint="eastAsia" w:ascii="宋体" w:hAnsi="宋体"/>
                <w:color w:val="000000"/>
                <w:sz w:val="21"/>
                <w:szCs w:val="21"/>
              </w:rPr>
              <w:sym w:font="Wingdings" w:char="00FE"/>
            </w:r>
            <w:r>
              <w:rPr>
                <w:rFonts w:hint="eastAsia" w:ascii="宋体" w:hAnsi="宋体"/>
                <w:color w:val="000000"/>
                <w:sz w:val="21"/>
                <w:szCs w:val="21"/>
              </w:rPr>
              <w:t>；</w:t>
            </w:r>
            <w:r>
              <w:rPr>
                <w:rFonts w:ascii="宋体" w:hAnsi="宋体"/>
                <w:color w:val="000000"/>
                <w:sz w:val="21"/>
                <w:szCs w:val="21"/>
              </w:rPr>
              <w:t xml:space="preserve"> </w:t>
            </w:r>
            <w:r>
              <w:rPr>
                <w:rFonts w:hint="eastAsia" w:ascii="宋体" w:hAnsi="宋体"/>
                <w:color w:val="000000"/>
                <w:sz w:val="21"/>
                <w:szCs w:val="21"/>
              </w:rPr>
              <w:t>自动</w:t>
            </w:r>
            <w:r>
              <w:rPr>
                <w:rFonts w:ascii="宋体" w:hAnsi="宋体"/>
                <w:color w:val="000000"/>
                <w:sz w:val="21"/>
                <w:szCs w:val="21"/>
              </w:rPr>
              <w:t xml:space="preserve"> </w:t>
            </w:r>
            <w:r>
              <w:rPr>
                <w:rFonts w:hint="eastAsia" w:ascii="宋体" w:hAnsi="宋体"/>
                <w:color w:val="000000"/>
                <w:sz w:val="21"/>
                <w:szCs w:val="21"/>
              </w:rPr>
              <w:t>口；无监测</w:t>
            </w:r>
            <w:r>
              <w:rPr>
                <w:rFonts w:ascii="宋体" w:hAnsi="宋体"/>
                <w:color w:val="000000"/>
                <w:sz w:val="21"/>
                <w:szCs w:val="21"/>
              </w:rPr>
              <w:t xml:space="preserve"> </w:t>
            </w:r>
            <w:r>
              <w:rPr>
                <w:rFonts w:hint="eastAsia" w:ascii="宋体" w:hAnsi="宋体"/>
                <w:color w:val="000000"/>
                <w:sz w:val="21"/>
                <w:szCs w:val="21"/>
              </w:rPr>
              <w:t>口</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343" w:hRule="atLeast"/>
        </w:trPr>
        <w:tc>
          <w:tcPr>
            <w:tcW w:w="2688" w:type="dxa"/>
            <w:gridSpan w:val="2"/>
            <w:vMerge w:val="continue"/>
            <w:shd w:val="clear" w:color="auto" w:fill="auto"/>
            <w:vAlign w:val="center"/>
          </w:tcPr>
          <w:p>
            <w:pPr>
              <w:ind w:firstLine="420"/>
              <w:rPr>
                <w:rFonts w:ascii="宋体" w:hAnsi="宋体"/>
                <w:color w:val="000000"/>
                <w:sz w:val="21"/>
                <w:szCs w:val="21"/>
              </w:rPr>
            </w:pPr>
          </w:p>
        </w:tc>
        <w:tc>
          <w:tcPr>
            <w:tcW w:w="2289" w:type="dxa"/>
            <w:gridSpan w:val="3"/>
            <w:vMerge w:val="continue"/>
            <w:shd w:val="clear" w:color="auto" w:fill="auto"/>
            <w:vAlign w:val="center"/>
          </w:tcPr>
          <w:p>
            <w:pPr>
              <w:ind w:firstLine="420"/>
              <w:rPr>
                <w:rFonts w:ascii="宋体" w:hAnsi="宋体"/>
                <w:color w:val="000000"/>
                <w:sz w:val="21"/>
                <w:szCs w:val="21"/>
              </w:rPr>
            </w:pPr>
          </w:p>
        </w:tc>
        <w:tc>
          <w:tcPr>
            <w:tcW w:w="3088" w:type="dxa"/>
            <w:gridSpan w:val="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监测点位</w:t>
            </w:r>
          </w:p>
        </w:tc>
        <w:tc>
          <w:tcPr>
            <w:tcW w:w="2688" w:type="dxa"/>
            <w:gridSpan w:val="5"/>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w:t>
            </w:r>
          </w:p>
        </w:tc>
        <w:tc>
          <w:tcPr>
            <w:tcW w:w="3725" w:type="dxa"/>
            <w:gridSpan w:val="5"/>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186" w:hRule="atLeast"/>
        </w:trPr>
        <w:tc>
          <w:tcPr>
            <w:tcW w:w="2688" w:type="dxa"/>
            <w:gridSpan w:val="2"/>
            <w:vMerge w:val="continue"/>
            <w:shd w:val="clear" w:color="auto" w:fill="auto"/>
          </w:tcPr>
          <w:p>
            <w:pPr>
              <w:ind w:firstLine="420"/>
              <w:rPr>
                <w:rFonts w:ascii="宋体" w:hAnsi="宋体"/>
                <w:color w:val="000000"/>
                <w:sz w:val="21"/>
                <w:szCs w:val="21"/>
              </w:rPr>
            </w:pPr>
          </w:p>
        </w:tc>
        <w:tc>
          <w:tcPr>
            <w:tcW w:w="2289" w:type="dxa"/>
            <w:gridSpan w:val="3"/>
            <w:vMerge w:val="continue"/>
            <w:shd w:val="clear" w:color="auto" w:fill="auto"/>
          </w:tcPr>
          <w:p>
            <w:pPr>
              <w:ind w:firstLine="420"/>
              <w:rPr>
                <w:rFonts w:ascii="宋体" w:hAnsi="宋体"/>
                <w:color w:val="000000"/>
                <w:sz w:val="21"/>
                <w:szCs w:val="21"/>
              </w:rPr>
            </w:pPr>
          </w:p>
        </w:tc>
        <w:tc>
          <w:tcPr>
            <w:tcW w:w="3088" w:type="dxa"/>
            <w:gridSpan w:val="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监测因子</w:t>
            </w:r>
          </w:p>
        </w:tc>
        <w:tc>
          <w:tcPr>
            <w:tcW w:w="2688" w:type="dxa"/>
            <w:gridSpan w:val="5"/>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w:t>
            </w:r>
          </w:p>
        </w:tc>
        <w:tc>
          <w:tcPr>
            <w:tcW w:w="3725" w:type="dxa"/>
            <w:gridSpan w:val="5"/>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343" w:hRule="atLeast"/>
        </w:trPr>
        <w:tc>
          <w:tcPr>
            <w:tcW w:w="2688" w:type="dxa"/>
            <w:gridSpan w:val="2"/>
            <w:vMerge w:val="continue"/>
            <w:shd w:val="clear" w:color="auto" w:fill="auto"/>
          </w:tcPr>
          <w:p>
            <w:pPr>
              <w:ind w:firstLine="420"/>
              <w:rPr>
                <w:rFonts w:ascii="宋体" w:hAnsi="宋体"/>
                <w:color w:val="000000"/>
                <w:sz w:val="21"/>
                <w:szCs w:val="21"/>
              </w:rPr>
            </w:pPr>
          </w:p>
        </w:tc>
        <w:tc>
          <w:tcPr>
            <w:tcW w:w="2289" w:type="dxa"/>
            <w:gridSpan w:val="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污染物排放清单</w:t>
            </w:r>
          </w:p>
        </w:tc>
        <w:tc>
          <w:tcPr>
            <w:tcW w:w="9501" w:type="dxa"/>
            <w:gridSpan w:val="1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口</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186" w:hRule="atLeast"/>
        </w:trPr>
        <w:tc>
          <w:tcPr>
            <w:tcW w:w="4977" w:type="dxa"/>
            <w:gridSpan w:val="5"/>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评价结论</w:t>
            </w:r>
          </w:p>
        </w:tc>
        <w:tc>
          <w:tcPr>
            <w:tcW w:w="9501" w:type="dxa"/>
            <w:gridSpan w:val="13"/>
            <w:shd w:val="clear" w:color="auto" w:fill="auto"/>
            <w:vAlign w:val="center"/>
          </w:tcPr>
          <w:p>
            <w:pPr>
              <w:ind w:firstLine="420"/>
              <w:rPr>
                <w:rFonts w:ascii="宋体" w:hAnsi="宋体"/>
                <w:color w:val="000000"/>
                <w:sz w:val="21"/>
                <w:szCs w:val="21"/>
              </w:rPr>
            </w:pPr>
            <w:r>
              <w:rPr>
                <w:rFonts w:hint="eastAsia" w:ascii="宋体" w:hAnsi="宋体"/>
                <w:color w:val="000000"/>
                <w:sz w:val="21"/>
                <w:szCs w:val="21"/>
              </w:rPr>
              <w:t>可以接受</w:t>
            </w:r>
            <w:r>
              <w:rPr>
                <w:rFonts w:ascii="宋体" w:hAnsi="宋体"/>
                <w:color w:val="000000"/>
                <w:sz w:val="21"/>
                <w:szCs w:val="21"/>
              </w:rPr>
              <w:t xml:space="preserve"> </w:t>
            </w:r>
            <w:r>
              <w:rPr>
                <w:rFonts w:hint="eastAsia" w:ascii="宋体" w:hAnsi="宋体"/>
                <w:color w:val="000000"/>
                <w:sz w:val="21"/>
                <w:szCs w:val="21"/>
              </w:rPr>
              <w:sym w:font="Wingdings" w:char="00FE"/>
            </w:r>
            <w:r>
              <w:rPr>
                <w:rFonts w:hint="eastAsia" w:ascii="宋体" w:hAnsi="宋体"/>
                <w:color w:val="000000"/>
                <w:sz w:val="21"/>
                <w:szCs w:val="21"/>
              </w:rPr>
              <w:t>，不可以接受</w:t>
            </w:r>
            <w:r>
              <w:rPr>
                <w:rFonts w:hint="eastAsia" w:ascii="宋体" w:hAnsi="宋体"/>
                <w:color w:val="000000"/>
                <w:sz w:val="21"/>
                <w:szCs w:val="21"/>
              </w:rPr>
              <w:sym w:font="Wingdings" w:char="00A8"/>
            </w:r>
            <w:r>
              <w:rPr>
                <w:rFonts w:hint="eastAsia" w:ascii="宋体" w:hAnsi="宋体"/>
                <w:color w:val="00000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Ex>
        <w:trPr>
          <w:trHeight w:val="343" w:hRule="atLeast"/>
        </w:trPr>
        <w:tc>
          <w:tcPr>
            <w:tcW w:w="14478" w:type="dxa"/>
            <w:gridSpan w:val="18"/>
            <w:shd w:val="clear" w:color="auto" w:fill="auto"/>
            <w:vAlign w:val="center"/>
          </w:tcPr>
          <w:p>
            <w:pPr>
              <w:ind w:firstLine="420"/>
              <w:jc w:val="center"/>
              <w:rPr>
                <w:rFonts w:ascii="宋体" w:hAnsi="宋体"/>
                <w:color w:val="000000"/>
                <w:sz w:val="21"/>
                <w:szCs w:val="21"/>
              </w:rPr>
            </w:pPr>
            <w:r>
              <w:rPr>
                <w:rFonts w:hint="eastAsia" w:ascii="宋体" w:hAnsi="宋体"/>
                <w:color w:val="000000"/>
                <w:sz w:val="21"/>
                <w:szCs w:val="21"/>
              </w:rPr>
              <w:t>注</w:t>
            </w:r>
            <w:r>
              <w:rPr>
                <w:color w:val="000000"/>
                <w:sz w:val="21"/>
                <w:szCs w:val="21"/>
              </w:rPr>
              <w:t xml:space="preserve"> </w:t>
            </w:r>
            <w:r>
              <w:rPr>
                <w:rFonts w:hint="eastAsia" w:ascii="宋体" w:hAnsi="宋体"/>
                <w:color w:val="000000"/>
                <w:sz w:val="21"/>
                <w:szCs w:val="21"/>
              </w:rPr>
              <w:t>，</w:t>
            </w:r>
            <w:r>
              <w:rPr>
                <w:color w:val="000000"/>
                <w:sz w:val="21"/>
                <w:szCs w:val="21"/>
              </w:rPr>
              <w:t xml:space="preserve"> "</w:t>
            </w:r>
            <w:r>
              <w:rPr>
                <w:rFonts w:hint="eastAsia" w:ascii="宋体" w:hAnsi="宋体"/>
                <w:color w:val="000000"/>
                <w:sz w:val="21"/>
                <w:szCs w:val="21"/>
              </w:rPr>
              <w:t>口</w:t>
            </w:r>
            <w:r>
              <w:rPr>
                <w:color w:val="000000"/>
                <w:sz w:val="21"/>
                <w:szCs w:val="21"/>
              </w:rPr>
              <w:t>"</w:t>
            </w:r>
            <w:r>
              <w:rPr>
                <w:rFonts w:hint="eastAsia" w:ascii="宋体" w:hAnsi="宋体"/>
                <w:color w:val="000000"/>
                <w:sz w:val="21"/>
                <w:szCs w:val="21"/>
              </w:rPr>
              <w:t>为勾</w:t>
            </w:r>
            <w:r>
              <w:rPr>
                <w:rFonts w:hint="eastAsia"/>
                <w:color w:val="000000"/>
                <w:sz w:val="21"/>
                <w:szCs w:val="21"/>
              </w:rPr>
              <w:t>选项</w:t>
            </w:r>
            <w:r>
              <w:rPr>
                <w:rFonts w:hint="eastAsia" w:ascii="宋体" w:hAnsi="宋体"/>
                <w:color w:val="000000"/>
                <w:sz w:val="21"/>
                <w:szCs w:val="21"/>
              </w:rPr>
              <w:t>；可</w:t>
            </w:r>
            <w:r>
              <w:rPr>
                <w:rFonts w:hint="eastAsia"/>
                <w:color w:val="000000"/>
                <w:sz w:val="21"/>
                <w:szCs w:val="21"/>
              </w:rPr>
              <w:t>√；</w:t>
            </w:r>
            <w:r>
              <w:rPr>
                <w:color w:val="000000"/>
                <w:sz w:val="21"/>
                <w:szCs w:val="21"/>
              </w:rPr>
              <w:t xml:space="preserve"> " ( ) "</w:t>
            </w:r>
            <w:r>
              <w:rPr>
                <w:rFonts w:hint="eastAsia" w:ascii="宋体" w:hAnsi="宋体"/>
                <w:color w:val="000000"/>
                <w:sz w:val="21"/>
                <w:szCs w:val="21"/>
              </w:rPr>
              <w:t>为内容填写项</w:t>
            </w:r>
            <w:r>
              <w:rPr>
                <w:color w:val="000000"/>
                <w:sz w:val="21"/>
                <w:szCs w:val="21"/>
              </w:rPr>
              <w:t xml:space="preserve"> </w:t>
            </w:r>
            <w:r>
              <w:rPr>
                <w:rFonts w:hint="eastAsia" w:ascii="宋体" w:hAnsi="宋体"/>
                <w:color w:val="000000"/>
                <w:sz w:val="21"/>
                <w:szCs w:val="21"/>
              </w:rPr>
              <w:t>，</w:t>
            </w:r>
            <w:r>
              <w:rPr>
                <w:color w:val="000000"/>
                <w:sz w:val="21"/>
                <w:szCs w:val="21"/>
              </w:rPr>
              <w:t>"</w:t>
            </w:r>
            <w:r>
              <w:rPr>
                <w:rFonts w:hint="eastAsia" w:ascii="宋体" w:hAnsi="宋体"/>
                <w:color w:val="000000"/>
                <w:sz w:val="21"/>
                <w:szCs w:val="21"/>
              </w:rPr>
              <w:t>备注</w:t>
            </w:r>
            <w:r>
              <w:rPr>
                <w:color w:val="000000"/>
                <w:sz w:val="21"/>
                <w:szCs w:val="21"/>
              </w:rPr>
              <w:t xml:space="preserve">" </w:t>
            </w:r>
            <w:r>
              <w:rPr>
                <w:rFonts w:hint="eastAsia" w:ascii="宋体" w:hAnsi="宋体"/>
                <w:color w:val="000000"/>
                <w:sz w:val="21"/>
                <w:szCs w:val="21"/>
              </w:rPr>
              <w:t>为其他补充内容。</w:t>
            </w:r>
          </w:p>
        </w:tc>
      </w:tr>
    </w:tbl>
    <w:p>
      <w:pPr>
        <w:pStyle w:val="2"/>
      </w:pPr>
    </w:p>
    <w:p>
      <w:pPr>
        <w:pStyle w:val="2"/>
        <w:sectPr>
          <w:pgSz w:w="16838" w:h="11906" w:orient="landscape"/>
          <w:pgMar w:top="1418" w:right="1418" w:bottom="1418" w:left="1418" w:header="851" w:footer="709" w:gutter="0"/>
          <w:cols w:space="425" w:num="1"/>
          <w:docGrid w:type="linesAndChars" w:linePitch="312" w:charSpace="0"/>
        </w:sectPr>
      </w:pPr>
    </w:p>
    <w:p>
      <w:pPr>
        <w:pStyle w:val="4"/>
      </w:pPr>
      <w:bookmarkStart w:id="426" w:name="_Toc3350"/>
      <w:bookmarkStart w:id="427" w:name="_Toc331536202"/>
      <w:bookmarkStart w:id="428" w:name="_Toc3044"/>
      <w:bookmarkStart w:id="429" w:name="_Toc329784215"/>
      <w:bookmarkStart w:id="430" w:name="_Toc3538798"/>
      <w:bookmarkStart w:id="431" w:name="_Toc17954"/>
      <w:bookmarkStart w:id="432" w:name="_Toc331536189"/>
      <w:bookmarkStart w:id="433" w:name="_Toc6019"/>
      <w:bookmarkStart w:id="434" w:name="_Toc307847897"/>
      <w:bookmarkStart w:id="435" w:name="_Toc329784212"/>
      <w:r>
        <w:rPr>
          <w:rFonts w:hint="eastAsia"/>
        </w:rPr>
        <w:t>营运期</w:t>
      </w:r>
      <w:r>
        <w:t>地下水环境影响</w:t>
      </w:r>
      <w:bookmarkEnd w:id="426"/>
      <w:bookmarkEnd w:id="427"/>
      <w:bookmarkEnd w:id="428"/>
      <w:bookmarkEnd w:id="429"/>
      <w:r>
        <w:rPr>
          <w:rFonts w:hint="eastAsia"/>
        </w:rPr>
        <w:t>分析与评价</w:t>
      </w:r>
      <w:bookmarkEnd w:id="430"/>
    </w:p>
    <w:p>
      <w:pPr>
        <w:pStyle w:val="5"/>
      </w:pPr>
      <w:r>
        <w:rPr>
          <w:rFonts w:hint="eastAsia"/>
        </w:rPr>
        <w:t>区域地下水现状</w:t>
      </w:r>
    </w:p>
    <w:p>
      <w:pPr>
        <w:ind w:firstLine="480"/>
        <w:rPr>
          <w:rFonts w:eastAsiaTheme="minorEastAsia"/>
        </w:rPr>
      </w:pPr>
      <w:r>
        <w:rPr>
          <w:rFonts w:hint="eastAsia" w:eastAsiaTheme="minorEastAsia"/>
        </w:rPr>
        <w:t>根据广东省人民政府办公厅《关于同意广东省地下水功能区划的复函》（粤办函〔2009〕459号〕，项目所在区域</w:t>
      </w:r>
      <w:r>
        <w:rPr>
          <w:rFonts w:cs="Times New Roman" w:eastAsiaTheme="minorEastAsia"/>
        </w:rPr>
        <w:t>属珠江三角洲</w:t>
      </w:r>
      <w:r>
        <w:rPr>
          <w:rFonts w:hint="eastAsia" w:cs="Times New Roman" w:eastAsiaTheme="minorEastAsia"/>
        </w:rPr>
        <w:t>江门恩平开平地下水水源涵养区（</w:t>
      </w:r>
      <w:r>
        <w:rPr>
          <w:rFonts w:cs="Times New Roman" w:eastAsiaTheme="minorEastAsia"/>
        </w:rPr>
        <w:t>H074407002T02</w:t>
      </w:r>
      <w:r>
        <w:rPr>
          <w:rFonts w:hint="eastAsia" w:cs="Times New Roman" w:eastAsiaTheme="minorEastAsia"/>
        </w:rPr>
        <w:t>）</w:t>
      </w:r>
      <w:r>
        <w:rPr>
          <w:rFonts w:cs="Times New Roman" w:eastAsiaTheme="minorEastAsia"/>
        </w:rPr>
        <w:t>，</w:t>
      </w:r>
      <w:r>
        <w:rPr>
          <w:rFonts w:hint="eastAsia" w:cs="Times New Roman" w:eastAsiaTheme="minorEastAsia"/>
        </w:rPr>
        <w:t>现状水质类别为I-IV类，局部pH、Fe超标</w:t>
      </w:r>
      <w:r>
        <w:rPr>
          <w:rFonts w:cs="Times New Roman" w:eastAsiaTheme="minorEastAsia"/>
        </w:rPr>
        <w:t>，地下水功能区</w:t>
      </w:r>
      <w:r>
        <w:rPr>
          <w:rFonts w:hint="eastAsia" w:cs="Times New Roman" w:eastAsiaTheme="minorEastAsia"/>
        </w:rPr>
        <w:t>水质</w:t>
      </w:r>
      <w:r>
        <w:rPr>
          <w:rFonts w:cs="Times New Roman" w:eastAsiaTheme="minorEastAsia"/>
        </w:rPr>
        <w:t>保护目标为</w:t>
      </w:r>
      <w:r>
        <w:rPr>
          <w:rFonts w:hint="eastAsia" w:cs="Times New Roman" w:eastAsiaTheme="minorEastAsia"/>
        </w:rPr>
        <w:t>III类标准，水位保护目标为</w:t>
      </w:r>
      <w:r>
        <w:rPr>
          <w:rFonts w:cs="Times New Roman" w:eastAsiaTheme="minorEastAsia"/>
        </w:rPr>
        <w:t>维持</w:t>
      </w:r>
      <w:r>
        <w:rPr>
          <w:rFonts w:hint="eastAsia" w:cs="Times New Roman" w:eastAsiaTheme="minorEastAsia"/>
        </w:rPr>
        <w:t>较高的</w:t>
      </w:r>
      <w:r>
        <w:rPr>
          <w:rFonts w:cs="Times New Roman" w:eastAsiaTheme="minorEastAsia"/>
        </w:rPr>
        <w:t>地下水</w:t>
      </w:r>
      <w:r>
        <w:rPr>
          <w:rFonts w:hint="eastAsia" w:cs="Times New Roman" w:eastAsiaTheme="minorEastAsia"/>
        </w:rPr>
        <w:t>水位</w:t>
      </w:r>
      <w:r>
        <w:rPr>
          <w:rFonts w:cs="Times New Roman" w:eastAsiaTheme="minorEastAsia"/>
        </w:rPr>
        <w:t>。</w:t>
      </w:r>
    </w:p>
    <w:p>
      <w:pPr>
        <w:pStyle w:val="5"/>
      </w:pPr>
      <w:r>
        <w:rPr>
          <w:rFonts w:hint="eastAsia"/>
        </w:rPr>
        <w:t>场地水文地质条件</w:t>
      </w:r>
    </w:p>
    <w:p>
      <w:pPr>
        <w:ind w:firstLine="480"/>
        <w:rPr>
          <w:rFonts w:eastAsiaTheme="minorEastAsia"/>
        </w:rPr>
      </w:pPr>
      <w:r>
        <w:rPr>
          <w:rFonts w:hint="eastAsia" w:eastAsiaTheme="minorEastAsia"/>
        </w:rPr>
        <w:t>1、地下水的赋存条件及类型</w:t>
      </w:r>
    </w:p>
    <w:p>
      <w:pPr>
        <w:ind w:firstLine="480"/>
        <w:rPr>
          <w:rFonts w:eastAsiaTheme="minorEastAsia"/>
        </w:rPr>
      </w:pPr>
      <w:r>
        <w:rPr>
          <w:rFonts w:hint="eastAsia" w:eastAsiaTheme="minorEastAsia"/>
        </w:rPr>
        <w:t>项目所在区域土层均为隔水层-弱透水层，地下水按含水介质类型分为松散岩类孔隙水和基岩裂隙水。</w:t>
      </w:r>
    </w:p>
    <w:p>
      <w:pPr>
        <w:ind w:firstLine="480"/>
        <w:rPr>
          <w:rFonts w:eastAsiaTheme="minorEastAsia"/>
        </w:rPr>
      </w:pPr>
      <w:r>
        <w:rPr>
          <w:rFonts w:hint="eastAsia" w:eastAsiaTheme="minorEastAsia"/>
        </w:rPr>
        <w:t>松散岩类孔隙水：该类型主要赋存于素填土、粉质粘土和砂质粘性土中；</w:t>
      </w:r>
    </w:p>
    <w:p>
      <w:pPr>
        <w:ind w:firstLine="480"/>
        <w:rPr>
          <w:rFonts w:eastAsiaTheme="minorEastAsia"/>
        </w:rPr>
      </w:pPr>
      <w:r>
        <w:rPr>
          <w:rFonts w:hint="eastAsia" w:eastAsiaTheme="minorEastAsia"/>
        </w:rPr>
        <w:t>基岩裂隙水：该类型水主要赋存于花岗岩的风化层中，风化岩中的基岩裂隙水按埋藏条件属于潜水。</w:t>
      </w:r>
    </w:p>
    <w:p>
      <w:pPr>
        <w:ind w:firstLine="480"/>
        <w:rPr>
          <w:rFonts w:eastAsiaTheme="minorEastAsia"/>
        </w:rPr>
      </w:pPr>
      <w:r>
        <w:rPr>
          <w:rFonts w:hint="eastAsia" w:eastAsiaTheme="minorEastAsia"/>
        </w:rPr>
        <w:t>2、地下水的补给动态</w:t>
      </w:r>
    </w:p>
    <w:p>
      <w:pPr>
        <w:ind w:firstLine="480"/>
        <w:rPr>
          <w:rFonts w:eastAsiaTheme="minorEastAsia"/>
        </w:rPr>
      </w:pPr>
      <w:r>
        <w:rPr>
          <w:rFonts w:hint="eastAsia" w:eastAsiaTheme="minorEastAsia"/>
        </w:rPr>
        <w:t>项目所在区域为亚热带季风气候，雨量充沛，区内植被较为发育，有利于地下水补给。地下水补给来源主要为大气降雨的渗入补给。</w:t>
      </w:r>
    </w:p>
    <w:p>
      <w:pPr>
        <w:ind w:firstLine="480"/>
        <w:rPr>
          <w:rFonts w:eastAsiaTheme="minorEastAsia"/>
        </w:rPr>
      </w:pPr>
      <w:r>
        <w:rPr>
          <w:rFonts w:hint="eastAsia" w:eastAsiaTheme="minorEastAsia"/>
        </w:rPr>
        <w:t>地下水动态变化主要受大气降雨影响，雨季时渗入补给量大，地下水位上升；旱季时渗入补给量减少，地下水位下降。地下水埋藏较浅，根据钻孔数据，地下水位埋深最浅处一般为2米，水位随季节变化。</w:t>
      </w:r>
    </w:p>
    <w:p>
      <w:pPr>
        <w:ind w:firstLine="480"/>
        <w:rPr>
          <w:rFonts w:eastAsiaTheme="minorEastAsia"/>
        </w:rPr>
      </w:pPr>
      <w:r>
        <w:rPr>
          <w:rFonts w:hint="eastAsia" w:eastAsiaTheme="minorEastAsia"/>
        </w:rPr>
        <w:t>3、岩（土）层的渗透系数</w:t>
      </w:r>
    </w:p>
    <w:p>
      <w:pPr>
        <w:ind w:firstLine="480"/>
        <w:rPr>
          <w:rFonts w:eastAsiaTheme="minorEastAsia"/>
        </w:rPr>
      </w:pPr>
      <w:r>
        <w:rPr>
          <w:rFonts w:hint="eastAsia" w:eastAsiaTheme="minorEastAsia"/>
        </w:rPr>
        <w:t>根据该区域项目的《岩土工程勘察报告》，粉质粘土水平渗透系数为2.12×10</w:t>
      </w:r>
      <w:r>
        <w:rPr>
          <w:rFonts w:hint="eastAsia" w:eastAsiaTheme="minorEastAsia"/>
          <w:vertAlign w:val="superscript"/>
        </w:rPr>
        <w:t>-4</w:t>
      </w:r>
      <w:r>
        <w:rPr>
          <w:rFonts w:hint="eastAsia" w:eastAsiaTheme="minorEastAsia"/>
        </w:rPr>
        <w:t>cm/s，强风化花岗岩水平渗透系数为1.52×10</w:t>
      </w:r>
      <w:r>
        <w:rPr>
          <w:rFonts w:hint="eastAsia" w:eastAsiaTheme="minorEastAsia"/>
          <w:vertAlign w:val="superscript"/>
        </w:rPr>
        <w:t>-4</w:t>
      </w:r>
      <w:r>
        <w:rPr>
          <w:rFonts w:hint="eastAsia" w:eastAsiaTheme="minorEastAsia"/>
        </w:rPr>
        <w:t>cm/s，可见项目区域地层岩性透水性能较差。</w:t>
      </w:r>
    </w:p>
    <w:p>
      <w:pPr>
        <w:pStyle w:val="5"/>
      </w:pPr>
      <w:r>
        <w:rPr>
          <w:rFonts w:hint="eastAsia"/>
        </w:rPr>
        <w:t>地下水污染源分析</w:t>
      </w:r>
    </w:p>
    <w:p>
      <w:pPr>
        <w:pStyle w:val="6"/>
      </w:pPr>
      <w:r>
        <w:rPr>
          <w:rFonts w:hint="eastAsia"/>
        </w:rPr>
        <w:t>区域地下水污染源分析</w:t>
      </w:r>
    </w:p>
    <w:p>
      <w:pPr>
        <w:ind w:firstLine="480"/>
        <w:rPr>
          <w:rFonts w:eastAsiaTheme="minorEastAsia"/>
        </w:rPr>
      </w:pPr>
      <w:r>
        <w:rPr>
          <w:rFonts w:hint="eastAsia" w:eastAsiaTheme="minorEastAsia"/>
        </w:rPr>
        <w:t>项目所在区域内地下水主要污染源是来自工业生产过程及生活过程中排放的废水。生产过程中所使用的化学物质等形成的废水和日常生活产生的污水等废水通过下渗可能会对地下水造成影响。</w:t>
      </w:r>
    </w:p>
    <w:p>
      <w:pPr>
        <w:pStyle w:val="6"/>
      </w:pPr>
      <w:r>
        <w:rPr>
          <w:rFonts w:hint="eastAsia"/>
        </w:rPr>
        <w:t>项目地下水污染源分析</w:t>
      </w:r>
    </w:p>
    <w:p>
      <w:pPr>
        <w:ind w:firstLine="480"/>
        <w:rPr>
          <w:rFonts w:eastAsiaTheme="minorEastAsia"/>
        </w:rPr>
      </w:pPr>
      <w:r>
        <w:rPr>
          <w:rFonts w:hint="eastAsia" w:eastAsiaTheme="minorEastAsia"/>
        </w:rPr>
        <w:t>结合本项目的实际情况，项目属于橡胶制品制造项目，厂区不涉及生产废水，厂区仅有少量生活污水（</w:t>
      </w:r>
      <w:r>
        <w:rPr>
          <w:rFonts w:eastAsiaTheme="minorEastAsia"/>
        </w:rPr>
        <w:t>1</w:t>
      </w:r>
      <w:r>
        <w:rPr>
          <w:rFonts w:hint="eastAsia" w:eastAsiaTheme="minorEastAsia"/>
        </w:rPr>
        <w:t>.</w:t>
      </w:r>
      <w:r>
        <w:rPr>
          <w:rFonts w:eastAsiaTheme="minorEastAsia"/>
        </w:rPr>
        <w:t>0</w:t>
      </w:r>
      <w:r>
        <w:rPr>
          <w:rFonts w:hint="eastAsia" w:eastAsiaTheme="minorEastAsia"/>
        </w:rPr>
        <w:t xml:space="preserve">8 </w:t>
      </w:r>
      <w:r>
        <w:rPr>
          <w:rFonts w:eastAsiaTheme="minorEastAsia"/>
        </w:rPr>
        <w:t>m</w:t>
      </w:r>
      <w:r>
        <w:rPr>
          <w:rFonts w:eastAsiaTheme="minorEastAsia"/>
          <w:vertAlign w:val="superscript"/>
        </w:rPr>
        <w:t>3</w:t>
      </w:r>
      <w:r>
        <w:rPr>
          <w:rFonts w:eastAsiaTheme="minorEastAsia"/>
        </w:rPr>
        <w:t>/d</w:t>
      </w:r>
      <w:r>
        <w:rPr>
          <w:rFonts w:hint="eastAsia" w:eastAsiaTheme="minorEastAsia"/>
        </w:rPr>
        <w:t>），生活污水处理达标排入苍城污水处理厂，因此，生活污水对地下水影响较小。生产过程中主要原料为天然橡胶和合成橡胶，不属于有毒有害物质，正常的堆存不会对地下水产生污染。项目生产过程中涉及的辅料主要为钙粉以及硫磺粉等，以上辅料均属于低毒低害或者是无毒无害的物质，均为固体或者半固体，正常情况下，辅料的存放及使用对地下水影响较小。</w:t>
      </w:r>
      <w:r>
        <w:rPr>
          <w:rFonts w:hint="eastAsia" w:cs="Times New Roman" w:eastAsiaTheme="minorEastAsia"/>
        </w:rPr>
        <w:t>本项目对地下水环境可能造成影响的污染源主要是生活污水处理设施、污水管线和污染区地面等。</w:t>
      </w:r>
    </w:p>
    <w:p>
      <w:pPr>
        <w:pStyle w:val="6"/>
      </w:pPr>
      <w:r>
        <w:rPr>
          <w:rFonts w:hint="eastAsia"/>
        </w:rPr>
        <w:t>地下水开采利用情况</w:t>
      </w:r>
    </w:p>
    <w:p>
      <w:pPr>
        <w:ind w:firstLine="480"/>
        <w:rPr>
          <w:rFonts w:eastAsiaTheme="minorEastAsia"/>
        </w:rPr>
      </w:pPr>
      <w:r>
        <w:rPr>
          <w:rFonts w:hint="eastAsia" w:eastAsiaTheme="minorEastAsia"/>
        </w:rPr>
        <w:t>经调查，评价范围内的各敏感点（城镇、村庄）以及工企业的用水均为市政供水，自来水源为江河地表水，不开采地下水</w:t>
      </w:r>
      <w:r>
        <w:rPr>
          <w:rFonts w:hint="eastAsia" w:cs="Times New Roman" w:eastAsiaTheme="minorEastAsia"/>
        </w:rPr>
        <w:t>，同时也无注入地下水，不会引起地下水流场或地下水水位变化，因此也不会导致因水位的变化而产生的环境水文地质问题。</w:t>
      </w:r>
      <w:r>
        <w:rPr>
          <w:rFonts w:hint="eastAsia" w:eastAsiaTheme="minorEastAsia"/>
        </w:rPr>
        <w:t>项目所在地附近基本不对地下水进行开采，</w:t>
      </w:r>
      <w:r>
        <w:rPr>
          <w:rFonts w:hint="eastAsia" w:cs="Times New Roman" w:eastAsiaTheme="minorEastAsia"/>
        </w:rPr>
        <w:t>无集中式饮用水水源地保护区及准保护区，无热水、矿泉水、温泉等特殊地下水资源保护区。</w:t>
      </w:r>
      <w:r>
        <w:rPr>
          <w:rFonts w:hint="eastAsia" w:eastAsiaTheme="minorEastAsia"/>
        </w:rPr>
        <w:t>区域内有少量民用水井，已不作为饮用水源。因此</w:t>
      </w:r>
      <w:r>
        <w:rPr>
          <w:rFonts w:hint="eastAsia" w:cs="Times New Roman" w:eastAsiaTheme="minorEastAsia"/>
        </w:rPr>
        <w:t>，建设项目场地地下水环境敏感程度属于不敏感。</w:t>
      </w:r>
    </w:p>
    <w:p>
      <w:pPr>
        <w:pStyle w:val="6"/>
      </w:pPr>
      <w:r>
        <w:rPr>
          <w:rFonts w:hint="eastAsia"/>
        </w:rPr>
        <w:t>地下水补给、径流、排泄条件</w:t>
      </w:r>
    </w:p>
    <w:p>
      <w:pPr>
        <w:ind w:firstLine="480"/>
        <w:rPr>
          <w:rFonts w:eastAsiaTheme="minorEastAsia"/>
        </w:rPr>
      </w:pPr>
      <w:r>
        <w:rPr>
          <w:rFonts w:hint="eastAsia" w:eastAsiaTheme="minorEastAsia"/>
        </w:rPr>
        <w:t>本项目区域地下水主要接受大气降水的垂向补给，地下水的径流方向与地表水的径流，地下水的径流方向与地表水的径流方向基本一致，大体上自西向东运移，并以地下径流、补给河流等形式排泄于溪流中，地面蒸发及民井开采亦是排泄途径之一。</w:t>
      </w:r>
    </w:p>
    <w:p>
      <w:pPr>
        <w:pStyle w:val="5"/>
      </w:pPr>
      <w:r>
        <w:rPr>
          <w:rFonts w:hint="eastAsia"/>
        </w:rPr>
        <w:t>地下水污染途径</w:t>
      </w:r>
    </w:p>
    <w:p>
      <w:pPr>
        <w:ind w:firstLine="480"/>
        <w:rPr>
          <w:rFonts w:eastAsiaTheme="minorEastAsia"/>
        </w:rPr>
      </w:pPr>
      <w:r>
        <w:rPr>
          <w:rFonts w:hint="eastAsia" w:eastAsiaTheme="minorEastAsia"/>
        </w:rPr>
        <w:t>污染物从污染源进入地下水所经过的路径称为地下水污染途径，地下水污染途径是多种多样的，最常见的潜水污染是通过包气带渗入而污染的，深层潜水和承压水的污染是通过各种井孔、坑洞和断层等发生的，它们作为一种通道把其所揭露的含水层同地面污染源或已被污染的含水层联系起来，造成深层地下水的污染。随着地下水的运动，形成地下水污染扩散带。</w:t>
      </w:r>
    </w:p>
    <w:p>
      <w:pPr>
        <w:ind w:firstLine="480"/>
        <w:rPr>
          <w:rFonts w:eastAsiaTheme="minorEastAsia"/>
        </w:rPr>
      </w:pPr>
      <w:r>
        <w:rPr>
          <w:rFonts w:hint="eastAsia" w:eastAsiaTheme="minorEastAsia"/>
        </w:rPr>
        <w:t>根据项目所处区域的地质情况分析，可能存在的主要污染方式为渗入型污染。污染物对地下水的影响主要是由于降雨或废水排放等通过垂直渗透进入包气带，进入包气带的污染物在物理、化学和生物作用下经吸附、转化、迁移和分解后输入地下水。因此，包气带是联接地面污染物与地下含水层的主要通道和过渡带，既是污染物媒介体，又是污染物的净化场所和防护层。地下水能否被污染以及污染程度的大小，取决于包气带的地质结构、成分、厚度、渗透性以及污染物的各类性质。一般说来，土壤粒细而紧密，渗透性差，则污染慢；反之，颗粒大松散，渗透性能良好则污染重。</w:t>
      </w:r>
    </w:p>
    <w:p>
      <w:pPr>
        <w:ind w:firstLine="480"/>
        <w:rPr>
          <w:rFonts w:eastAsiaTheme="minorEastAsia"/>
        </w:rPr>
      </w:pPr>
      <w:r>
        <w:rPr>
          <w:rFonts w:hint="eastAsia" w:eastAsiaTheme="minorEastAsia"/>
        </w:rPr>
        <w:t>本项目可能存在污染地下水的途径主要包括：</w:t>
      </w:r>
    </w:p>
    <w:p>
      <w:pPr>
        <w:ind w:firstLine="480"/>
        <w:rPr>
          <w:rFonts w:eastAsiaTheme="minorEastAsia"/>
        </w:rPr>
      </w:pPr>
      <w:r>
        <w:rPr>
          <w:rFonts w:hint="eastAsia" w:eastAsiaTheme="minorEastAsia"/>
        </w:rPr>
        <w:t>（1）未经处理的生活污水直接排入纳污水体中，使地表水体受到污染，渗入地下导致地下水污染。</w:t>
      </w:r>
    </w:p>
    <w:p>
      <w:pPr>
        <w:ind w:firstLine="480"/>
        <w:rPr>
          <w:rFonts w:eastAsiaTheme="minorEastAsia"/>
        </w:rPr>
      </w:pPr>
      <w:r>
        <w:rPr>
          <w:rFonts w:hint="eastAsia" w:eastAsiaTheme="minorEastAsia"/>
        </w:rPr>
        <w:t>（2）原辅材料临时存放点地面防渗层破损，有害物泄漏并渗入地下导致地下水污染。</w:t>
      </w:r>
    </w:p>
    <w:p>
      <w:pPr>
        <w:ind w:firstLine="480"/>
        <w:rPr>
          <w:rFonts w:eastAsiaTheme="minorEastAsia"/>
        </w:rPr>
      </w:pPr>
      <w:r>
        <w:rPr>
          <w:rFonts w:hint="eastAsia" w:eastAsiaTheme="minorEastAsia"/>
        </w:rPr>
        <w:t>（3）工业废物等各类固体废物、危险废物处置不当，其中有害物质经雨水淋溶、流失，渗入地下导致地下水污染。</w:t>
      </w:r>
    </w:p>
    <w:p>
      <w:pPr>
        <w:pStyle w:val="5"/>
      </w:pPr>
      <w:r>
        <w:rPr>
          <w:rFonts w:hint="eastAsia"/>
        </w:rPr>
        <w:t>地下水环境保护措施和建议</w:t>
      </w:r>
    </w:p>
    <w:p>
      <w:pPr>
        <w:ind w:firstLine="480"/>
        <w:rPr>
          <w:rFonts w:eastAsiaTheme="minorEastAsia"/>
        </w:rPr>
      </w:pPr>
      <w:r>
        <w:rPr>
          <w:rFonts w:hint="eastAsia" w:eastAsiaTheme="minorEastAsia"/>
        </w:rPr>
        <w:t>污染物通过土层垂直下渗首先经过表土，再进入包气带，在包气带污水可以得到一定程度的净化，尤其是有机污染物，不能被净化或固定的污染物随渗水进入地下水层。根据场地地层资料，该区域包气带岩性为粉质粘土及粉砂，渗透性较差，其下部淤泥层渗透性弱，隔水性较好，能有效的防止污水向深层及侧向渗流。因此，总的来说，在采取严格的地下水防治措施后，生产区不会对地下水造成较大的影响。</w:t>
      </w:r>
    </w:p>
    <w:p>
      <w:pPr>
        <w:ind w:firstLine="480"/>
        <w:rPr>
          <w:rFonts w:eastAsiaTheme="minorEastAsia"/>
        </w:rPr>
      </w:pPr>
      <w:r>
        <w:rPr>
          <w:rFonts w:hint="eastAsia" w:eastAsiaTheme="minorEastAsia"/>
        </w:rPr>
        <w:t>为确保营运期产生的废水在发生泄漏（含跑、冒、滴、漏）时减少对项目场地地下水水质的影响，本环评建议</w:t>
      </w:r>
      <w:r>
        <w:rPr>
          <w:rFonts w:hint="eastAsia" w:cs="Times New Roman" w:eastAsiaTheme="minorEastAsia"/>
        </w:rPr>
        <w:t>项目地下水防渗措施</w:t>
      </w:r>
      <w:r>
        <w:rPr>
          <w:rFonts w:hint="eastAsia" w:eastAsiaTheme="minorEastAsia"/>
        </w:rPr>
        <w:t>根据其污染途径，</w:t>
      </w:r>
      <w:r>
        <w:rPr>
          <w:rFonts w:hint="eastAsia" w:cs="Times New Roman" w:eastAsiaTheme="minorEastAsia"/>
        </w:rPr>
        <w:t>按照相关标准执行，采用垂直防渗为主，局部水平防渗为辅的方式防渗、防漏。</w:t>
      </w:r>
    </w:p>
    <w:p>
      <w:pPr>
        <w:pStyle w:val="126"/>
        <w:numPr>
          <w:ilvl w:val="0"/>
          <w:numId w:val="48"/>
        </w:numPr>
        <w:ind w:firstLine="482"/>
        <w:rPr>
          <w:rFonts w:eastAsiaTheme="minorEastAsia"/>
        </w:rPr>
      </w:pPr>
      <w:r>
        <w:rPr>
          <w:rFonts w:hint="eastAsia" w:eastAsiaTheme="minorEastAsia"/>
        </w:rPr>
        <w:t>源头控制措施</w:t>
      </w:r>
    </w:p>
    <w:p>
      <w:pPr>
        <w:pStyle w:val="131"/>
        <w:numPr>
          <w:ilvl w:val="0"/>
          <w:numId w:val="49"/>
        </w:numPr>
        <w:ind w:firstLine="480"/>
      </w:pPr>
      <w:r>
        <w:rPr>
          <w:rFonts w:hint="eastAsia"/>
        </w:rPr>
        <w:t>确保厂区内生活污水、雨水等排水管网应经密闭管网收集输送。</w:t>
      </w:r>
    </w:p>
    <w:p>
      <w:pPr>
        <w:pStyle w:val="131"/>
        <w:numPr>
          <w:ilvl w:val="0"/>
          <w:numId w:val="49"/>
        </w:numPr>
        <w:ind w:firstLine="480"/>
      </w:pPr>
      <w:r>
        <w:rPr>
          <w:rFonts w:hint="eastAsia"/>
        </w:rPr>
        <w:t>采用国际先进的生产工艺和生产设备，进一步提高生产效益和劳动生产率，减少原材料消耗和污染物的排放。同时加强厂区内的计量和计量器具的维护管理，杜绝跑、冒、滴、漏等浪费现象的发生。</w:t>
      </w:r>
    </w:p>
    <w:p>
      <w:pPr>
        <w:pStyle w:val="131"/>
        <w:numPr>
          <w:ilvl w:val="0"/>
          <w:numId w:val="49"/>
        </w:numPr>
        <w:ind w:firstLine="480"/>
      </w:pPr>
      <w:r>
        <w:rPr>
          <w:rFonts w:hint="eastAsia"/>
        </w:rPr>
        <w:t>保证本工程所需的生产及生活用水均由工业区给水管网统一供给，不开采地下水资源。</w:t>
      </w:r>
    </w:p>
    <w:p>
      <w:pPr>
        <w:pStyle w:val="126"/>
        <w:numPr>
          <w:ilvl w:val="0"/>
          <w:numId w:val="48"/>
        </w:numPr>
        <w:ind w:firstLine="482"/>
        <w:rPr>
          <w:rFonts w:eastAsiaTheme="minorEastAsia"/>
        </w:rPr>
      </w:pPr>
      <w:r>
        <w:rPr>
          <w:rFonts w:hint="eastAsia" w:eastAsiaTheme="minorEastAsia"/>
        </w:rPr>
        <w:t>分区防控措施</w:t>
      </w:r>
    </w:p>
    <w:p>
      <w:pPr>
        <w:ind w:firstLine="480"/>
        <w:rPr>
          <w:rFonts w:eastAsiaTheme="minorEastAsia"/>
        </w:rPr>
      </w:pPr>
      <w:r>
        <w:rPr>
          <w:rFonts w:hint="eastAsia" w:eastAsiaTheme="minorEastAsia"/>
        </w:rPr>
        <w:t>按照《环境影响评价技术导则 地下水环境》（HJ</w:t>
      </w:r>
      <w:r>
        <w:rPr>
          <w:rFonts w:eastAsiaTheme="minorEastAsia"/>
        </w:rPr>
        <w:t xml:space="preserve"> </w:t>
      </w:r>
      <w:r>
        <w:rPr>
          <w:rFonts w:hint="eastAsia" w:eastAsiaTheme="minorEastAsia"/>
        </w:rPr>
        <w:t>610-2016）要求，根据项目可能泄漏至地面区域污染物的性质与生产单元的构筑方式，项目污染物不属于重金属及持久性有机污染物，且污染控制较易，现将全部厂区划为简单防渗区。对于简单防渗区，防渗技术要求采取一般地面硬化即可。</w:t>
      </w:r>
    </w:p>
    <w:p>
      <w:pPr>
        <w:ind w:firstLine="480"/>
        <w:rPr>
          <w:rFonts w:eastAsiaTheme="minorEastAsia"/>
        </w:rPr>
      </w:pPr>
      <w:r>
        <w:rPr>
          <w:rFonts w:hint="eastAsia"/>
        </w:rPr>
        <w:t>参照《石油化工企业防渗设计通则》（Q/SY 1303-2010）和《石油化工工程防渗技术规范》（GB</w:t>
      </w:r>
      <w:r>
        <w:t>/</w:t>
      </w:r>
      <w:r>
        <w:rPr>
          <w:rFonts w:hint="eastAsia"/>
        </w:rPr>
        <w:t>T 50934-2013），根据厂区各生产功能单元可能泄漏至地面区域的污染物性质和生产单元的构筑方式，将厂区划分为重点污染防治区、一般污染防治区和非污染防治区。</w:t>
      </w:r>
    </w:p>
    <w:p>
      <w:pPr>
        <w:pStyle w:val="131"/>
        <w:numPr>
          <w:ilvl w:val="0"/>
          <w:numId w:val="50"/>
        </w:numPr>
        <w:ind w:firstLine="480"/>
      </w:pPr>
      <w:r>
        <w:rPr>
          <w:rFonts w:hint="eastAsia"/>
        </w:rPr>
        <w:t>对废水集水池等重点污染区均进行硬底化处理，必要时应对原料仓库进行防腐防渗漏措施，要求各单元防渗层渗透系数≤10</w:t>
      </w:r>
      <w:r>
        <w:rPr>
          <w:rFonts w:hint="eastAsia"/>
          <w:vertAlign w:val="superscript"/>
        </w:rPr>
        <w:t>-5</w:t>
      </w:r>
      <w:r>
        <w:rPr>
          <w:rFonts w:hint="eastAsia"/>
        </w:rPr>
        <w:t>cm/s。</w:t>
      </w:r>
    </w:p>
    <w:p>
      <w:pPr>
        <w:pStyle w:val="131"/>
        <w:ind w:firstLine="480"/>
      </w:pPr>
      <w:r>
        <w:rPr>
          <w:rFonts w:hint="eastAsia"/>
        </w:rPr>
        <w:t>厂内固体废物临时贮存场所和化学品库，应分别按《一般工业固体废物贮存、处置场污染控制标准》（GB</w:t>
      </w:r>
      <w:r>
        <w:t xml:space="preserve"> </w:t>
      </w:r>
      <w:r>
        <w:rPr>
          <w:rFonts w:hint="eastAsia"/>
        </w:rPr>
        <w:t>18599-2001）和《危险废物贮存污染控制标准》（GB</w:t>
      </w:r>
      <w:r>
        <w:t xml:space="preserve"> </w:t>
      </w:r>
      <w:r>
        <w:rPr>
          <w:rFonts w:hint="eastAsia"/>
        </w:rPr>
        <w:t>18597-2001）进行设计，采取防淋防渗措施，以防止淋漏液渗入地下。</w:t>
      </w:r>
    </w:p>
    <w:p>
      <w:pPr>
        <w:pStyle w:val="131"/>
        <w:ind w:firstLine="480"/>
      </w:pPr>
      <w:r>
        <w:rPr>
          <w:rFonts w:hint="eastAsia"/>
        </w:rPr>
        <w:t>应定期检查维护集排水设施和处理设施，定期监测排水及附近地下水水水质，发现集排水设施不通畅须及时采取必要措施封场。</w:t>
      </w:r>
    </w:p>
    <w:p>
      <w:pPr>
        <w:pStyle w:val="131"/>
        <w:ind w:firstLine="480"/>
      </w:pPr>
      <w:r>
        <w:rPr>
          <w:rFonts w:hint="eastAsia"/>
        </w:rPr>
        <w:t>对于泄漏的物料应有具体防治措施，及时将泄漏的物料收集并处理，防止其渗入地下。</w:t>
      </w:r>
    </w:p>
    <w:p>
      <w:pPr>
        <w:ind w:firstLine="480"/>
        <w:rPr>
          <w:rFonts w:eastAsiaTheme="minorEastAsia"/>
        </w:rPr>
      </w:pPr>
      <w:r>
        <w:rPr>
          <w:rFonts w:hint="eastAsia" w:eastAsiaTheme="minorEastAsia"/>
        </w:rPr>
        <w:t>由污染途径及对应措施分析可知，项目对可能产生地下水影响的各项途径均进行有效预防，在确保各项防渗措施得以落实，并加强维护和厂区环境管理的前提下，可有效控制厂区内的废水污染物下渗现象，避免污染地下水，因此项目不会对区域地下水环境产生明显影响。</w:t>
      </w:r>
    </w:p>
    <w:p>
      <w:pPr>
        <w:pStyle w:val="5"/>
      </w:pPr>
      <w:r>
        <w:rPr>
          <w:rFonts w:hint="eastAsia"/>
        </w:rPr>
        <w:t>地下水环境影响分析</w:t>
      </w:r>
    </w:p>
    <w:p>
      <w:pPr>
        <w:ind w:firstLine="480"/>
        <w:rPr>
          <w:rFonts w:eastAsiaTheme="minorEastAsia"/>
        </w:rPr>
      </w:pPr>
      <w:r>
        <w:rPr>
          <w:rFonts w:hint="eastAsia" w:eastAsiaTheme="minorEastAsia"/>
        </w:rPr>
        <w:t>员工办公、生活污水经处理达标后排入苍城污水处理厂，污水处理厂尾水排入镇海水。项目已对厂房用地等进行了地表硬底化处理，因此项目对地下水环境的影响较小。</w:t>
      </w:r>
    </w:p>
    <w:p>
      <w:pPr>
        <w:pStyle w:val="6"/>
      </w:pPr>
      <w:r>
        <w:rPr>
          <w:rFonts w:hint="eastAsia"/>
        </w:rPr>
        <w:t>对地下水水位影响分析</w:t>
      </w:r>
    </w:p>
    <w:p>
      <w:pPr>
        <w:ind w:firstLine="480"/>
        <w:rPr>
          <w:rFonts w:eastAsiaTheme="minorEastAsia"/>
        </w:rPr>
      </w:pPr>
      <w:r>
        <w:rPr>
          <w:rFonts w:hint="eastAsia" w:eastAsiaTheme="minorEastAsia"/>
        </w:rPr>
        <w:t>项目用水由市政给水管网提供，不抽取地下水，生活污水近期处理达标后排入地表水体，远期预处理后排放到市政污水管网中，均不排入地下水中。对计划建设事故应急池、危废储存处均实现硬底化处理，并铺设防腐防渗层。因此，不会改变地下水系统原有的水动力平衡条件，也不会造成局部地下水水位下降等不利影响。</w:t>
      </w:r>
    </w:p>
    <w:p>
      <w:pPr>
        <w:pStyle w:val="6"/>
      </w:pPr>
      <w:r>
        <w:rPr>
          <w:rFonts w:hint="eastAsia"/>
        </w:rPr>
        <w:t>对地下水水质影响分析</w:t>
      </w:r>
    </w:p>
    <w:p>
      <w:pPr>
        <w:pStyle w:val="126"/>
        <w:numPr>
          <w:ilvl w:val="0"/>
          <w:numId w:val="51"/>
        </w:numPr>
        <w:ind w:firstLine="482"/>
        <w:rPr>
          <w:rFonts w:eastAsiaTheme="minorEastAsia"/>
        </w:rPr>
      </w:pPr>
      <w:r>
        <w:rPr>
          <w:rFonts w:hint="eastAsia" w:eastAsiaTheme="minorEastAsia"/>
        </w:rPr>
        <w:t>渗漏对地下水环境影响</w:t>
      </w:r>
    </w:p>
    <w:p>
      <w:pPr>
        <w:ind w:firstLine="480"/>
        <w:rPr>
          <w:rFonts w:eastAsiaTheme="minorEastAsia"/>
        </w:rPr>
      </w:pPr>
      <w:r>
        <w:rPr>
          <w:rFonts w:hint="eastAsia" w:eastAsiaTheme="minorEastAsia"/>
        </w:rPr>
        <w:t>污染物主要通过废水入渗来影响地下水环境，从本项目的生产工艺过程来看，本项目无生产废水产生，可能造成地下水污染的主要为生活污水或事故废水入渗。本项目生活污水处理设施、事故应急池内的废水可能会渗透进入地下水环境。由于项目的生活污水处理设施、事故应急池均设置相应等级的防渗设施，废水渗透进入地下水环境的可能性很小；且事故应急池内一般情况下是空置的，仅事故发生时储存有事故废水，事故废水滞留时间较短，事故处理结束后会移交相应单位处理处置，因此事故应急池内的废水渗透进入地下水环境的可能性更小。</w:t>
      </w:r>
    </w:p>
    <w:p>
      <w:pPr>
        <w:pStyle w:val="126"/>
        <w:numPr>
          <w:ilvl w:val="0"/>
          <w:numId w:val="51"/>
        </w:numPr>
        <w:ind w:firstLine="482"/>
        <w:rPr>
          <w:rFonts w:eastAsiaTheme="minorEastAsia"/>
        </w:rPr>
      </w:pPr>
      <w:r>
        <w:rPr>
          <w:rFonts w:hint="eastAsia" w:eastAsiaTheme="minorEastAsia"/>
        </w:rPr>
        <w:t>原料、产品或固体废物堆存对地下水环境影响</w:t>
      </w:r>
    </w:p>
    <w:p>
      <w:pPr>
        <w:ind w:firstLine="480"/>
        <w:rPr>
          <w:rFonts w:eastAsiaTheme="minorEastAsia"/>
        </w:rPr>
      </w:pPr>
      <w:r>
        <w:rPr>
          <w:rFonts w:hint="eastAsia" w:eastAsiaTheme="minorEastAsia"/>
        </w:rPr>
        <w:t>本项目原料、产品或固体废物等在厂区暂存过程中可能会出现渗漏或经雨淋后雨水淋溶液可进入土壤环境再进入地下水。由于项目的原料、产品、固体废物均位于室内，地表也已硬底化，且无露天堆放，所以被雨淋的可能性很小，经雨淋后淋溶液进入土壤环境再进入地下水的可能性更小。</w:t>
      </w:r>
    </w:p>
    <w:p>
      <w:pPr>
        <w:ind w:firstLine="480"/>
        <w:rPr>
          <w:rFonts w:eastAsiaTheme="minorEastAsia"/>
        </w:rPr>
      </w:pPr>
      <w:r>
        <w:rPr>
          <w:rFonts w:hint="eastAsia" w:eastAsiaTheme="minorEastAsia"/>
        </w:rPr>
        <w:t>配合剂等采用铁桶或编织袋在车间内贮存区地上贮存。经调查和企业介绍，贮存区地面已经做了防渗处理，贮存区地面也进行了水泥硬化。物料由于都属于地上贮存，且贮存方式属于桶装或袋装，包装的规格较小，且厂区贮存量较小不在厂区长期堆存。因此，在堆存过程中即使泄漏一次泄漏量也较少，且容易被发现而清理，不会出现长期泄漏而导致可能渗漏对地下水的污染。</w:t>
      </w:r>
    </w:p>
    <w:p>
      <w:pPr>
        <w:pStyle w:val="126"/>
        <w:numPr>
          <w:ilvl w:val="0"/>
          <w:numId w:val="51"/>
        </w:numPr>
        <w:ind w:firstLine="482"/>
        <w:rPr>
          <w:rFonts w:eastAsiaTheme="minorEastAsia"/>
        </w:rPr>
      </w:pPr>
      <w:r>
        <w:rPr>
          <w:rFonts w:hint="eastAsia" w:eastAsiaTheme="minorEastAsia"/>
        </w:rPr>
        <w:t>初期雨水对地下水环境影响</w:t>
      </w:r>
    </w:p>
    <w:p>
      <w:pPr>
        <w:ind w:firstLine="480"/>
        <w:rPr>
          <w:rFonts w:eastAsiaTheme="minorEastAsia"/>
        </w:rPr>
      </w:pPr>
      <w:r>
        <w:rPr>
          <w:rFonts w:hint="eastAsia" w:eastAsiaTheme="minorEastAsia"/>
        </w:rPr>
        <w:t>本项目地表可能存在一些有机污染物，这些有机污染物质随空气的沉降（干沉降和湿沉降等）或者冲洗水而进入到地表，在受降雨作用时就形成可能被携带渗入的污染物。但是，这些物质的量本身很小，加上本项目大部分的地表已经硬底化，且本项目主要是室内生产，有防渗措施，所以可能经渗透而被渗入地下水的有机污染物质是很少的。</w:t>
      </w:r>
    </w:p>
    <w:p>
      <w:pPr>
        <w:ind w:firstLine="480"/>
        <w:rPr>
          <w:rFonts w:eastAsiaTheme="minorEastAsia"/>
        </w:rPr>
      </w:pPr>
      <w:r>
        <w:rPr>
          <w:rFonts w:hint="eastAsia" w:eastAsiaTheme="minorEastAsia"/>
        </w:rPr>
        <w:t>综上所述，项目对可能产生地下水影响的各项途径均进行有效预防，在确保各项防渗措施得以落实，并加强维护和厂区环境管理的前提下，可有效控制厂区内的废水污染物下渗现象，避免污染地下水，因此项目不会对区域地下水环境产生明显影响。因此，正常工况下项目废水排放不会对地下水环境产生影响，项目在做好事故应急措施时，在非正常情况下，项目废水也不会对地下水环境造成影响，因此，项目不再对地下水环境的影响进行预测。</w:t>
      </w:r>
    </w:p>
    <w:p>
      <w:pPr>
        <w:pStyle w:val="5"/>
      </w:pPr>
      <w:r>
        <w:rPr>
          <w:rFonts w:hint="eastAsia"/>
        </w:rPr>
        <w:t>小结</w:t>
      </w:r>
    </w:p>
    <w:p>
      <w:pPr>
        <w:ind w:firstLine="480"/>
        <w:rPr>
          <w:rFonts w:eastAsiaTheme="minorEastAsia"/>
        </w:rPr>
      </w:pPr>
      <w:r>
        <w:rPr>
          <w:rFonts w:hint="eastAsia" w:eastAsiaTheme="minorEastAsia"/>
        </w:rPr>
        <w:t>从地下水现状监测与评价结果看，项目所在区域地下水水质各项监测指标均低于</w:t>
      </w:r>
      <w:r>
        <w:rPr>
          <w:rFonts w:hint="eastAsia" w:cs="Times New Roman" w:eastAsiaTheme="minorEastAsia"/>
        </w:rPr>
        <w:t>《地下水质量标准》（</w:t>
      </w:r>
      <w:r>
        <w:rPr>
          <w:rFonts w:cs="Times New Roman" w:eastAsiaTheme="minorEastAsia"/>
        </w:rPr>
        <w:t>GB/T 14848-2017</w:t>
      </w:r>
      <w:r>
        <w:rPr>
          <w:rFonts w:hint="eastAsia" w:cs="Times New Roman" w:eastAsiaTheme="minorEastAsia"/>
        </w:rPr>
        <w:t>）</w:t>
      </w:r>
      <w:r>
        <w:rPr>
          <w:rFonts w:cs="Times New Roman" w:eastAsiaTheme="minorEastAsia"/>
        </w:rPr>
        <w:t>III</w:t>
      </w:r>
      <w:r>
        <w:rPr>
          <w:rFonts w:hint="eastAsia" w:eastAsiaTheme="minorEastAsia"/>
        </w:rPr>
        <w:t>类水质标准限值，说明项目所在区域地下水质总体良好。本项目运营过程中不开采地下水作为生产、生活用水，不影响地下水正常水位。项目生产过程中对地下水的污染源强较少，项目正常运营对地下水环境影响较小。</w:t>
      </w:r>
    </w:p>
    <w:p>
      <w:pPr>
        <w:ind w:firstLine="480"/>
        <w:rPr>
          <w:rFonts w:cs="Times New Roman" w:eastAsiaTheme="minorEastAsia"/>
        </w:rPr>
      </w:pPr>
      <w:r>
        <w:rPr>
          <w:rFonts w:hint="eastAsia" w:cs="Times New Roman" w:eastAsiaTheme="minorEastAsia"/>
        </w:rPr>
        <w:t>项目运营期产生的固废，将被集中堆放于有防渗措施的区域，统一收集后处理，避免了遭受降雨等的淋滤产生污水，正常情况下不会影响地下水；项目产生的生活污水经三级化粪池集中处理达标后排入苍城污水处理厂，厂区内污水管网和污水处理池均经过防渗处理，正常情况下不会影响地下水。</w:t>
      </w:r>
    </w:p>
    <w:p>
      <w:pPr>
        <w:ind w:firstLine="480"/>
        <w:rPr>
          <w:rFonts w:cs="Times New Roman" w:eastAsiaTheme="minorEastAsia"/>
        </w:rPr>
      </w:pPr>
      <w:r>
        <w:rPr>
          <w:rFonts w:hint="eastAsia" w:cs="Times New Roman" w:eastAsiaTheme="minorEastAsia"/>
        </w:rPr>
        <w:t>总之，本项目建设过程及建成运营后，不会对沿线地下水水位、水质及地下水流场产生明显不利影响。因此，评价认为本项目建设对周边地下水环境和居民生活影响较小。</w:t>
      </w:r>
    </w:p>
    <w:p>
      <w:pPr>
        <w:pStyle w:val="4"/>
      </w:pPr>
      <w:bookmarkStart w:id="436" w:name="_Ref530507940"/>
      <w:bookmarkStart w:id="437" w:name="_Toc3538799"/>
      <w:bookmarkStart w:id="438" w:name="_Ref530507942"/>
      <w:r>
        <w:rPr>
          <w:rFonts w:hint="eastAsia"/>
        </w:rPr>
        <w:t>营运期大气环境</w:t>
      </w:r>
      <w:r>
        <w:t>影响预测与评价</w:t>
      </w:r>
      <w:bookmarkEnd w:id="431"/>
      <w:bookmarkEnd w:id="432"/>
      <w:bookmarkEnd w:id="433"/>
      <w:bookmarkEnd w:id="434"/>
      <w:bookmarkEnd w:id="435"/>
      <w:bookmarkEnd w:id="436"/>
      <w:bookmarkEnd w:id="437"/>
      <w:bookmarkEnd w:id="438"/>
    </w:p>
    <w:p>
      <w:pPr>
        <w:pStyle w:val="5"/>
      </w:pPr>
      <w:r>
        <w:rPr>
          <w:rFonts w:hint="eastAsia"/>
        </w:rPr>
        <w:t>常规气象资料调查与分析</w:t>
      </w:r>
    </w:p>
    <w:p>
      <w:pPr>
        <w:ind w:left="480" w:firstLine="0" w:firstLineChars="0"/>
        <w:rPr>
          <w:rFonts w:cs="Times New Roman" w:eastAsiaTheme="minorEastAsia"/>
          <w:b/>
        </w:rPr>
      </w:pPr>
      <w:r>
        <w:rPr>
          <w:rFonts w:cs="Times New Roman" w:eastAsiaTheme="minorEastAsia"/>
          <w:b/>
        </w:rPr>
        <w:t>（1）气象资料来源</w:t>
      </w:r>
    </w:p>
    <w:p>
      <w:pPr>
        <w:ind w:firstLine="480"/>
        <w:rPr>
          <w:rFonts w:cs="Times New Roman" w:eastAsiaTheme="minorEastAsia"/>
        </w:rPr>
      </w:pPr>
      <w:r>
        <w:rPr>
          <w:rFonts w:cs="Times New Roman" w:eastAsiaTheme="minorEastAsia"/>
        </w:rPr>
        <w:t>本项目采用气象资料来源于距离项目最近的开平气象站，站址位于开平市开平大道北黄竹坑山顶，经纬度为（22.4°N，112.5°E），海拔28m，距离本项目直线距离约为18.7km，为距离本项目最近的国家一般气象站，符合《环境影响评价技术导则 大气环境》（HJ 2.2-2018）要求</w:t>
      </w:r>
      <w:r>
        <w:rPr>
          <w:rFonts w:hint="eastAsia" w:cs="Times New Roman" w:eastAsiaTheme="minorEastAsia"/>
        </w:rPr>
        <w:t>，气象资料适用</w:t>
      </w:r>
      <w:r>
        <w:rPr>
          <w:rFonts w:cs="Times New Roman" w:eastAsiaTheme="minorEastAsia"/>
        </w:rPr>
        <w:t>。</w:t>
      </w:r>
    </w:p>
    <w:p>
      <w:pPr>
        <w:ind w:left="480" w:firstLine="0" w:firstLineChars="0"/>
        <w:rPr>
          <w:rFonts w:cs="Times New Roman" w:eastAsiaTheme="minorEastAsia"/>
          <w:b/>
        </w:rPr>
      </w:pPr>
      <w:r>
        <w:rPr>
          <w:rFonts w:cs="Times New Roman" w:eastAsiaTheme="minorEastAsia"/>
          <w:b/>
        </w:rPr>
        <w:t>（2）气象资料组成</w:t>
      </w:r>
    </w:p>
    <w:p>
      <w:pPr>
        <w:ind w:firstLine="480"/>
        <w:rPr>
          <w:rFonts w:cs="Times New Roman" w:eastAsiaTheme="minorEastAsia"/>
        </w:rPr>
      </w:pPr>
      <w:r>
        <w:rPr>
          <w:rFonts w:cs="Times New Roman" w:eastAsiaTheme="minorEastAsia"/>
        </w:rPr>
        <w:t>按《环境影响评价技术导则 大气环境》（HJ 2.2</w:t>
      </w:r>
      <w:r>
        <w:rPr>
          <w:rFonts w:hint="eastAsia" w:cs="Times New Roman" w:eastAsiaTheme="minorEastAsia"/>
        </w:rPr>
        <w:t>-</w:t>
      </w:r>
      <w:r>
        <w:rPr>
          <w:rFonts w:cs="Times New Roman" w:eastAsiaTheme="minorEastAsia"/>
        </w:rPr>
        <w:t>2018）二级评价的要求，气象资料由以下数据组成：</w:t>
      </w:r>
    </w:p>
    <w:p>
      <w:pPr>
        <w:ind w:left="480" w:firstLine="0" w:firstLineChars="0"/>
        <w:rPr>
          <w:rFonts w:cs="Times New Roman" w:eastAsiaTheme="minorEastAsia"/>
        </w:rPr>
      </w:pPr>
      <w:r>
        <w:rPr>
          <w:rFonts w:cs="Times New Roman" w:eastAsiaTheme="minorEastAsia"/>
        </w:rPr>
        <w:fldChar w:fldCharType="begin"/>
      </w:r>
      <w:r>
        <w:rPr>
          <w:rFonts w:cs="Times New Roman" w:eastAsiaTheme="minorEastAsia"/>
        </w:rPr>
        <w:instrText xml:space="preserve">= 1 \* GB3</w:instrText>
      </w:r>
      <w:r>
        <w:rPr>
          <w:rFonts w:cs="Times New Roman" w:eastAsiaTheme="minorEastAsia"/>
        </w:rPr>
        <w:fldChar w:fldCharType="separate"/>
      </w:r>
      <w:r>
        <w:rPr>
          <w:rFonts w:hint="eastAsia" w:cs="Times New Roman" w:eastAsiaTheme="minorEastAsia"/>
        </w:rPr>
        <w:t>①</w:t>
      </w:r>
      <w:r>
        <w:rPr>
          <w:rFonts w:cs="Times New Roman" w:eastAsiaTheme="minorEastAsia"/>
        </w:rPr>
        <w:fldChar w:fldCharType="end"/>
      </w:r>
      <w:r>
        <w:rPr>
          <w:rFonts w:cs="Times New Roman" w:eastAsiaTheme="minorEastAsia"/>
        </w:rPr>
        <w:t>开平市气象站近20年（1998-2017年）主要气象统计资料；</w:t>
      </w:r>
    </w:p>
    <w:p>
      <w:pPr>
        <w:ind w:left="480" w:firstLine="0" w:firstLineChars="0"/>
        <w:rPr>
          <w:rFonts w:cs="Times New Roman" w:eastAsiaTheme="minorEastAsia"/>
        </w:rPr>
      </w:pPr>
      <w:r>
        <w:rPr>
          <w:rFonts w:cs="Times New Roman" w:eastAsiaTheme="minorEastAsia"/>
        </w:rPr>
        <w:fldChar w:fldCharType="begin"/>
      </w:r>
      <w:r>
        <w:rPr>
          <w:rFonts w:cs="Times New Roman" w:eastAsiaTheme="minorEastAsia"/>
        </w:rPr>
        <w:instrText xml:space="preserve">= 2 \* GB3</w:instrText>
      </w:r>
      <w:r>
        <w:rPr>
          <w:rFonts w:cs="Times New Roman" w:eastAsiaTheme="minorEastAsia"/>
        </w:rPr>
        <w:fldChar w:fldCharType="separate"/>
      </w:r>
      <w:r>
        <w:rPr>
          <w:rFonts w:hint="eastAsia" w:cs="Times New Roman" w:eastAsiaTheme="minorEastAsia"/>
        </w:rPr>
        <w:t>②</w:t>
      </w:r>
      <w:r>
        <w:rPr>
          <w:rFonts w:cs="Times New Roman" w:eastAsiaTheme="minorEastAsia"/>
        </w:rPr>
        <w:fldChar w:fldCharType="end"/>
      </w:r>
      <w:r>
        <w:rPr>
          <w:rFonts w:cs="Times New Roman" w:eastAsiaTheme="minorEastAsia"/>
        </w:rPr>
        <w:t>开平市气象站2017年每日逐时地面气象观测资料；</w:t>
      </w:r>
    </w:p>
    <w:p>
      <w:pPr>
        <w:ind w:left="480" w:firstLine="0" w:firstLineChars="0"/>
        <w:rPr>
          <w:rFonts w:cs="Times New Roman" w:eastAsiaTheme="minorEastAsia"/>
        </w:rPr>
      </w:pPr>
      <w:r>
        <w:rPr>
          <w:rFonts w:hint="eastAsia" w:eastAsiaTheme="minorEastAsia"/>
        </w:rPr>
        <w:t>③</w:t>
      </w:r>
      <w:r>
        <w:rPr>
          <w:rFonts w:cs="Times New Roman" w:eastAsiaTheme="minorEastAsia"/>
        </w:rPr>
        <w:t>采用中尺度气象模式模拟的格点气象资料。</w:t>
      </w:r>
    </w:p>
    <w:p>
      <w:pPr>
        <w:ind w:left="480" w:firstLine="0" w:firstLineChars="0"/>
        <w:rPr>
          <w:rFonts w:cs="Times New Roman" w:eastAsiaTheme="minorEastAsia"/>
          <w:b/>
        </w:rPr>
      </w:pPr>
      <w:r>
        <w:rPr>
          <w:rFonts w:cs="Times New Roman" w:eastAsiaTheme="minorEastAsia"/>
          <w:b/>
        </w:rPr>
        <w:t>（3）近20年气象资料统计</w:t>
      </w:r>
    </w:p>
    <w:p>
      <w:pPr>
        <w:ind w:firstLine="480"/>
        <w:rPr>
          <w:rFonts w:cs="Times New Roman" w:eastAsiaTheme="minorEastAsia"/>
        </w:rPr>
      </w:pPr>
      <w:r>
        <w:rPr>
          <w:rFonts w:cs="Times New Roman" w:eastAsiaTheme="minorEastAsia"/>
        </w:rPr>
        <w:t>开平市地处北回归线以南，属南亚热带海洋性季风气候，濒临南海，有海洋风调节，常年气候温和湿润，日照充分，雨量充沛。全年主导风向为东北风，其中6～8月份以偏南风为主。全年80%以上的降水出现在4～9月，7～9月是台风活动的频发期。根据开平市最近20年的气象观测资料统计，其主要气象特征见下表。</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rPr>
          <w:rFonts w:hint="eastAsia"/>
        </w:rPr>
        <w:t>开平市气象站近20年主要气候资料统计值（199</w:t>
      </w:r>
      <w:r>
        <w:t>7</w:t>
      </w:r>
      <w:r>
        <w:rPr>
          <w:rFonts w:hint="eastAsia"/>
        </w:rPr>
        <w:t>-201</w:t>
      </w:r>
      <w:r>
        <w:t>7</w:t>
      </w:r>
      <w:r>
        <w:rPr>
          <w:rFonts w:hint="eastAsia"/>
        </w:rPr>
        <w:t>）</w:t>
      </w:r>
    </w:p>
    <w:tbl>
      <w:tblPr>
        <w:tblStyle w:val="56"/>
        <w:tblW w:w="90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3"/>
        <w:gridCol w:w="4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spacing w:line="240" w:lineRule="auto"/>
              <w:ind w:firstLine="0" w:firstLineChars="0"/>
              <w:jc w:val="center"/>
              <w:rPr>
                <w:rFonts w:eastAsiaTheme="minorEastAsia"/>
                <w:b/>
                <w:sz w:val="21"/>
              </w:rPr>
            </w:pPr>
            <w:r>
              <w:rPr>
                <w:rFonts w:eastAsiaTheme="minorEastAsia"/>
                <w:b/>
                <w:sz w:val="21"/>
              </w:rPr>
              <w:t>项目</w:t>
            </w:r>
          </w:p>
        </w:tc>
        <w:tc>
          <w:tcPr>
            <w:tcW w:w="4787" w:type="dxa"/>
            <w:shd w:val="clear" w:color="auto" w:fill="auto"/>
            <w:vAlign w:val="center"/>
          </w:tcPr>
          <w:p>
            <w:pPr>
              <w:spacing w:line="240" w:lineRule="auto"/>
              <w:ind w:firstLine="0" w:firstLineChars="0"/>
              <w:jc w:val="center"/>
              <w:rPr>
                <w:rFonts w:eastAsiaTheme="minorEastAsia"/>
                <w:b/>
                <w:sz w:val="21"/>
              </w:rPr>
            </w:pPr>
            <w:r>
              <w:rPr>
                <w:rFonts w:eastAsiaTheme="minorEastAsia"/>
                <w:b/>
                <w:sz w:val="21"/>
              </w:rPr>
              <w:t>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eastAsiaTheme="minorEastAsia"/>
                <w:snapToGrid w:val="0"/>
                <w:sz w:val="21"/>
                <w:szCs w:val="21"/>
              </w:rPr>
            </w:pPr>
            <w:r>
              <w:rPr>
                <w:rFonts w:eastAsiaTheme="minorEastAsia"/>
                <w:snapToGrid w:val="0"/>
                <w:sz w:val="21"/>
                <w:szCs w:val="21"/>
              </w:rPr>
              <w:t>年平均风速(m/s)</w:t>
            </w:r>
          </w:p>
        </w:tc>
        <w:tc>
          <w:tcPr>
            <w:tcW w:w="4787" w:type="dxa"/>
            <w:shd w:val="clear" w:color="auto" w:fill="auto"/>
            <w:vAlign w:val="center"/>
          </w:tcPr>
          <w:p>
            <w:pPr>
              <w:adjustRightInd w:val="0"/>
              <w:snapToGrid w:val="0"/>
              <w:spacing w:line="240" w:lineRule="auto"/>
              <w:ind w:firstLine="0" w:firstLineChars="0"/>
              <w:jc w:val="center"/>
              <w:rPr>
                <w:rFonts w:eastAsiaTheme="minorEastAsia"/>
                <w:snapToGrid w:val="0"/>
                <w:color w:val="000000"/>
                <w:sz w:val="21"/>
                <w:szCs w:val="21"/>
              </w:rPr>
            </w:pPr>
            <w:r>
              <w:rPr>
                <w:rFonts w:eastAsiaTheme="minorEastAsia"/>
                <w:snapToGrid w:val="0"/>
                <w:color w:val="000000"/>
                <w:sz w:val="21"/>
                <w:szCs w:val="21"/>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eastAsiaTheme="minorEastAsia"/>
                <w:snapToGrid w:val="0"/>
                <w:sz w:val="21"/>
                <w:szCs w:val="21"/>
              </w:rPr>
            </w:pPr>
            <w:r>
              <w:rPr>
                <w:rFonts w:eastAsiaTheme="minorEastAsia"/>
                <w:snapToGrid w:val="0"/>
                <w:sz w:val="21"/>
                <w:szCs w:val="21"/>
              </w:rPr>
              <w:t>最大风速(m/s)及出现的时间</w:t>
            </w:r>
          </w:p>
        </w:tc>
        <w:tc>
          <w:tcPr>
            <w:tcW w:w="4787" w:type="dxa"/>
            <w:shd w:val="clear" w:color="auto" w:fill="auto"/>
            <w:vAlign w:val="center"/>
          </w:tcPr>
          <w:p>
            <w:pPr>
              <w:adjustRightInd w:val="0"/>
              <w:snapToGrid w:val="0"/>
              <w:spacing w:line="240" w:lineRule="auto"/>
              <w:ind w:firstLine="0" w:firstLineChars="0"/>
              <w:jc w:val="center"/>
              <w:rPr>
                <w:rFonts w:eastAsiaTheme="minorEastAsia"/>
                <w:snapToGrid w:val="0"/>
                <w:color w:val="000000"/>
                <w:sz w:val="21"/>
                <w:szCs w:val="21"/>
              </w:rPr>
            </w:pPr>
            <w:r>
              <w:rPr>
                <w:rFonts w:eastAsiaTheme="minorEastAsia"/>
                <w:snapToGrid w:val="0"/>
                <w:color w:val="000000"/>
                <w:sz w:val="21"/>
                <w:szCs w:val="21"/>
              </w:rPr>
              <w:t>24.8，NE</w:t>
            </w:r>
          </w:p>
          <w:p>
            <w:pPr>
              <w:adjustRightInd w:val="0"/>
              <w:snapToGrid w:val="0"/>
              <w:spacing w:line="240" w:lineRule="auto"/>
              <w:ind w:firstLine="0" w:firstLineChars="0"/>
              <w:jc w:val="center"/>
              <w:rPr>
                <w:rFonts w:eastAsiaTheme="minorEastAsia"/>
                <w:snapToGrid w:val="0"/>
                <w:color w:val="000000"/>
                <w:sz w:val="21"/>
                <w:szCs w:val="21"/>
              </w:rPr>
            </w:pPr>
            <w:r>
              <w:rPr>
                <w:rFonts w:eastAsiaTheme="minorEastAsia"/>
                <w:snapToGrid w:val="0"/>
                <w:color w:val="000000"/>
                <w:sz w:val="21"/>
                <w:szCs w:val="21"/>
              </w:rPr>
              <w:t>出现时间：2012年7月24日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eastAsiaTheme="minorEastAsia"/>
                <w:snapToGrid w:val="0"/>
                <w:sz w:val="21"/>
                <w:szCs w:val="21"/>
              </w:rPr>
            </w:pPr>
            <w:r>
              <w:rPr>
                <w:rFonts w:eastAsiaTheme="minorEastAsia"/>
                <w:snapToGrid w:val="0"/>
                <w:sz w:val="21"/>
                <w:szCs w:val="21"/>
              </w:rPr>
              <w:t>年平均气温（</w:t>
            </w:r>
            <w:r>
              <w:rPr>
                <w:rFonts w:hint="eastAsia" w:eastAsiaTheme="minorEastAsia"/>
                <w:snapToGrid w:val="0"/>
                <w:sz w:val="21"/>
                <w:szCs w:val="21"/>
              </w:rPr>
              <w:t>℃</w:t>
            </w:r>
            <w:r>
              <w:rPr>
                <w:rFonts w:eastAsiaTheme="minorEastAsia"/>
                <w:snapToGrid w:val="0"/>
                <w:sz w:val="21"/>
                <w:szCs w:val="21"/>
              </w:rPr>
              <w:t>）</w:t>
            </w:r>
          </w:p>
        </w:tc>
        <w:tc>
          <w:tcPr>
            <w:tcW w:w="4787" w:type="dxa"/>
            <w:shd w:val="clear" w:color="auto" w:fill="auto"/>
            <w:vAlign w:val="center"/>
          </w:tcPr>
          <w:p>
            <w:pPr>
              <w:adjustRightInd w:val="0"/>
              <w:snapToGrid w:val="0"/>
              <w:spacing w:line="240" w:lineRule="auto"/>
              <w:ind w:firstLine="0" w:firstLineChars="0"/>
              <w:jc w:val="center"/>
              <w:rPr>
                <w:rFonts w:eastAsiaTheme="minorEastAsia"/>
                <w:snapToGrid w:val="0"/>
                <w:color w:val="000000"/>
                <w:sz w:val="21"/>
                <w:szCs w:val="21"/>
              </w:rPr>
            </w:pPr>
            <w:r>
              <w:rPr>
                <w:rFonts w:eastAsiaTheme="minorEastAsia"/>
                <w:snapToGrid w:val="0"/>
                <w:color w:val="000000"/>
                <w:sz w:val="21"/>
                <w:szCs w:val="21"/>
              </w:rP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eastAsiaTheme="minorEastAsia"/>
                <w:snapToGrid w:val="0"/>
                <w:sz w:val="21"/>
                <w:szCs w:val="21"/>
              </w:rPr>
            </w:pPr>
            <w:r>
              <w:rPr>
                <w:rFonts w:eastAsiaTheme="minorEastAsia"/>
                <w:snapToGrid w:val="0"/>
                <w:sz w:val="21"/>
                <w:szCs w:val="21"/>
              </w:rPr>
              <w:t>极端最高气温（</w:t>
            </w:r>
            <w:r>
              <w:rPr>
                <w:rFonts w:hint="eastAsia" w:eastAsiaTheme="minorEastAsia"/>
                <w:snapToGrid w:val="0"/>
                <w:sz w:val="21"/>
                <w:szCs w:val="21"/>
              </w:rPr>
              <w:t>℃</w:t>
            </w:r>
            <w:r>
              <w:rPr>
                <w:rFonts w:eastAsiaTheme="minorEastAsia"/>
                <w:snapToGrid w:val="0"/>
                <w:sz w:val="21"/>
                <w:szCs w:val="21"/>
              </w:rPr>
              <w:t>）及出现的时间</w:t>
            </w:r>
          </w:p>
        </w:tc>
        <w:tc>
          <w:tcPr>
            <w:tcW w:w="4787" w:type="dxa"/>
            <w:shd w:val="clear" w:color="auto" w:fill="auto"/>
            <w:vAlign w:val="center"/>
          </w:tcPr>
          <w:p>
            <w:pPr>
              <w:adjustRightInd w:val="0"/>
              <w:snapToGrid w:val="0"/>
              <w:spacing w:line="240" w:lineRule="auto"/>
              <w:ind w:firstLine="0" w:firstLineChars="0"/>
              <w:jc w:val="center"/>
              <w:rPr>
                <w:rFonts w:eastAsiaTheme="minorEastAsia"/>
                <w:snapToGrid w:val="0"/>
                <w:color w:val="000000"/>
                <w:sz w:val="21"/>
                <w:szCs w:val="21"/>
              </w:rPr>
            </w:pPr>
            <w:r>
              <w:rPr>
                <w:rFonts w:eastAsiaTheme="minorEastAsia"/>
                <w:snapToGrid w:val="0"/>
                <w:color w:val="000000"/>
                <w:sz w:val="21"/>
                <w:szCs w:val="21"/>
              </w:rPr>
              <w:t>39.4</w:t>
            </w:r>
          </w:p>
          <w:p>
            <w:pPr>
              <w:adjustRightInd w:val="0"/>
              <w:snapToGrid w:val="0"/>
              <w:spacing w:line="240" w:lineRule="auto"/>
              <w:ind w:firstLine="0" w:firstLineChars="0"/>
              <w:jc w:val="center"/>
              <w:rPr>
                <w:rFonts w:eastAsiaTheme="minorEastAsia"/>
                <w:snapToGrid w:val="0"/>
                <w:color w:val="000000"/>
                <w:sz w:val="21"/>
                <w:szCs w:val="21"/>
              </w:rPr>
            </w:pPr>
            <w:r>
              <w:rPr>
                <w:rFonts w:eastAsiaTheme="minorEastAsia"/>
                <w:snapToGrid w:val="0"/>
                <w:color w:val="000000"/>
                <w:sz w:val="21"/>
                <w:szCs w:val="21"/>
              </w:rPr>
              <w:t>出现时间：2004年7月1日、2005年7月19日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eastAsiaTheme="minorEastAsia"/>
                <w:snapToGrid w:val="0"/>
                <w:sz w:val="21"/>
                <w:szCs w:val="21"/>
              </w:rPr>
            </w:pPr>
            <w:r>
              <w:rPr>
                <w:rFonts w:eastAsiaTheme="minorEastAsia"/>
                <w:snapToGrid w:val="0"/>
                <w:sz w:val="21"/>
                <w:szCs w:val="21"/>
              </w:rPr>
              <w:t>极端最低气温（</w:t>
            </w:r>
            <w:r>
              <w:rPr>
                <w:rFonts w:hint="eastAsia" w:eastAsiaTheme="minorEastAsia"/>
                <w:snapToGrid w:val="0"/>
                <w:sz w:val="21"/>
                <w:szCs w:val="21"/>
              </w:rPr>
              <w:t>℃</w:t>
            </w:r>
            <w:r>
              <w:rPr>
                <w:rFonts w:eastAsiaTheme="minorEastAsia"/>
                <w:snapToGrid w:val="0"/>
                <w:sz w:val="21"/>
                <w:szCs w:val="21"/>
              </w:rPr>
              <w:t>）及出现的时间</w:t>
            </w:r>
          </w:p>
        </w:tc>
        <w:tc>
          <w:tcPr>
            <w:tcW w:w="4787" w:type="dxa"/>
            <w:shd w:val="clear" w:color="auto" w:fill="auto"/>
            <w:vAlign w:val="center"/>
          </w:tcPr>
          <w:p>
            <w:pPr>
              <w:adjustRightInd w:val="0"/>
              <w:snapToGrid w:val="0"/>
              <w:spacing w:line="240" w:lineRule="auto"/>
              <w:ind w:firstLine="0" w:firstLineChars="0"/>
              <w:jc w:val="center"/>
              <w:rPr>
                <w:rFonts w:eastAsiaTheme="minorEastAsia"/>
                <w:snapToGrid w:val="0"/>
                <w:color w:val="000000"/>
                <w:sz w:val="21"/>
                <w:szCs w:val="21"/>
              </w:rPr>
            </w:pPr>
            <w:r>
              <w:rPr>
                <w:rFonts w:eastAsiaTheme="minorEastAsia"/>
                <w:snapToGrid w:val="0"/>
                <w:color w:val="000000"/>
                <w:sz w:val="21"/>
                <w:szCs w:val="21"/>
              </w:rPr>
              <w:t>1.5</w:t>
            </w:r>
          </w:p>
          <w:p>
            <w:pPr>
              <w:adjustRightInd w:val="0"/>
              <w:snapToGrid w:val="0"/>
              <w:spacing w:line="240" w:lineRule="auto"/>
              <w:ind w:firstLine="0" w:firstLineChars="0"/>
              <w:jc w:val="center"/>
              <w:rPr>
                <w:rFonts w:eastAsiaTheme="minorEastAsia"/>
                <w:snapToGrid w:val="0"/>
                <w:color w:val="000000"/>
                <w:sz w:val="21"/>
                <w:szCs w:val="21"/>
              </w:rPr>
            </w:pPr>
            <w:r>
              <w:rPr>
                <w:rFonts w:eastAsiaTheme="minorEastAsia"/>
                <w:snapToGrid w:val="0"/>
                <w:color w:val="000000"/>
                <w:sz w:val="21"/>
                <w:szCs w:val="21"/>
              </w:rPr>
              <w:t>出现时间：2010年12月17日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eastAsiaTheme="minorEastAsia"/>
                <w:snapToGrid w:val="0"/>
                <w:sz w:val="21"/>
                <w:szCs w:val="21"/>
              </w:rPr>
            </w:pPr>
            <w:r>
              <w:rPr>
                <w:rFonts w:eastAsiaTheme="minorEastAsia"/>
                <w:snapToGrid w:val="0"/>
                <w:sz w:val="21"/>
                <w:szCs w:val="21"/>
              </w:rPr>
              <w:t>年平均相对湿度（%）</w:t>
            </w:r>
          </w:p>
        </w:tc>
        <w:tc>
          <w:tcPr>
            <w:tcW w:w="4787" w:type="dxa"/>
            <w:shd w:val="clear" w:color="auto" w:fill="auto"/>
            <w:vAlign w:val="center"/>
          </w:tcPr>
          <w:p>
            <w:pPr>
              <w:adjustRightInd w:val="0"/>
              <w:snapToGrid w:val="0"/>
              <w:spacing w:line="240" w:lineRule="auto"/>
              <w:ind w:firstLine="0" w:firstLineChars="0"/>
              <w:jc w:val="center"/>
              <w:rPr>
                <w:rFonts w:eastAsiaTheme="minorEastAsia"/>
                <w:snapToGrid w:val="0"/>
                <w:color w:val="000000"/>
                <w:sz w:val="21"/>
                <w:szCs w:val="21"/>
              </w:rPr>
            </w:pPr>
            <w:r>
              <w:rPr>
                <w:rFonts w:eastAsiaTheme="minorEastAsia"/>
                <w:snapToGrid w:val="0"/>
                <w:color w:val="000000"/>
                <w:sz w:val="21"/>
                <w:szCs w:val="21"/>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eastAsiaTheme="minorEastAsia"/>
                <w:snapToGrid w:val="0"/>
                <w:sz w:val="21"/>
                <w:szCs w:val="21"/>
              </w:rPr>
            </w:pPr>
            <w:r>
              <w:rPr>
                <w:rFonts w:eastAsiaTheme="minorEastAsia"/>
                <w:snapToGrid w:val="0"/>
                <w:sz w:val="21"/>
                <w:szCs w:val="21"/>
              </w:rPr>
              <w:t>年均降水量（mm）</w:t>
            </w:r>
          </w:p>
        </w:tc>
        <w:tc>
          <w:tcPr>
            <w:tcW w:w="4787" w:type="dxa"/>
            <w:shd w:val="clear" w:color="auto" w:fill="auto"/>
            <w:vAlign w:val="center"/>
          </w:tcPr>
          <w:p>
            <w:pPr>
              <w:adjustRightInd w:val="0"/>
              <w:snapToGrid w:val="0"/>
              <w:spacing w:line="240" w:lineRule="auto"/>
              <w:ind w:firstLine="0" w:firstLineChars="0"/>
              <w:jc w:val="center"/>
              <w:rPr>
                <w:rFonts w:eastAsiaTheme="minorEastAsia"/>
                <w:snapToGrid w:val="0"/>
                <w:color w:val="000000"/>
                <w:sz w:val="21"/>
                <w:szCs w:val="21"/>
              </w:rPr>
            </w:pPr>
            <w:r>
              <w:rPr>
                <w:rFonts w:eastAsiaTheme="minorEastAsia"/>
                <w:snapToGrid w:val="0"/>
                <w:color w:val="000000"/>
                <w:sz w:val="21"/>
                <w:szCs w:val="21"/>
              </w:rPr>
              <w:t>1827.4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eastAsiaTheme="minorEastAsia"/>
                <w:snapToGrid w:val="0"/>
                <w:sz w:val="21"/>
                <w:szCs w:val="21"/>
              </w:rPr>
            </w:pPr>
            <w:r>
              <w:rPr>
                <w:rFonts w:eastAsiaTheme="minorEastAsia"/>
                <w:snapToGrid w:val="0"/>
                <w:sz w:val="21"/>
                <w:szCs w:val="21"/>
              </w:rPr>
              <w:t>年最大降水量（mm）及出现的时间</w:t>
            </w:r>
          </w:p>
        </w:tc>
        <w:tc>
          <w:tcPr>
            <w:tcW w:w="4787" w:type="dxa"/>
            <w:shd w:val="clear" w:color="auto" w:fill="auto"/>
            <w:vAlign w:val="center"/>
          </w:tcPr>
          <w:p>
            <w:pPr>
              <w:adjustRightInd w:val="0"/>
              <w:snapToGrid w:val="0"/>
              <w:spacing w:line="240" w:lineRule="auto"/>
              <w:ind w:firstLine="0" w:firstLineChars="0"/>
              <w:jc w:val="center"/>
              <w:rPr>
                <w:rFonts w:eastAsiaTheme="minorEastAsia"/>
                <w:snapToGrid w:val="0"/>
                <w:color w:val="000000"/>
                <w:sz w:val="21"/>
                <w:szCs w:val="21"/>
              </w:rPr>
            </w:pPr>
            <w:r>
              <w:rPr>
                <w:rFonts w:eastAsiaTheme="minorEastAsia"/>
                <w:snapToGrid w:val="0"/>
                <w:color w:val="000000"/>
                <w:sz w:val="21"/>
                <w:szCs w:val="21"/>
              </w:rPr>
              <w:t>最大值：2579.6mm  出现时间：2001年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eastAsiaTheme="minorEastAsia"/>
                <w:snapToGrid w:val="0"/>
                <w:sz w:val="21"/>
                <w:szCs w:val="21"/>
              </w:rPr>
            </w:pPr>
            <w:r>
              <w:rPr>
                <w:rFonts w:eastAsiaTheme="minorEastAsia"/>
                <w:snapToGrid w:val="0"/>
                <w:sz w:val="21"/>
                <w:szCs w:val="21"/>
              </w:rPr>
              <w:t>年最小降水量（mm）及出现的时间</w:t>
            </w:r>
          </w:p>
        </w:tc>
        <w:tc>
          <w:tcPr>
            <w:tcW w:w="4787" w:type="dxa"/>
            <w:shd w:val="clear" w:color="auto" w:fill="auto"/>
            <w:vAlign w:val="center"/>
          </w:tcPr>
          <w:p>
            <w:pPr>
              <w:adjustRightInd w:val="0"/>
              <w:snapToGrid w:val="0"/>
              <w:spacing w:line="240" w:lineRule="auto"/>
              <w:ind w:firstLine="0" w:firstLineChars="0"/>
              <w:jc w:val="center"/>
              <w:rPr>
                <w:rFonts w:eastAsiaTheme="minorEastAsia"/>
                <w:snapToGrid w:val="0"/>
                <w:color w:val="000000"/>
                <w:sz w:val="21"/>
                <w:szCs w:val="21"/>
              </w:rPr>
            </w:pPr>
            <w:r>
              <w:rPr>
                <w:rFonts w:eastAsiaTheme="minorEastAsia"/>
                <w:snapToGrid w:val="0"/>
                <w:color w:val="000000"/>
                <w:sz w:val="21"/>
                <w:szCs w:val="21"/>
              </w:rPr>
              <w:t>最小值：1091.9mm  出现时间：2011年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eastAsiaTheme="minorEastAsia"/>
                <w:snapToGrid w:val="0"/>
                <w:sz w:val="21"/>
                <w:szCs w:val="21"/>
              </w:rPr>
            </w:pPr>
            <w:r>
              <w:rPr>
                <w:rFonts w:hint="eastAsia" w:eastAsiaTheme="minorEastAsia"/>
                <w:snapToGrid w:val="0"/>
                <w:sz w:val="21"/>
                <w:szCs w:val="21"/>
              </w:rPr>
              <w:t>年平均降水日数（d）</w:t>
            </w:r>
          </w:p>
        </w:tc>
        <w:tc>
          <w:tcPr>
            <w:tcW w:w="4787" w:type="dxa"/>
            <w:shd w:val="clear" w:color="auto" w:fill="auto"/>
            <w:vAlign w:val="center"/>
          </w:tcPr>
          <w:p>
            <w:pPr>
              <w:adjustRightInd w:val="0"/>
              <w:snapToGrid w:val="0"/>
              <w:spacing w:line="240" w:lineRule="auto"/>
              <w:ind w:firstLine="0" w:firstLineChars="0"/>
              <w:jc w:val="center"/>
              <w:rPr>
                <w:rFonts w:eastAsiaTheme="minorEastAsia"/>
                <w:snapToGrid w:val="0"/>
                <w:color w:val="000000"/>
                <w:sz w:val="21"/>
                <w:szCs w:val="21"/>
              </w:rPr>
            </w:pPr>
            <w:r>
              <w:rPr>
                <w:rFonts w:eastAsiaTheme="minorEastAsia"/>
                <w:snapToGrid w:val="0"/>
                <w:color w:val="000000"/>
                <w:sz w:val="21"/>
                <w:szCs w:val="21"/>
              </w:rPr>
              <w:t>197.6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eastAsiaTheme="minorEastAsia"/>
                <w:snapToGrid w:val="0"/>
                <w:sz w:val="21"/>
                <w:szCs w:val="21"/>
              </w:rPr>
            </w:pPr>
            <w:r>
              <w:rPr>
                <w:rFonts w:eastAsiaTheme="minorEastAsia"/>
                <w:snapToGrid w:val="0"/>
                <w:sz w:val="21"/>
                <w:szCs w:val="21"/>
              </w:rPr>
              <w:t>年平均日照时数（h）</w:t>
            </w:r>
          </w:p>
        </w:tc>
        <w:tc>
          <w:tcPr>
            <w:tcW w:w="4787" w:type="dxa"/>
            <w:shd w:val="clear" w:color="auto" w:fill="auto"/>
            <w:vAlign w:val="center"/>
          </w:tcPr>
          <w:p>
            <w:pPr>
              <w:adjustRightInd w:val="0"/>
              <w:snapToGrid w:val="0"/>
              <w:spacing w:line="240" w:lineRule="auto"/>
              <w:ind w:firstLine="0" w:firstLineChars="0"/>
              <w:jc w:val="center"/>
              <w:rPr>
                <w:rFonts w:eastAsiaTheme="minorEastAsia"/>
                <w:snapToGrid w:val="0"/>
                <w:color w:val="000000"/>
                <w:sz w:val="21"/>
                <w:szCs w:val="21"/>
              </w:rPr>
            </w:pPr>
            <w:r>
              <w:rPr>
                <w:rFonts w:eastAsiaTheme="minorEastAsia"/>
                <w:snapToGrid w:val="0"/>
                <w:color w:val="000000"/>
                <w:sz w:val="21"/>
                <w:szCs w:val="21"/>
              </w:rPr>
              <w:t>1696.7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4273" w:type="dxa"/>
            <w:shd w:val="clear" w:color="auto" w:fill="auto"/>
            <w:vAlign w:val="center"/>
          </w:tcPr>
          <w:p>
            <w:pPr>
              <w:adjustRightInd w:val="0"/>
              <w:snapToGrid w:val="0"/>
              <w:spacing w:line="240" w:lineRule="auto"/>
              <w:ind w:firstLine="0" w:firstLineChars="0"/>
              <w:jc w:val="center"/>
              <w:rPr>
                <w:rFonts w:eastAsiaTheme="minorEastAsia"/>
                <w:snapToGrid w:val="0"/>
                <w:sz w:val="21"/>
                <w:szCs w:val="21"/>
              </w:rPr>
            </w:pPr>
            <w:r>
              <w:rPr>
                <w:rFonts w:hint="eastAsia" w:eastAsiaTheme="minorEastAsia"/>
                <w:snapToGrid w:val="0"/>
                <w:sz w:val="21"/>
                <w:szCs w:val="21"/>
              </w:rPr>
              <w:t>近五年（2</w:t>
            </w:r>
            <w:r>
              <w:rPr>
                <w:rFonts w:eastAsiaTheme="minorEastAsia"/>
                <w:snapToGrid w:val="0"/>
                <w:sz w:val="21"/>
                <w:szCs w:val="21"/>
              </w:rPr>
              <w:t>013</w:t>
            </w:r>
            <w:r>
              <w:rPr>
                <w:rFonts w:hint="eastAsia" w:eastAsiaTheme="minorEastAsia"/>
                <w:snapToGrid w:val="0"/>
                <w:sz w:val="21"/>
                <w:szCs w:val="21"/>
              </w:rPr>
              <w:t>~</w:t>
            </w:r>
            <w:r>
              <w:rPr>
                <w:rFonts w:eastAsiaTheme="minorEastAsia"/>
                <w:snapToGrid w:val="0"/>
                <w:sz w:val="21"/>
                <w:szCs w:val="21"/>
              </w:rPr>
              <w:t>2017</w:t>
            </w:r>
            <w:r>
              <w:rPr>
                <w:rFonts w:hint="eastAsia" w:eastAsiaTheme="minorEastAsia"/>
                <w:snapToGrid w:val="0"/>
                <w:sz w:val="21"/>
                <w:szCs w:val="21"/>
              </w:rPr>
              <w:t>年）平均风速（m/</w:t>
            </w:r>
            <w:r>
              <w:rPr>
                <w:rFonts w:eastAsiaTheme="minorEastAsia"/>
                <w:snapToGrid w:val="0"/>
                <w:sz w:val="21"/>
                <w:szCs w:val="21"/>
              </w:rPr>
              <w:t>s</w:t>
            </w:r>
            <w:r>
              <w:rPr>
                <w:rFonts w:hint="eastAsia" w:eastAsiaTheme="minorEastAsia"/>
                <w:snapToGrid w:val="0"/>
                <w:sz w:val="21"/>
                <w:szCs w:val="21"/>
              </w:rPr>
              <w:t>）</w:t>
            </w:r>
          </w:p>
        </w:tc>
        <w:tc>
          <w:tcPr>
            <w:tcW w:w="4787" w:type="dxa"/>
            <w:shd w:val="clear" w:color="auto" w:fill="auto"/>
            <w:vAlign w:val="center"/>
          </w:tcPr>
          <w:p>
            <w:pPr>
              <w:adjustRightInd w:val="0"/>
              <w:snapToGrid w:val="0"/>
              <w:spacing w:line="240" w:lineRule="auto"/>
              <w:ind w:firstLine="0" w:firstLineChars="0"/>
              <w:jc w:val="center"/>
              <w:rPr>
                <w:rFonts w:eastAsiaTheme="minorEastAsia"/>
                <w:snapToGrid w:val="0"/>
                <w:color w:val="000000"/>
                <w:sz w:val="21"/>
                <w:szCs w:val="21"/>
              </w:rPr>
            </w:pPr>
            <w:r>
              <w:rPr>
                <w:rFonts w:eastAsiaTheme="minorEastAsia"/>
                <w:snapToGrid w:val="0"/>
                <w:color w:val="000000"/>
                <w:sz w:val="21"/>
                <w:szCs w:val="21"/>
              </w:rPr>
              <w:t>2.18</w:t>
            </w:r>
          </w:p>
        </w:tc>
      </w:tr>
    </w:tbl>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rPr>
          <w:rFonts w:hint="eastAsia"/>
        </w:rPr>
        <w:t>开平市气象站近20年累年各月平均风速（m/s）和平均气温（℃）</w:t>
      </w:r>
    </w:p>
    <w:tbl>
      <w:tblPr>
        <w:tblStyle w:val="56"/>
        <w:tblW w:w="90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3"/>
        <w:gridCol w:w="626"/>
        <w:gridCol w:w="625"/>
        <w:gridCol w:w="625"/>
        <w:gridCol w:w="625"/>
        <w:gridCol w:w="625"/>
        <w:gridCol w:w="625"/>
        <w:gridCol w:w="625"/>
        <w:gridCol w:w="625"/>
        <w:gridCol w:w="625"/>
        <w:gridCol w:w="625"/>
        <w:gridCol w:w="625"/>
        <w:gridCol w:w="625"/>
        <w:gridCol w:w="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3" w:type="dxa"/>
            <w:shd w:val="clear" w:color="auto" w:fill="D8D8D8" w:themeFill="background1" w:themeFillShade="D9"/>
            <w:vAlign w:val="center"/>
          </w:tcPr>
          <w:p>
            <w:pPr>
              <w:pStyle w:val="107"/>
            </w:pPr>
            <w:r>
              <w:t>月份</w:t>
            </w:r>
          </w:p>
        </w:tc>
        <w:tc>
          <w:tcPr>
            <w:tcW w:w="626" w:type="dxa"/>
            <w:shd w:val="clear" w:color="auto" w:fill="D8D8D8" w:themeFill="background1" w:themeFillShade="D9"/>
            <w:vAlign w:val="center"/>
          </w:tcPr>
          <w:p>
            <w:pPr>
              <w:pStyle w:val="107"/>
            </w:pPr>
            <w:r>
              <w:t>1</w:t>
            </w:r>
          </w:p>
        </w:tc>
        <w:tc>
          <w:tcPr>
            <w:tcW w:w="625" w:type="dxa"/>
            <w:shd w:val="clear" w:color="auto" w:fill="D8D8D8" w:themeFill="background1" w:themeFillShade="D9"/>
            <w:vAlign w:val="center"/>
          </w:tcPr>
          <w:p>
            <w:pPr>
              <w:pStyle w:val="107"/>
            </w:pPr>
            <w:r>
              <w:t>2</w:t>
            </w:r>
          </w:p>
        </w:tc>
        <w:tc>
          <w:tcPr>
            <w:tcW w:w="625" w:type="dxa"/>
            <w:shd w:val="clear" w:color="auto" w:fill="D8D8D8" w:themeFill="background1" w:themeFillShade="D9"/>
            <w:vAlign w:val="center"/>
          </w:tcPr>
          <w:p>
            <w:pPr>
              <w:pStyle w:val="107"/>
            </w:pPr>
            <w:r>
              <w:t>3</w:t>
            </w:r>
          </w:p>
        </w:tc>
        <w:tc>
          <w:tcPr>
            <w:tcW w:w="625" w:type="dxa"/>
            <w:shd w:val="clear" w:color="auto" w:fill="D8D8D8" w:themeFill="background1" w:themeFillShade="D9"/>
            <w:vAlign w:val="center"/>
          </w:tcPr>
          <w:p>
            <w:pPr>
              <w:pStyle w:val="107"/>
            </w:pPr>
            <w:r>
              <w:t>4</w:t>
            </w:r>
          </w:p>
        </w:tc>
        <w:tc>
          <w:tcPr>
            <w:tcW w:w="625" w:type="dxa"/>
            <w:shd w:val="clear" w:color="auto" w:fill="D8D8D8" w:themeFill="background1" w:themeFillShade="D9"/>
            <w:vAlign w:val="center"/>
          </w:tcPr>
          <w:p>
            <w:pPr>
              <w:pStyle w:val="107"/>
            </w:pPr>
            <w:r>
              <w:t>5</w:t>
            </w:r>
          </w:p>
        </w:tc>
        <w:tc>
          <w:tcPr>
            <w:tcW w:w="625" w:type="dxa"/>
            <w:shd w:val="clear" w:color="auto" w:fill="D8D8D8" w:themeFill="background1" w:themeFillShade="D9"/>
            <w:vAlign w:val="center"/>
          </w:tcPr>
          <w:p>
            <w:pPr>
              <w:pStyle w:val="107"/>
            </w:pPr>
            <w:r>
              <w:t>6</w:t>
            </w:r>
          </w:p>
        </w:tc>
        <w:tc>
          <w:tcPr>
            <w:tcW w:w="625" w:type="dxa"/>
            <w:shd w:val="clear" w:color="auto" w:fill="D8D8D8" w:themeFill="background1" w:themeFillShade="D9"/>
            <w:vAlign w:val="center"/>
          </w:tcPr>
          <w:p>
            <w:pPr>
              <w:pStyle w:val="107"/>
            </w:pPr>
            <w:r>
              <w:t>7</w:t>
            </w:r>
          </w:p>
        </w:tc>
        <w:tc>
          <w:tcPr>
            <w:tcW w:w="625" w:type="dxa"/>
            <w:shd w:val="clear" w:color="auto" w:fill="D8D8D8" w:themeFill="background1" w:themeFillShade="D9"/>
            <w:vAlign w:val="center"/>
          </w:tcPr>
          <w:p>
            <w:pPr>
              <w:pStyle w:val="107"/>
            </w:pPr>
            <w:r>
              <w:t>8</w:t>
            </w:r>
          </w:p>
        </w:tc>
        <w:tc>
          <w:tcPr>
            <w:tcW w:w="625" w:type="dxa"/>
            <w:shd w:val="clear" w:color="auto" w:fill="D8D8D8" w:themeFill="background1" w:themeFillShade="D9"/>
            <w:vAlign w:val="center"/>
          </w:tcPr>
          <w:p>
            <w:pPr>
              <w:pStyle w:val="107"/>
            </w:pPr>
            <w:r>
              <w:t>9</w:t>
            </w:r>
          </w:p>
        </w:tc>
        <w:tc>
          <w:tcPr>
            <w:tcW w:w="625" w:type="dxa"/>
            <w:shd w:val="clear" w:color="auto" w:fill="D8D8D8" w:themeFill="background1" w:themeFillShade="D9"/>
            <w:vAlign w:val="center"/>
          </w:tcPr>
          <w:p>
            <w:pPr>
              <w:pStyle w:val="107"/>
            </w:pPr>
            <w:r>
              <w:t>10</w:t>
            </w:r>
          </w:p>
        </w:tc>
        <w:tc>
          <w:tcPr>
            <w:tcW w:w="625" w:type="dxa"/>
            <w:shd w:val="clear" w:color="auto" w:fill="D8D8D8" w:themeFill="background1" w:themeFillShade="D9"/>
            <w:vAlign w:val="center"/>
          </w:tcPr>
          <w:p>
            <w:pPr>
              <w:pStyle w:val="107"/>
            </w:pPr>
            <w:r>
              <w:t>11</w:t>
            </w:r>
          </w:p>
        </w:tc>
        <w:tc>
          <w:tcPr>
            <w:tcW w:w="625" w:type="dxa"/>
            <w:shd w:val="clear" w:color="auto" w:fill="D8D8D8" w:themeFill="background1" w:themeFillShade="D9"/>
            <w:vAlign w:val="center"/>
          </w:tcPr>
          <w:p>
            <w:pPr>
              <w:pStyle w:val="107"/>
            </w:pPr>
            <w:r>
              <w:t>12</w:t>
            </w:r>
          </w:p>
        </w:tc>
        <w:tc>
          <w:tcPr>
            <w:tcW w:w="846" w:type="dxa"/>
            <w:shd w:val="clear" w:color="auto" w:fill="D8D8D8" w:themeFill="background1" w:themeFillShade="D9"/>
            <w:vAlign w:val="center"/>
          </w:tcPr>
          <w:p>
            <w:pPr>
              <w:pStyle w:val="107"/>
            </w:pPr>
            <w:r>
              <w:t>年平均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3" w:type="dxa"/>
            <w:vAlign w:val="center"/>
          </w:tcPr>
          <w:p>
            <w:pPr>
              <w:pStyle w:val="107"/>
            </w:pPr>
            <w:r>
              <w:t>风速</w:t>
            </w:r>
          </w:p>
        </w:tc>
        <w:tc>
          <w:tcPr>
            <w:tcW w:w="626" w:type="dxa"/>
            <w:tcBorders>
              <w:top w:val="single" w:color="000000" w:sz="4" w:space="0"/>
              <w:left w:val="single" w:color="000000" w:sz="4" w:space="0"/>
              <w:bottom w:val="single" w:color="000000" w:sz="4" w:space="0"/>
              <w:right w:val="single" w:color="000000" w:sz="4" w:space="0"/>
            </w:tcBorders>
            <w:shd w:val="clear" w:color="auto" w:fill="auto"/>
          </w:tcPr>
          <w:p>
            <w:pPr>
              <w:pStyle w:val="107"/>
            </w:pPr>
            <w:r>
              <w:t>1.9</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1.9</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1.8</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1.8</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1.9</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1.9</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2.0</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1.8</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1.8</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1.8</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1.9</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1.9</w:t>
            </w:r>
          </w:p>
        </w:tc>
        <w:tc>
          <w:tcPr>
            <w:tcW w:w="846" w:type="dxa"/>
            <w:tcBorders>
              <w:top w:val="single" w:color="000000" w:sz="4" w:space="0"/>
              <w:left w:val="nil"/>
              <w:bottom w:val="single" w:color="000000" w:sz="4" w:space="0"/>
              <w:right w:val="single" w:color="000000" w:sz="4" w:space="0"/>
            </w:tcBorders>
            <w:shd w:val="clear" w:color="auto" w:fill="auto"/>
          </w:tcPr>
          <w:p>
            <w:pPr>
              <w:pStyle w:val="107"/>
            </w:pPr>
            <w: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713" w:type="dxa"/>
            <w:vAlign w:val="center"/>
          </w:tcPr>
          <w:p>
            <w:pPr>
              <w:pStyle w:val="107"/>
            </w:pPr>
            <w:r>
              <w:t>气温</w:t>
            </w:r>
          </w:p>
        </w:tc>
        <w:tc>
          <w:tcPr>
            <w:tcW w:w="626" w:type="dxa"/>
            <w:tcBorders>
              <w:top w:val="single" w:color="000000" w:sz="4" w:space="0"/>
              <w:left w:val="single" w:color="000000" w:sz="4" w:space="0"/>
              <w:bottom w:val="single" w:color="000000" w:sz="4" w:space="0"/>
              <w:right w:val="single" w:color="000000" w:sz="4" w:space="0"/>
            </w:tcBorders>
            <w:shd w:val="clear" w:color="auto" w:fill="auto"/>
          </w:tcPr>
          <w:p>
            <w:pPr>
              <w:pStyle w:val="107"/>
            </w:pPr>
            <w:r>
              <w:t>14.5</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16.4</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19.1</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23.3</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26.5</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28.2</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28.9</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28.8</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27.7</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25.3</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21.0</w:t>
            </w:r>
          </w:p>
        </w:tc>
        <w:tc>
          <w:tcPr>
            <w:tcW w:w="625" w:type="dxa"/>
            <w:tcBorders>
              <w:top w:val="single" w:color="000000" w:sz="4" w:space="0"/>
              <w:left w:val="nil"/>
              <w:bottom w:val="single" w:color="000000" w:sz="4" w:space="0"/>
              <w:right w:val="single" w:color="000000" w:sz="4" w:space="0"/>
            </w:tcBorders>
            <w:shd w:val="clear" w:color="auto" w:fill="auto"/>
          </w:tcPr>
          <w:p>
            <w:pPr>
              <w:pStyle w:val="107"/>
            </w:pPr>
            <w:r>
              <w:t>16.2</w:t>
            </w:r>
          </w:p>
        </w:tc>
        <w:tc>
          <w:tcPr>
            <w:tcW w:w="846" w:type="dxa"/>
            <w:tcBorders>
              <w:top w:val="single" w:color="000000" w:sz="4" w:space="0"/>
              <w:left w:val="nil"/>
              <w:bottom w:val="single" w:color="000000" w:sz="4" w:space="0"/>
              <w:right w:val="single" w:color="000000" w:sz="4" w:space="0"/>
            </w:tcBorders>
            <w:shd w:val="clear" w:color="auto" w:fill="auto"/>
          </w:tcPr>
          <w:p>
            <w:pPr>
              <w:pStyle w:val="107"/>
            </w:pPr>
            <w:r>
              <w:t>23.0</w:t>
            </w:r>
          </w:p>
        </w:tc>
      </w:tr>
    </w:tbl>
    <w:p>
      <w:pPr>
        <w:pStyle w:val="18"/>
        <w:rPr>
          <w:rFonts w:cs="Times New Roman"/>
          <w:szCs w:val="21"/>
        </w:rPr>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r>
        <w:rPr>
          <w:rFonts w:hint="eastAsia"/>
        </w:rPr>
        <w:t>开平市气象站近20年</w:t>
      </w:r>
      <w:r>
        <w:rPr>
          <w:rFonts w:hint="eastAsia" w:cs="Times New Roman"/>
          <w:szCs w:val="21"/>
        </w:rPr>
        <w:t>各风向频率（%）</w:t>
      </w:r>
    </w:p>
    <w:tbl>
      <w:tblPr>
        <w:tblStyle w:val="56"/>
        <w:tblW w:w="90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14"/>
        <w:gridCol w:w="365"/>
        <w:gridCol w:w="454"/>
        <w:gridCol w:w="419"/>
        <w:gridCol w:w="442"/>
        <w:gridCol w:w="329"/>
        <w:gridCol w:w="431"/>
        <w:gridCol w:w="366"/>
        <w:gridCol w:w="431"/>
        <w:gridCol w:w="365"/>
        <w:gridCol w:w="489"/>
        <w:gridCol w:w="366"/>
        <w:gridCol w:w="547"/>
        <w:gridCol w:w="365"/>
        <w:gridCol w:w="559"/>
        <w:gridCol w:w="360"/>
        <w:gridCol w:w="552"/>
        <w:gridCol w:w="419"/>
        <w:gridCol w:w="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014"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风向</w:t>
            </w:r>
          </w:p>
        </w:tc>
        <w:tc>
          <w:tcPr>
            <w:tcW w:w="365"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N</w:t>
            </w:r>
          </w:p>
        </w:tc>
        <w:tc>
          <w:tcPr>
            <w:tcW w:w="454"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NNE</w:t>
            </w:r>
          </w:p>
        </w:tc>
        <w:tc>
          <w:tcPr>
            <w:tcW w:w="419"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NE</w:t>
            </w:r>
          </w:p>
        </w:tc>
        <w:tc>
          <w:tcPr>
            <w:tcW w:w="442"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ENE</w:t>
            </w:r>
          </w:p>
        </w:tc>
        <w:tc>
          <w:tcPr>
            <w:tcW w:w="329"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E</w:t>
            </w:r>
          </w:p>
        </w:tc>
        <w:tc>
          <w:tcPr>
            <w:tcW w:w="431"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ESE</w:t>
            </w:r>
          </w:p>
        </w:tc>
        <w:tc>
          <w:tcPr>
            <w:tcW w:w="366"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SE</w:t>
            </w:r>
          </w:p>
        </w:tc>
        <w:tc>
          <w:tcPr>
            <w:tcW w:w="431"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SSE</w:t>
            </w:r>
          </w:p>
        </w:tc>
        <w:tc>
          <w:tcPr>
            <w:tcW w:w="365"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S</w:t>
            </w:r>
          </w:p>
        </w:tc>
        <w:tc>
          <w:tcPr>
            <w:tcW w:w="489"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SSW</w:t>
            </w:r>
          </w:p>
        </w:tc>
        <w:tc>
          <w:tcPr>
            <w:tcW w:w="366"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SW</w:t>
            </w:r>
          </w:p>
        </w:tc>
        <w:tc>
          <w:tcPr>
            <w:tcW w:w="547"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WSW</w:t>
            </w:r>
          </w:p>
        </w:tc>
        <w:tc>
          <w:tcPr>
            <w:tcW w:w="365"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W</w:t>
            </w:r>
          </w:p>
        </w:tc>
        <w:tc>
          <w:tcPr>
            <w:tcW w:w="559"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WNW</w:t>
            </w:r>
          </w:p>
        </w:tc>
        <w:tc>
          <w:tcPr>
            <w:tcW w:w="360"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NW</w:t>
            </w:r>
          </w:p>
        </w:tc>
        <w:tc>
          <w:tcPr>
            <w:tcW w:w="552"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NNW</w:t>
            </w:r>
          </w:p>
        </w:tc>
        <w:tc>
          <w:tcPr>
            <w:tcW w:w="419"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C</w:t>
            </w:r>
          </w:p>
        </w:tc>
        <w:tc>
          <w:tcPr>
            <w:tcW w:w="787"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240" w:lineRule="auto"/>
              <w:ind w:firstLine="0" w:firstLineChars="0"/>
              <w:jc w:val="center"/>
              <w:rPr>
                <w:rFonts w:eastAsiaTheme="minorEastAsia"/>
                <w:sz w:val="21"/>
                <w:szCs w:val="21"/>
              </w:rPr>
            </w:pPr>
            <w:r>
              <w:rPr>
                <w:rFonts w:eastAsiaTheme="minorEastAsia"/>
                <w:sz w:val="21"/>
                <w:szCs w:val="21"/>
              </w:rPr>
              <w:t>最多</w:t>
            </w:r>
          </w:p>
          <w:p>
            <w:pPr>
              <w:spacing w:line="240" w:lineRule="auto"/>
              <w:ind w:firstLine="0" w:firstLineChars="0"/>
              <w:jc w:val="center"/>
              <w:rPr>
                <w:rFonts w:eastAsiaTheme="minorEastAsia"/>
                <w:sz w:val="21"/>
                <w:szCs w:val="21"/>
              </w:rPr>
            </w:pPr>
            <w:r>
              <w:rPr>
                <w:rFonts w:eastAsiaTheme="minorEastAsia"/>
                <w:sz w:val="21"/>
                <w:szCs w:val="21"/>
              </w:rPr>
              <w:t>风向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1014"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sz w:val="21"/>
                <w:szCs w:val="21"/>
              </w:rPr>
            </w:pPr>
            <w:r>
              <w:rPr>
                <w:rFonts w:eastAsiaTheme="minorEastAsia"/>
                <w:sz w:val="21"/>
                <w:szCs w:val="21"/>
              </w:rPr>
              <w:t>风频（%）</w:t>
            </w:r>
          </w:p>
        </w:tc>
        <w:tc>
          <w:tcPr>
            <w:tcW w:w="365"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07"/>
            </w:pPr>
            <w:r>
              <w:t>8.8</w:t>
            </w:r>
          </w:p>
        </w:tc>
        <w:tc>
          <w:tcPr>
            <w:tcW w:w="454" w:type="dxa"/>
            <w:tcBorders>
              <w:top w:val="single" w:color="000000" w:sz="4" w:space="0"/>
              <w:left w:val="nil"/>
              <w:bottom w:val="single" w:color="000000" w:sz="4" w:space="0"/>
              <w:right w:val="single" w:color="000000" w:sz="4" w:space="0"/>
            </w:tcBorders>
            <w:shd w:val="clear" w:color="auto" w:fill="auto"/>
            <w:vAlign w:val="center"/>
          </w:tcPr>
          <w:p>
            <w:pPr>
              <w:pStyle w:val="107"/>
            </w:pPr>
            <w:r>
              <w:t>9.2</w:t>
            </w:r>
          </w:p>
        </w:tc>
        <w:tc>
          <w:tcPr>
            <w:tcW w:w="419" w:type="dxa"/>
            <w:tcBorders>
              <w:top w:val="single" w:color="000000" w:sz="4" w:space="0"/>
              <w:left w:val="nil"/>
              <w:bottom w:val="single" w:color="000000" w:sz="4" w:space="0"/>
              <w:right w:val="single" w:color="000000" w:sz="4" w:space="0"/>
            </w:tcBorders>
            <w:shd w:val="clear" w:color="auto" w:fill="auto"/>
            <w:vAlign w:val="center"/>
          </w:tcPr>
          <w:p>
            <w:pPr>
              <w:pStyle w:val="107"/>
            </w:pPr>
            <w:r>
              <w:t>14.3</w:t>
            </w:r>
          </w:p>
        </w:tc>
        <w:tc>
          <w:tcPr>
            <w:tcW w:w="442" w:type="dxa"/>
            <w:tcBorders>
              <w:top w:val="single" w:color="000000" w:sz="4" w:space="0"/>
              <w:left w:val="nil"/>
              <w:bottom w:val="single" w:color="000000" w:sz="4" w:space="0"/>
              <w:right w:val="single" w:color="000000" w:sz="4" w:space="0"/>
            </w:tcBorders>
            <w:shd w:val="clear" w:color="auto" w:fill="auto"/>
            <w:vAlign w:val="center"/>
          </w:tcPr>
          <w:p>
            <w:pPr>
              <w:pStyle w:val="107"/>
            </w:pPr>
            <w:r>
              <w:t>4.1</w:t>
            </w:r>
          </w:p>
        </w:tc>
        <w:tc>
          <w:tcPr>
            <w:tcW w:w="329" w:type="dxa"/>
            <w:tcBorders>
              <w:top w:val="single" w:color="000000" w:sz="4" w:space="0"/>
              <w:left w:val="nil"/>
              <w:bottom w:val="single" w:color="000000" w:sz="4" w:space="0"/>
              <w:right w:val="single" w:color="000000" w:sz="4" w:space="0"/>
            </w:tcBorders>
            <w:shd w:val="clear" w:color="auto" w:fill="auto"/>
            <w:vAlign w:val="center"/>
          </w:tcPr>
          <w:p>
            <w:pPr>
              <w:pStyle w:val="107"/>
            </w:pPr>
            <w:r>
              <w:t>4.2</w:t>
            </w:r>
          </w:p>
        </w:tc>
        <w:tc>
          <w:tcPr>
            <w:tcW w:w="431" w:type="dxa"/>
            <w:tcBorders>
              <w:top w:val="single" w:color="000000" w:sz="4" w:space="0"/>
              <w:left w:val="nil"/>
              <w:bottom w:val="single" w:color="000000" w:sz="4" w:space="0"/>
              <w:right w:val="single" w:color="000000" w:sz="4" w:space="0"/>
            </w:tcBorders>
            <w:shd w:val="clear" w:color="auto" w:fill="auto"/>
            <w:vAlign w:val="center"/>
          </w:tcPr>
          <w:p>
            <w:pPr>
              <w:pStyle w:val="107"/>
            </w:pPr>
            <w:r>
              <w:t>3.4</w:t>
            </w:r>
          </w:p>
        </w:tc>
        <w:tc>
          <w:tcPr>
            <w:tcW w:w="366" w:type="dxa"/>
            <w:tcBorders>
              <w:top w:val="single" w:color="000000" w:sz="4" w:space="0"/>
              <w:left w:val="nil"/>
              <w:bottom w:val="single" w:color="000000" w:sz="4" w:space="0"/>
              <w:right w:val="single" w:color="000000" w:sz="4" w:space="0"/>
            </w:tcBorders>
            <w:shd w:val="clear" w:color="auto" w:fill="auto"/>
            <w:vAlign w:val="center"/>
          </w:tcPr>
          <w:p>
            <w:pPr>
              <w:pStyle w:val="107"/>
            </w:pPr>
            <w:r>
              <w:t>5.4</w:t>
            </w:r>
          </w:p>
        </w:tc>
        <w:tc>
          <w:tcPr>
            <w:tcW w:w="431" w:type="dxa"/>
            <w:tcBorders>
              <w:top w:val="single" w:color="000000" w:sz="4" w:space="0"/>
              <w:left w:val="nil"/>
              <w:bottom w:val="single" w:color="000000" w:sz="4" w:space="0"/>
              <w:right w:val="single" w:color="000000" w:sz="4" w:space="0"/>
            </w:tcBorders>
            <w:shd w:val="clear" w:color="auto" w:fill="auto"/>
            <w:vAlign w:val="center"/>
          </w:tcPr>
          <w:p>
            <w:pPr>
              <w:pStyle w:val="107"/>
            </w:pPr>
            <w:r>
              <w:t>6.0</w:t>
            </w:r>
          </w:p>
        </w:tc>
        <w:tc>
          <w:tcPr>
            <w:tcW w:w="365" w:type="dxa"/>
            <w:tcBorders>
              <w:top w:val="single" w:color="000000" w:sz="4" w:space="0"/>
              <w:left w:val="nil"/>
              <w:bottom w:val="single" w:color="000000" w:sz="4" w:space="0"/>
              <w:right w:val="single" w:color="000000" w:sz="4" w:space="0"/>
            </w:tcBorders>
            <w:shd w:val="clear" w:color="auto" w:fill="auto"/>
            <w:vAlign w:val="center"/>
          </w:tcPr>
          <w:p>
            <w:pPr>
              <w:pStyle w:val="107"/>
            </w:pPr>
            <w:r>
              <w:t>6.5</w:t>
            </w:r>
          </w:p>
        </w:tc>
        <w:tc>
          <w:tcPr>
            <w:tcW w:w="489" w:type="dxa"/>
            <w:tcBorders>
              <w:top w:val="single" w:color="000000" w:sz="4" w:space="0"/>
              <w:left w:val="nil"/>
              <w:bottom w:val="single" w:color="000000" w:sz="4" w:space="0"/>
              <w:right w:val="single" w:color="000000" w:sz="4" w:space="0"/>
            </w:tcBorders>
            <w:shd w:val="clear" w:color="auto" w:fill="auto"/>
            <w:vAlign w:val="center"/>
          </w:tcPr>
          <w:p>
            <w:pPr>
              <w:pStyle w:val="107"/>
            </w:pPr>
            <w:r>
              <w:t>3.8</w:t>
            </w:r>
          </w:p>
        </w:tc>
        <w:tc>
          <w:tcPr>
            <w:tcW w:w="366" w:type="dxa"/>
            <w:tcBorders>
              <w:top w:val="single" w:color="000000" w:sz="4" w:space="0"/>
              <w:left w:val="nil"/>
              <w:bottom w:val="single" w:color="000000" w:sz="4" w:space="0"/>
              <w:right w:val="single" w:color="000000" w:sz="4" w:space="0"/>
            </w:tcBorders>
            <w:shd w:val="clear" w:color="auto" w:fill="auto"/>
            <w:vAlign w:val="center"/>
          </w:tcPr>
          <w:p>
            <w:pPr>
              <w:pStyle w:val="107"/>
            </w:pPr>
            <w:r>
              <w:t>4.3</w:t>
            </w:r>
          </w:p>
        </w:tc>
        <w:tc>
          <w:tcPr>
            <w:tcW w:w="547" w:type="dxa"/>
            <w:tcBorders>
              <w:top w:val="single" w:color="000000" w:sz="4" w:space="0"/>
              <w:left w:val="nil"/>
              <w:bottom w:val="single" w:color="000000" w:sz="4" w:space="0"/>
              <w:right w:val="single" w:color="000000" w:sz="4" w:space="0"/>
            </w:tcBorders>
            <w:shd w:val="clear" w:color="auto" w:fill="auto"/>
            <w:vAlign w:val="center"/>
          </w:tcPr>
          <w:p>
            <w:pPr>
              <w:pStyle w:val="107"/>
            </w:pPr>
            <w:r>
              <w:t>2.2</w:t>
            </w:r>
          </w:p>
        </w:tc>
        <w:tc>
          <w:tcPr>
            <w:tcW w:w="365" w:type="dxa"/>
            <w:tcBorders>
              <w:top w:val="single" w:color="000000" w:sz="4" w:space="0"/>
              <w:left w:val="nil"/>
              <w:bottom w:val="single" w:color="000000" w:sz="4" w:space="0"/>
              <w:right w:val="single" w:color="000000" w:sz="4" w:space="0"/>
            </w:tcBorders>
            <w:shd w:val="clear" w:color="auto" w:fill="auto"/>
            <w:vAlign w:val="center"/>
          </w:tcPr>
          <w:p>
            <w:pPr>
              <w:pStyle w:val="107"/>
            </w:pPr>
            <w:r>
              <w:t>2.1</w:t>
            </w:r>
          </w:p>
        </w:tc>
        <w:tc>
          <w:tcPr>
            <w:tcW w:w="559" w:type="dxa"/>
            <w:tcBorders>
              <w:top w:val="single" w:color="000000" w:sz="4" w:space="0"/>
              <w:left w:val="nil"/>
              <w:bottom w:val="single" w:color="000000" w:sz="4" w:space="0"/>
              <w:right w:val="single" w:color="000000" w:sz="4" w:space="0"/>
            </w:tcBorders>
            <w:shd w:val="clear" w:color="auto" w:fill="auto"/>
            <w:vAlign w:val="center"/>
          </w:tcPr>
          <w:p>
            <w:pPr>
              <w:pStyle w:val="107"/>
            </w:pPr>
            <w:r>
              <w:t>1.7</w:t>
            </w:r>
          </w:p>
        </w:tc>
        <w:tc>
          <w:tcPr>
            <w:tcW w:w="360" w:type="dxa"/>
            <w:tcBorders>
              <w:top w:val="single" w:color="000000" w:sz="4" w:space="0"/>
              <w:left w:val="nil"/>
              <w:bottom w:val="single" w:color="000000" w:sz="4" w:space="0"/>
              <w:right w:val="single" w:color="000000" w:sz="4" w:space="0"/>
            </w:tcBorders>
            <w:shd w:val="clear" w:color="auto" w:fill="auto"/>
            <w:vAlign w:val="center"/>
          </w:tcPr>
          <w:p>
            <w:pPr>
              <w:pStyle w:val="107"/>
            </w:pPr>
            <w:r>
              <w:t>3.3</w:t>
            </w:r>
          </w:p>
        </w:tc>
        <w:tc>
          <w:tcPr>
            <w:tcW w:w="552" w:type="dxa"/>
            <w:tcBorders>
              <w:top w:val="single" w:color="000000" w:sz="4" w:space="0"/>
              <w:left w:val="nil"/>
              <w:bottom w:val="single" w:color="000000" w:sz="4" w:space="0"/>
              <w:right w:val="single" w:color="000000" w:sz="4" w:space="0"/>
            </w:tcBorders>
            <w:shd w:val="clear" w:color="auto" w:fill="auto"/>
            <w:vAlign w:val="center"/>
          </w:tcPr>
          <w:p>
            <w:pPr>
              <w:pStyle w:val="107"/>
            </w:pPr>
            <w:r>
              <w:t>5.3</w:t>
            </w:r>
          </w:p>
        </w:tc>
        <w:tc>
          <w:tcPr>
            <w:tcW w:w="419" w:type="dxa"/>
            <w:tcBorders>
              <w:top w:val="single" w:color="000000" w:sz="4" w:space="0"/>
              <w:left w:val="nil"/>
              <w:bottom w:val="single" w:color="000000" w:sz="4" w:space="0"/>
              <w:right w:val="single" w:color="000000" w:sz="4" w:space="0"/>
            </w:tcBorders>
            <w:shd w:val="clear" w:color="auto" w:fill="auto"/>
            <w:vAlign w:val="center"/>
          </w:tcPr>
          <w:p>
            <w:pPr>
              <w:pStyle w:val="107"/>
            </w:pPr>
            <w:r>
              <w:t>17.2</w:t>
            </w:r>
          </w:p>
        </w:tc>
        <w:tc>
          <w:tcPr>
            <w:tcW w:w="78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sz w:val="21"/>
                <w:szCs w:val="21"/>
              </w:rPr>
            </w:pPr>
            <w:r>
              <w:rPr>
                <w:rFonts w:eastAsiaTheme="minorEastAsia"/>
                <w:sz w:val="21"/>
                <w:szCs w:val="21"/>
              </w:rPr>
              <w:t>NE</w:t>
            </w:r>
          </w:p>
        </w:tc>
      </w:tr>
    </w:tbl>
    <w:p>
      <w:pPr>
        <w:adjustRightInd w:val="0"/>
        <w:snapToGrid w:val="0"/>
        <w:ind w:firstLine="480"/>
        <w:jc w:val="center"/>
        <w:rPr>
          <w:rFonts w:eastAsiaTheme="minorEastAsia"/>
        </w:rPr>
      </w:pPr>
    </w:p>
    <w:p>
      <w:pPr>
        <w:keepNext/>
        <w:adjustRightInd w:val="0"/>
        <w:snapToGrid w:val="0"/>
        <w:ind w:firstLine="480"/>
        <w:jc w:val="center"/>
        <w:rPr>
          <w:rFonts w:eastAsiaTheme="minorEastAsia"/>
        </w:rPr>
      </w:pPr>
      <w:r>
        <w:rPr>
          <w:rFonts w:eastAsiaTheme="minorEastAsia"/>
        </w:rPr>
        <w:drawing>
          <wp:inline distT="0" distB="0" distL="0" distR="0">
            <wp:extent cx="2272665" cy="228790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74" cstate="print"/>
                    <a:srcRect l="4631" t="-1" r="45414" b="1405"/>
                    <a:stretch>
                      <a:fillRect/>
                    </a:stretch>
                  </pic:blipFill>
                  <pic:spPr>
                    <a:xfrm>
                      <a:off x="0" y="0"/>
                      <a:ext cx="2275187" cy="2290255"/>
                    </a:xfrm>
                    <a:prstGeom prst="rect">
                      <a:avLst/>
                    </a:prstGeom>
                    <a:noFill/>
                    <a:ln>
                      <a:noFill/>
                    </a:ln>
                  </pic:spPr>
                </pic:pic>
              </a:graphicData>
            </a:graphic>
          </wp:inline>
        </w:drawing>
      </w:r>
    </w:p>
    <w:p>
      <w:pPr>
        <w:pStyle w:val="18"/>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rPr>
          <w:rFonts w:hint="eastAsia"/>
        </w:rPr>
        <w:t>开平市近2</w:t>
      </w:r>
      <w:r>
        <w:t>0</w:t>
      </w:r>
      <w:r>
        <w:rPr>
          <w:rFonts w:hint="eastAsia"/>
        </w:rPr>
        <w:t>年风向玫瑰图（统计年限：199</w:t>
      </w:r>
      <w:r>
        <w:t>8</w:t>
      </w:r>
      <w:r>
        <w:rPr>
          <w:rFonts w:hint="eastAsia"/>
        </w:rPr>
        <w:t>-201</w:t>
      </w:r>
      <w:r>
        <w:t>7</w:t>
      </w:r>
      <w:r>
        <w:rPr>
          <w:rFonts w:hint="eastAsia"/>
        </w:rPr>
        <w:t>年）</w:t>
      </w:r>
    </w:p>
    <w:p>
      <w:pPr>
        <w:pStyle w:val="6"/>
      </w:pPr>
      <w:r>
        <w:rPr>
          <w:rFonts w:hint="eastAsia"/>
        </w:rPr>
        <w:t>地面气象观测资料分析</w:t>
      </w:r>
    </w:p>
    <w:p>
      <w:pPr>
        <w:ind w:firstLine="480"/>
        <w:rPr>
          <w:rFonts w:eastAsiaTheme="minorEastAsia"/>
          <w:b/>
        </w:rPr>
      </w:pPr>
      <w:r>
        <w:rPr>
          <w:rFonts w:hint="eastAsia" w:eastAsiaTheme="minorEastAsia"/>
        </w:rPr>
        <w:t>调查距离本项目较近的地面气象观测站近3年内的至少连续一年的常规地面气象测资料。</w:t>
      </w:r>
      <w:r>
        <w:rPr>
          <w:rFonts w:eastAsiaTheme="minorEastAsia"/>
        </w:rPr>
        <w:t>根据本项目采用</w:t>
      </w:r>
      <w:r>
        <w:rPr>
          <w:rFonts w:hint="eastAsia" w:eastAsiaTheme="minorEastAsia"/>
        </w:rPr>
        <w:t>的开平气象站</w:t>
      </w:r>
      <w:r>
        <w:rPr>
          <w:rFonts w:eastAsiaTheme="minorEastAsia"/>
        </w:rPr>
        <w:t>气象数据，</w:t>
      </w:r>
      <w:r>
        <w:rPr>
          <w:rFonts w:hint="eastAsia" w:eastAsiaTheme="minorEastAsia"/>
        </w:rPr>
        <w:t>当地</w:t>
      </w:r>
      <w:r>
        <w:rPr>
          <w:rFonts w:eastAsiaTheme="minorEastAsia"/>
        </w:rPr>
        <w:t>气象特征统计如下</w:t>
      </w:r>
      <w:r>
        <w:rPr>
          <w:rFonts w:hint="eastAsia" w:eastAsiaTheme="minorEastAsia"/>
        </w:rPr>
        <w:t>。</w:t>
      </w:r>
    </w:p>
    <w:p>
      <w:pPr>
        <w:numPr>
          <w:ilvl w:val="0"/>
          <w:numId w:val="52"/>
        </w:numPr>
        <w:wordWrap w:val="0"/>
        <w:ind w:firstLine="482"/>
        <w:rPr>
          <w:rFonts w:cs="Times New Roman" w:eastAsiaTheme="minorEastAsia"/>
          <w:b/>
        </w:rPr>
      </w:pPr>
      <w:r>
        <w:rPr>
          <w:rFonts w:hint="eastAsia" w:cs="Times New Roman" w:eastAsiaTheme="minorEastAsia"/>
          <w:b/>
        </w:rPr>
        <w:t>温度</w:t>
      </w:r>
    </w:p>
    <w:p>
      <w:pPr>
        <w:ind w:firstLine="480"/>
        <w:rPr>
          <w:rFonts w:eastAsiaTheme="minorEastAsia"/>
        </w:rPr>
      </w:pPr>
      <w:r>
        <w:rPr>
          <w:rFonts w:hint="eastAsia" w:eastAsiaTheme="minorEastAsia"/>
        </w:rPr>
        <w:t>统计得到2</w:t>
      </w:r>
      <w:r>
        <w:rPr>
          <w:rFonts w:eastAsiaTheme="minorEastAsia"/>
        </w:rPr>
        <w:t>017</w:t>
      </w:r>
      <w:r>
        <w:rPr>
          <w:rFonts w:hint="eastAsia" w:eastAsiaTheme="minorEastAsia"/>
        </w:rPr>
        <w:t>年开平市平均温度为2</w:t>
      </w:r>
      <w:r>
        <w:rPr>
          <w:rFonts w:eastAsiaTheme="minorEastAsia"/>
        </w:rPr>
        <w:t>3.04</w:t>
      </w:r>
      <w:r>
        <w:rPr>
          <w:rFonts w:hint="eastAsia" w:eastAsiaTheme="minorEastAsia"/>
        </w:rPr>
        <w:t>℃，最高温度出现在7月份；最低温度13.65℃，出现在2月份。2</w:t>
      </w:r>
      <w:r>
        <w:rPr>
          <w:rFonts w:eastAsiaTheme="minorEastAsia"/>
        </w:rPr>
        <w:t>017</w:t>
      </w:r>
      <w:r>
        <w:rPr>
          <w:rFonts w:hint="eastAsia" w:eastAsiaTheme="minorEastAsia"/>
        </w:rPr>
        <w:t>年平均温度月变化见</w:t>
      </w:r>
      <w:r>
        <w:rPr>
          <w:rFonts w:eastAsiaTheme="minorEastAsia"/>
        </w:rPr>
        <w:fldChar w:fldCharType="begin"/>
      </w:r>
      <w:r>
        <w:rPr>
          <w:rFonts w:eastAsiaTheme="minorEastAsia"/>
        </w:rPr>
        <w:instrText xml:space="preserve"> </w:instrText>
      </w:r>
      <w:r>
        <w:rPr>
          <w:rFonts w:hint="eastAsia" w:eastAsiaTheme="minorEastAsia"/>
        </w:rPr>
        <w:instrText xml:space="preserve">REF _Ref528527814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4.4</w:t>
      </w:r>
      <w:r>
        <w:rPr>
          <w:rFonts w:eastAsiaTheme="minorEastAsia"/>
        </w:rPr>
        <w:noBreakHyphen/>
      </w:r>
      <w:r>
        <w:rPr>
          <w:rFonts w:eastAsiaTheme="minorEastAsia"/>
        </w:rPr>
        <w:t>4</w:t>
      </w:r>
      <w:r>
        <w:rPr>
          <w:rFonts w:eastAsiaTheme="minorEastAsia"/>
        </w:rPr>
        <w:fldChar w:fldCharType="end"/>
      </w:r>
      <w:r>
        <w:rPr>
          <w:rFonts w:hint="eastAsia" w:eastAsiaTheme="minorEastAsia"/>
        </w:rPr>
        <w:t>和</w:t>
      </w:r>
      <w:r>
        <w:rPr>
          <w:rFonts w:eastAsiaTheme="minorEastAsia"/>
        </w:rPr>
        <w:fldChar w:fldCharType="begin"/>
      </w:r>
      <w:r>
        <w:rPr>
          <w:rFonts w:eastAsiaTheme="minorEastAsia"/>
        </w:rPr>
        <w:instrText xml:space="preserve"> </w:instrText>
      </w:r>
      <w:r>
        <w:rPr>
          <w:rFonts w:hint="eastAsia" w:eastAsiaTheme="minorEastAsia"/>
        </w:rPr>
        <w:instrText xml:space="preserve">REF _Ref528527831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4.4</w:t>
      </w:r>
      <w:r>
        <w:rPr>
          <w:rFonts w:eastAsiaTheme="minorEastAsia"/>
        </w:rPr>
        <w:noBreakHyphen/>
      </w:r>
      <w:r>
        <w:rPr>
          <w:rFonts w:eastAsiaTheme="minorEastAsia"/>
        </w:rPr>
        <w:t>2</w:t>
      </w:r>
      <w:r>
        <w:rPr>
          <w:rFonts w:eastAsiaTheme="minorEastAsia"/>
        </w:rPr>
        <w:fldChar w:fldCharType="end"/>
      </w:r>
      <w:r>
        <w:rPr>
          <w:rFonts w:hint="eastAsia" w:eastAsiaTheme="minorEastAsia"/>
        </w:rPr>
        <w:t>。</w:t>
      </w:r>
    </w:p>
    <w:p>
      <w:pPr>
        <w:numPr>
          <w:ilvl w:val="0"/>
          <w:numId w:val="52"/>
        </w:numPr>
        <w:wordWrap w:val="0"/>
        <w:ind w:firstLine="482" w:firstLineChars="0"/>
        <w:rPr>
          <w:rFonts w:cs="Times New Roman" w:eastAsiaTheme="minorEastAsia"/>
          <w:b/>
        </w:rPr>
      </w:pPr>
      <w:r>
        <w:rPr>
          <w:rFonts w:cs="Times New Roman" w:eastAsiaTheme="minorEastAsia"/>
          <w:b/>
        </w:rPr>
        <w:t>风向</w:t>
      </w:r>
    </w:p>
    <w:p>
      <w:pPr>
        <w:ind w:firstLine="480"/>
        <w:rPr>
          <w:rFonts w:eastAsiaTheme="minorEastAsia"/>
        </w:rPr>
      </w:pPr>
      <w:r>
        <w:rPr>
          <w:rFonts w:eastAsiaTheme="minorEastAsia"/>
        </w:rPr>
        <w:t>评价区域各风向年均风频的月、季变化及年均风频见</w:t>
      </w:r>
      <w:r>
        <w:rPr>
          <w:rFonts w:eastAsiaTheme="minorEastAsia"/>
        </w:rPr>
        <w:fldChar w:fldCharType="begin"/>
      </w:r>
      <w:r>
        <w:rPr>
          <w:rFonts w:eastAsiaTheme="minorEastAsia"/>
        </w:rPr>
        <w:instrText xml:space="preserve"> REF _Ref528530459 \h  \* MERGEFORMAT </w:instrText>
      </w:r>
      <w:r>
        <w:rPr>
          <w:rFonts w:eastAsiaTheme="minorEastAsia"/>
        </w:rPr>
        <w:fldChar w:fldCharType="separate"/>
      </w:r>
      <w:r>
        <w:rPr>
          <w:rFonts w:hint="eastAsia" w:eastAsiaTheme="minorEastAsia"/>
        </w:rPr>
        <w:t xml:space="preserve">表 </w:t>
      </w:r>
      <w:r>
        <w:rPr>
          <w:rFonts w:eastAsiaTheme="minorEastAsia"/>
        </w:rPr>
        <w:t>4.4</w:t>
      </w:r>
      <w:r>
        <w:rPr>
          <w:rFonts w:eastAsiaTheme="minorEastAsia"/>
        </w:rPr>
        <w:noBreakHyphen/>
      </w:r>
      <w:r>
        <w:rPr>
          <w:rFonts w:eastAsiaTheme="minorEastAsia"/>
        </w:rPr>
        <w:t>6</w:t>
      </w:r>
      <w:r>
        <w:rPr>
          <w:rFonts w:eastAsiaTheme="minorEastAsia"/>
        </w:rPr>
        <w:fldChar w:fldCharType="end"/>
      </w:r>
      <w:r>
        <w:rPr>
          <w:rFonts w:eastAsiaTheme="minorEastAsia"/>
        </w:rPr>
        <w:t>和</w:t>
      </w:r>
      <w:r>
        <w:rPr>
          <w:rFonts w:eastAsiaTheme="minorEastAsia"/>
        </w:rPr>
        <w:fldChar w:fldCharType="begin"/>
      </w:r>
      <w:r>
        <w:rPr>
          <w:rFonts w:eastAsiaTheme="minorEastAsia"/>
        </w:rPr>
        <w:instrText xml:space="preserve"> REF _Ref528530481 \h  \* MERGEFORMAT </w:instrText>
      </w:r>
      <w:r>
        <w:rPr>
          <w:rFonts w:eastAsiaTheme="minorEastAsia"/>
        </w:rPr>
        <w:fldChar w:fldCharType="separate"/>
      </w:r>
      <w:r>
        <w:rPr>
          <w:rFonts w:hint="eastAsia" w:eastAsiaTheme="minorEastAsia"/>
        </w:rPr>
        <w:t xml:space="preserve">图 </w:t>
      </w:r>
      <w:r>
        <w:rPr>
          <w:rFonts w:eastAsiaTheme="minorEastAsia"/>
        </w:rPr>
        <w:t>4.4</w:t>
      </w:r>
      <w:r>
        <w:rPr>
          <w:rFonts w:eastAsiaTheme="minorEastAsia"/>
        </w:rPr>
        <w:noBreakHyphen/>
      </w:r>
      <w:r>
        <w:rPr>
          <w:rFonts w:eastAsiaTheme="minorEastAsia"/>
        </w:rPr>
        <w:t>5</w:t>
      </w:r>
      <w:r>
        <w:rPr>
          <w:rFonts w:eastAsiaTheme="minorEastAsia"/>
        </w:rPr>
        <w:fldChar w:fldCharType="end"/>
      </w:r>
      <w:r>
        <w:rPr>
          <w:rFonts w:eastAsiaTheme="minorEastAsia"/>
        </w:rPr>
        <w:t>。</w:t>
      </w:r>
    </w:p>
    <w:p>
      <w:pPr>
        <w:ind w:firstLine="480"/>
        <w:rPr>
          <w:rFonts w:eastAsiaTheme="minorEastAsia"/>
          <w:b/>
        </w:rPr>
      </w:pPr>
      <w:r>
        <w:rPr>
          <w:rFonts w:eastAsiaTheme="minorEastAsia"/>
        </w:rPr>
        <w:t>由图表可见，2017年评价区域以北风（N）为主，全年平均风频达23.01%，其次为东北偏北风（NNE），全年平均风频分别为12.01%；除静风外，全年平均风频最小的为西北偏西风（WNW，2.399%）；全年平均静风频率为0.23%。</w:t>
      </w:r>
    </w:p>
    <w:p>
      <w:pPr>
        <w:ind w:firstLine="480"/>
        <w:rPr>
          <w:rFonts w:eastAsiaTheme="minorEastAsia"/>
          <w:b/>
        </w:rPr>
      </w:pPr>
      <w:r>
        <w:rPr>
          <w:rFonts w:eastAsiaTheme="minorEastAsia"/>
        </w:rPr>
        <w:t>当地的地面风向存在明显的季节变化，春、秋、冬三季以北风为主、夏季以南风为主，反映出明显的季风气候特征。因此，从宏观上，本项目排放的大气污染物，在春、秋和冬季主要是向偏南方向输送，夏季则主要是向偏北方向输送，间中也会出现向其它方向输送的情况，但累计时间相对较短；出现静风不利气象条件的频率较低（全年静风频率0.23%）。</w:t>
      </w:r>
    </w:p>
    <w:p>
      <w:pPr>
        <w:numPr>
          <w:ilvl w:val="0"/>
          <w:numId w:val="52"/>
        </w:numPr>
        <w:wordWrap w:val="0"/>
        <w:ind w:firstLine="482"/>
        <w:rPr>
          <w:rFonts w:cs="Times New Roman" w:eastAsiaTheme="minorEastAsia"/>
          <w:b/>
        </w:rPr>
      </w:pPr>
      <w:r>
        <w:rPr>
          <w:rFonts w:cs="Times New Roman" w:eastAsiaTheme="minorEastAsia"/>
          <w:b/>
        </w:rPr>
        <w:t>风速</w:t>
      </w:r>
    </w:p>
    <w:p>
      <w:pPr>
        <w:ind w:firstLine="480"/>
        <w:rPr>
          <w:rFonts w:eastAsiaTheme="minorEastAsia"/>
        </w:rPr>
      </w:pPr>
      <w:r>
        <w:rPr>
          <w:rFonts w:hint="eastAsia" w:eastAsiaTheme="minorEastAsia"/>
        </w:rPr>
        <w:t>风向风速决定大气污染物的输送方向及输送速度，对污染物浓度影响重大。2</w:t>
      </w:r>
      <w:r>
        <w:rPr>
          <w:rFonts w:eastAsiaTheme="minorEastAsia"/>
        </w:rPr>
        <w:t>017</w:t>
      </w:r>
      <w:r>
        <w:rPr>
          <w:rFonts w:hint="eastAsia" w:eastAsiaTheme="minorEastAsia"/>
        </w:rPr>
        <w:t>年开平市</w:t>
      </w:r>
      <w:r>
        <w:rPr>
          <w:rFonts w:eastAsiaTheme="minorEastAsia"/>
        </w:rPr>
        <w:t>全年平均风速为2.08m/s，四季平均风速变化不大，</w:t>
      </w:r>
      <w:r>
        <w:rPr>
          <w:rFonts w:hint="eastAsia" w:eastAsiaTheme="minorEastAsia"/>
        </w:rPr>
        <w:t>最高风速</w:t>
      </w:r>
      <w:r>
        <w:rPr>
          <w:rFonts w:eastAsiaTheme="minorEastAsia"/>
        </w:rPr>
        <w:t>2.30m/s</w:t>
      </w:r>
      <w:r>
        <w:rPr>
          <w:rFonts w:hint="eastAsia" w:eastAsiaTheme="minorEastAsia"/>
        </w:rPr>
        <w:t>，出现在</w:t>
      </w:r>
      <w:r>
        <w:rPr>
          <w:rFonts w:eastAsiaTheme="minorEastAsia"/>
        </w:rPr>
        <w:t>5</w:t>
      </w:r>
      <w:r>
        <w:rPr>
          <w:rFonts w:hint="eastAsia" w:eastAsiaTheme="minorEastAsia"/>
        </w:rPr>
        <w:t>月份，风速最低为</w:t>
      </w:r>
      <w:r>
        <w:rPr>
          <w:rFonts w:eastAsiaTheme="minorEastAsia"/>
        </w:rPr>
        <w:t>1.84m/s</w:t>
      </w:r>
      <w:r>
        <w:rPr>
          <w:rFonts w:hint="eastAsia" w:eastAsiaTheme="minorEastAsia"/>
        </w:rPr>
        <w:t>，出现在</w:t>
      </w:r>
      <w:r>
        <w:rPr>
          <w:rFonts w:eastAsiaTheme="minorEastAsia"/>
        </w:rPr>
        <w:t>3</w:t>
      </w:r>
      <w:r>
        <w:rPr>
          <w:rFonts w:hint="eastAsia" w:eastAsiaTheme="minorEastAsia"/>
        </w:rPr>
        <w:t>月。</w:t>
      </w:r>
      <w:r>
        <w:rPr>
          <w:rFonts w:eastAsiaTheme="minorEastAsia"/>
        </w:rPr>
        <w:t>说明评价区域全年污染物输送速度、输送距离变化不大。</w:t>
      </w:r>
    </w:p>
    <w:p>
      <w:pPr>
        <w:ind w:firstLine="480"/>
        <w:rPr>
          <w:rFonts w:eastAsiaTheme="minorEastAsia"/>
          <w:b/>
        </w:rPr>
      </w:pPr>
      <w:r>
        <w:rPr>
          <w:rFonts w:eastAsiaTheme="minorEastAsia"/>
        </w:rPr>
        <w:t>2017</w:t>
      </w:r>
      <w:r>
        <w:rPr>
          <w:rFonts w:hint="eastAsia" w:eastAsiaTheme="minorEastAsia"/>
        </w:rPr>
        <w:t>年平均风速月变化</w:t>
      </w:r>
      <w:r>
        <w:rPr>
          <w:rFonts w:eastAsiaTheme="minorEastAsia"/>
        </w:rPr>
        <w:t>及年均风速</w:t>
      </w:r>
      <w:r>
        <w:rPr>
          <w:rFonts w:hint="eastAsia" w:eastAsiaTheme="minorEastAsia"/>
        </w:rPr>
        <w:t>见</w:t>
      </w:r>
      <w:r>
        <w:rPr>
          <w:rFonts w:eastAsiaTheme="minorEastAsia"/>
        </w:rPr>
        <w:fldChar w:fldCharType="begin"/>
      </w:r>
      <w:r>
        <w:rPr>
          <w:rFonts w:eastAsiaTheme="minorEastAsia"/>
        </w:rPr>
        <w:instrText xml:space="preserve"> </w:instrText>
      </w:r>
      <w:r>
        <w:rPr>
          <w:rFonts w:hint="eastAsia" w:eastAsiaTheme="minorEastAsia"/>
        </w:rPr>
        <w:instrText xml:space="preserve">REF _Ref528527814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4.4</w:t>
      </w:r>
      <w:r>
        <w:rPr>
          <w:rFonts w:eastAsiaTheme="minorEastAsia"/>
        </w:rPr>
        <w:noBreakHyphen/>
      </w:r>
      <w:r>
        <w:rPr>
          <w:rFonts w:eastAsiaTheme="minorEastAsia"/>
        </w:rPr>
        <w:t>4</w:t>
      </w:r>
      <w:r>
        <w:rPr>
          <w:rFonts w:eastAsiaTheme="minorEastAsia"/>
        </w:rPr>
        <w:fldChar w:fldCharType="end"/>
      </w:r>
      <w:r>
        <w:rPr>
          <w:rFonts w:hint="eastAsia" w:eastAsiaTheme="minorEastAsia"/>
        </w:rPr>
        <w:t>和</w:t>
      </w:r>
      <w:r>
        <w:rPr>
          <w:rFonts w:eastAsiaTheme="minorEastAsia"/>
        </w:rPr>
        <w:fldChar w:fldCharType="begin"/>
      </w:r>
      <w:r>
        <w:rPr>
          <w:rFonts w:eastAsiaTheme="minorEastAsia"/>
        </w:rPr>
        <w:instrText xml:space="preserve"> </w:instrText>
      </w:r>
      <w:r>
        <w:rPr>
          <w:rFonts w:hint="eastAsia" w:eastAsiaTheme="minorEastAsia"/>
        </w:rPr>
        <w:instrText xml:space="preserve">REF _Ref528528991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图 </w:t>
      </w:r>
      <w:r>
        <w:rPr>
          <w:rFonts w:eastAsiaTheme="minorEastAsia"/>
        </w:rPr>
        <w:t>4.4</w:t>
      </w:r>
      <w:r>
        <w:rPr>
          <w:rFonts w:eastAsiaTheme="minorEastAsia"/>
        </w:rPr>
        <w:noBreakHyphen/>
      </w:r>
      <w:r>
        <w:rPr>
          <w:rFonts w:eastAsiaTheme="minorEastAsia"/>
        </w:rPr>
        <w:t>3</w:t>
      </w:r>
      <w:r>
        <w:rPr>
          <w:rFonts w:eastAsiaTheme="minorEastAsia"/>
        </w:rPr>
        <w:fldChar w:fldCharType="end"/>
      </w:r>
      <w:r>
        <w:rPr>
          <w:rFonts w:eastAsiaTheme="minorEastAsia"/>
        </w:rPr>
        <w:t>，全年各月平均风速差异不大</w:t>
      </w:r>
      <w:r>
        <w:rPr>
          <w:rFonts w:hint="eastAsia" w:eastAsiaTheme="minorEastAsia"/>
        </w:rPr>
        <w:t>；</w:t>
      </w:r>
      <w:r>
        <w:rPr>
          <w:rFonts w:eastAsiaTheme="minorEastAsia"/>
        </w:rPr>
        <w:t>各风向季小时平均风速的日变化见</w:t>
      </w:r>
      <w:r>
        <w:rPr>
          <w:rFonts w:eastAsiaTheme="minorEastAsia"/>
        </w:rPr>
        <w:fldChar w:fldCharType="begin"/>
      </w:r>
      <w:r>
        <w:rPr>
          <w:rFonts w:eastAsiaTheme="minorEastAsia"/>
        </w:rPr>
        <w:instrText xml:space="preserve"> REF _Ref528530421 \h  \* MERGEFORMAT </w:instrText>
      </w:r>
      <w:r>
        <w:rPr>
          <w:rFonts w:eastAsiaTheme="minorEastAsia"/>
        </w:rPr>
        <w:fldChar w:fldCharType="separate"/>
      </w:r>
      <w:r>
        <w:rPr>
          <w:rFonts w:hint="eastAsia" w:eastAsiaTheme="minorEastAsia"/>
        </w:rPr>
        <w:t xml:space="preserve">表 </w:t>
      </w:r>
      <w:r>
        <w:rPr>
          <w:rFonts w:eastAsiaTheme="minorEastAsia"/>
        </w:rPr>
        <w:t>4.4</w:t>
      </w:r>
      <w:r>
        <w:rPr>
          <w:rFonts w:eastAsiaTheme="minorEastAsia"/>
        </w:rPr>
        <w:noBreakHyphen/>
      </w:r>
      <w:r>
        <w:rPr>
          <w:rFonts w:eastAsiaTheme="minorEastAsia"/>
        </w:rPr>
        <w:t>5</w:t>
      </w:r>
      <w:r>
        <w:rPr>
          <w:rFonts w:eastAsiaTheme="minorEastAsia"/>
        </w:rPr>
        <w:fldChar w:fldCharType="end"/>
      </w:r>
      <w:r>
        <w:rPr>
          <w:rFonts w:eastAsiaTheme="minorEastAsia"/>
        </w:rPr>
        <w:t>和</w:t>
      </w:r>
      <w:r>
        <w:rPr>
          <w:rFonts w:eastAsiaTheme="minorEastAsia"/>
        </w:rPr>
        <w:fldChar w:fldCharType="begin"/>
      </w:r>
      <w:r>
        <w:rPr>
          <w:rFonts w:eastAsiaTheme="minorEastAsia"/>
        </w:rPr>
        <w:instrText xml:space="preserve"> REF _Ref528530356 \h  \* MERGEFORMAT </w:instrText>
      </w:r>
      <w:r>
        <w:rPr>
          <w:rFonts w:eastAsiaTheme="minorEastAsia"/>
        </w:rPr>
        <w:fldChar w:fldCharType="separate"/>
      </w:r>
      <w:r>
        <w:rPr>
          <w:rFonts w:hint="eastAsia" w:eastAsiaTheme="minorEastAsia"/>
        </w:rPr>
        <w:t xml:space="preserve">图 </w:t>
      </w:r>
      <w:r>
        <w:rPr>
          <w:rFonts w:eastAsiaTheme="minorEastAsia"/>
        </w:rPr>
        <w:t>4.4</w:t>
      </w:r>
      <w:r>
        <w:rPr>
          <w:rFonts w:eastAsiaTheme="minorEastAsia"/>
        </w:rPr>
        <w:noBreakHyphen/>
      </w:r>
      <w:r>
        <w:rPr>
          <w:rFonts w:eastAsiaTheme="minorEastAsia"/>
        </w:rPr>
        <w:t>4</w:t>
      </w:r>
      <w:r>
        <w:rPr>
          <w:rFonts w:eastAsiaTheme="minorEastAsia"/>
        </w:rPr>
        <w:fldChar w:fldCharType="end"/>
      </w:r>
      <w:r>
        <w:rPr>
          <w:rFonts w:eastAsiaTheme="minorEastAsia"/>
        </w:rPr>
        <w:t>，各季均大致表现为每日10~16时的平均风速大于其它时段，说明每日10~16时为污染物输送不利时段。</w:t>
      </w:r>
    </w:p>
    <w:p>
      <w:pPr>
        <w:pStyle w:val="18"/>
      </w:pPr>
      <w:bookmarkStart w:id="439" w:name="_Ref528527814"/>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4</w:t>
      </w:r>
      <w:r>
        <w:fldChar w:fldCharType="end"/>
      </w:r>
      <w:bookmarkEnd w:id="439"/>
      <w:r>
        <w:t xml:space="preserve"> </w:t>
      </w:r>
      <w:r>
        <w:rPr>
          <w:rFonts w:hint="eastAsia"/>
        </w:rPr>
        <w:t>201</w:t>
      </w:r>
      <w:r>
        <w:t>7</w:t>
      </w:r>
      <w:r>
        <w:rPr>
          <w:rFonts w:hint="eastAsia"/>
        </w:rPr>
        <w:t>年开平市气象站年平均风速和平均温度的月变化</w:t>
      </w:r>
    </w:p>
    <w:tbl>
      <w:tblPr>
        <w:tblStyle w:val="56"/>
        <w:tblW w:w="929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3"/>
        <w:gridCol w:w="640"/>
        <w:gridCol w:w="640"/>
        <w:gridCol w:w="640"/>
        <w:gridCol w:w="640"/>
        <w:gridCol w:w="640"/>
        <w:gridCol w:w="640"/>
        <w:gridCol w:w="640"/>
        <w:gridCol w:w="640"/>
        <w:gridCol w:w="640"/>
        <w:gridCol w:w="640"/>
        <w:gridCol w:w="640"/>
        <w:gridCol w:w="640"/>
        <w:gridCol w:w="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873" w:type="dxa"/>
            <w:shd w:val="clear" w:color="auto" w:fill="auto"/>
            <w:tcMar>
              <w:left w:w="57" w:type="dxa"/>
              <w:right w:w="57" w:type="dxa"/>
            </w:tcMar>
            <w:vAlign w:val="center"/>
          </w:tcPr>
          <w:p>
            <w:pPr>
              <w:pStyle w:val="107"/>
              <w:rPr>
                <w:b/>
              </w:rPr>
            </w:pPr>
            <w:r>
              <w:rPr>
                <w:b/>
              </w:rPr>
              <w:t>月份</w:t>
            </w:r>
          </w:p>
        </w:tc>
        <w:tc>
          <w:tcPr>
            <w:tcW w:w="640" w:type="dxa"/>
            <w:shd w:val="clear" w:color="auto" w:fill="auto"/>
            <w:tcMar>
              <w:left w:w="57" w:type="dxa"/>
              <w:right w:w="57" w:type="dxa"/>
            </w:tcMar>
            <w:vAlign w:val="center"/>
          </w:tcPr>
          <w:p>
            <w:pPr>
              <w:pStyle w:val="107"/>
              <w:rPr>
                <w:b/>
              </w:rPr>
            </w:pPr>
            <w:r>
              <w:rPr>
                <w:b/>
              </w:rPr>
              <w:t>1</w:t>
            </w:r>
          </w:p>
        </w:tc>
        <w:tc>
          <w:tcPr>
            <w:tcW w:w="640" w:type="dxa"/>
            <w:shd w:val="clear" w:color="auto" w:fill="auto"/>
            <w:tcMar>
              <w:left w:w="57" w:type="dxa"/>
              <w:right w:w="57" w:type="dxa"/>
            </w:tcMar>
            <w:vAlign w:val="center"/>
          </w:tcPr>
          <w:p>
            <w:pPr>
              <w:pStyle w:val="107"/>
              <w:rPr>
                <w:b/>
              </w:rPr>
            </w:pPr>
            <w:r>
              <w:rPr>
                <w:b/>
              </w:rPr>
              <w:t>2</w:t>
            </w:r>
          </w:p>
        </w:tc>
        <w:tc>
          <w:tcPr>
            <w:tcW w:w="640" w:type="dxa"/>
            <w:shd w:val="clear" w:color="auto" w:fill="auto"/>
            <w:tcMar>
              <w:left w:w="57" w:type="dxa"/>
              <w:right w:w="57" w:type="dxa"/>
            </w:tcMar>
            <w:vAlign w:val="center"/>
          </w:tcPr>
          <w:p>
            <w:pPr>
              <w:pStyle w:val="107"/>
              <w:rPr>
                <w:b/>
              </w:rPr>
            </w:pPr>
            <w:r>
              <w:rPr>
                <w:b/>
              </w:rPr>
              <w:t>3</w:t>
            </w:r>
          </w:p>
        </w:tc>
        <w:tc>
          <w:tcPr>
            <w:tcW w:w="640" w:type="dxa"/>
            <w:shd w:val="clear" w:color="auto" w:fill="auto"/>
            <w:tcMar>
              <w:left w:w="57" w:type="dxa"/>
              <w:right w:w="57" w:type="dxa"/>
            </w:tcMar>
            <w:vAlign w:val="center"/>
          </w:tcPr>
          <w:p>
            <w:pPr>
              <w:pStyle w:val="107"/>
              <w:rPr>
                <w:b/>
              </w:rPr>
            </w:pPr>
            <w:r>
              <w:rPr>
                <w:b/>
              </w:rPr>
              <w:t>4</w:t>
            </w:r>
          </w:p>
        </w:tc>
        <w:tc>
          <w:tcPr>
            <w:tcW w:w="640" w:type="dxa"/>
            <w:shd w:val="clear" w:color="auto" w:fill="auto"/>
            <w:tcMar>
              <w:left w:w="57" w:type="dxa"/>
              <w:right w:w="57" w:type="dxa"/>
            </w:tcMar>
            <w:vAlign w:val="center"/>
          </w:tcPr>
          <w:p>
            <w:pPr>
              <w:pStyle w:val="107"/>
              <w:rPr>
                <w:b/>
              </w:rPr>
            </w:pPr>
            <w:r>
              <w:rPr>
                <w:b/>
              </w:rPr>
              <w:t>5</w:t>
            </w:r>
          </w:p>
        </w:tc>
        <w:tc>
          <w:tcPr>
            <w:tcW w:w="640" w:type="dxa"/>
            <w:shd w:val="clear" w:color="auto" w:fill="auto"/>
            <w:tcMar>
              <w:left w:w="57" w:type="dxa"/>
              <w:right w:w="57" w:type="dxa"/>
            </w:tcMar>
            <w:vAlign w:val="center"/>
          </w:tcPr>
          <w:p>
            <w:pPr>
              <w:pStyle w:val="107"/>
              <w:rPr>
                <w:b/>
              </w:rPr>
            </w:pPr>
            <w:r>
              <w:rPr>
                <w:b/>
              </w:rPr>
              <w:t>6</w:t>
            </w:r>
          </w:p>
        </w:tc>
        <w:tc>
          <w:tcPr>
            <w:tcW w:w="640" w:type="dxa"/>
            <w:shd w:val="clear" w:color="auto" w:fill="auto"/>
            <w:tcMar>
              <w:left w:w="57" w:type="dxa"/>
              <w:right w:w="57" w:type="dxa"/>
            </w:tcMar>
            <w:vAlign w:val="center"/>
          </w:tcPr>
          <w:p>
            <w:pPr>
              <w:pStyle w:val="107"/>
              <w:rPr>
                <w:b/>
              </w:rPr>
            </w:pPr>
            <w:r>
              <w:rPr>
                <w:b/>
              </w:rPr>
              <w:t>7</w:t>
            </w:r>
          </w:p>
        </w:tc>
        <w:tc>
          <w:tcPr>
            <w:tcW w:w="640" w:type="dxa"/>
            <w:shd w:val="clear" w:color="auto" w:fill="auto"/>
            <w:tcMar>
              <w:left w:w="57" w:type="dxa"/>
              <w:right w:w="57" w:type="dxa"/>
            </w:tcMar>
            <w:vAlign w:val="center"/>
          </w:tcPr>
          <w:p>
            <w:pPr>
              <w:pStyle w:val="107"/>
              <w:rPr>
                <w:b/>
              </w:rPr>
            </w:pPr>
            <w:r>
              <w:rPr>
                <w:b/>
              </w:rPr>
              <w:t>8</w:t>
            </w:r>
          </w:p>
        </w:tc>
        <w:tc>
          <w:tcPr>
            <w:tcW w:w="640" w:type="dxa"/>
            <w:shd w:val="clear" w:color="auto" w:fill="auto"/>
            <w:tcMar>
              <w:left w:w="57" w:type="dxa"/>
              <w:right w:w="57" w:type="dxa"/>
            </w:tcMar>
            <w:vAlign w:val="center"/>
          </w:tcPr>
          <w:p>
            <w:pPr>
              <w:pStyle w:val="107"/>
              <w:rPr>
                <w:b/>
              </w:rPr>
            </w:pPr>
            <w:r>
              <w:rPr>
                <w:b/>
              </w:rPr>
              <w:t>9</w:t>
            </w:r>
          </w:p>
        </w:tc>
        <w:tc>
          <w:tcPr>
            <w:tcW w:w="640" w:type="dxa"/>
            <w:shd w:val="clear" w:color="auto" w:fill="auto"/>
            <w:tcMar>
              <w:left w:w="57" w:type="dxa"/>
              <w:right w:w="57" w:type="dxa"/>
            </w:tcMar>
            <w:vAlign w:val="center"/>
          </w:tcPr>
          <w:p>
            <w:pPr>
              <w:pStyle w:val="107"/>
              <w:rPr>
                <w:b/>
              </w:rPr>
            </w:pPr>
            <w:r>
              <w:rPr>
                <w:b/>
              </w:rPr>
              <w:t>10</w:t>
            </w:r>
          </w:p>
        </w:tc>
        <w:tc>
          <w:tcPr>
            <w:tcW w:w="640" w:type="dxa"/>
            <w:shd w:val="clear" w:color="auto" w:fill="auto"/>
            <w:tcMar>
              <w:left w:w="57" w:type="dxa"/>
              <w:right w:w="57" w:type="dxa"/>
            </w:tcMar>
            <w:vAlign w:val="center"/>
          </w:tcPr>
          <w:p>
            <w:pPr>
              <w:pStyle w:val="107"/>
              <w:rPr>
                <w:b/>
              </w:rPr>
            </w:pPr>
            <w:r>
              <w:rPr>
                <w:b/>
              </w:rPr>
              <w:t>11</w:t>
            </w:r>
          </w:p>
        </w:tc>
        <w:tc>
          <w:tcPr>
            <w:tcW w:w="640" w:type="dxa"/>
            <w:shd w:val="clear" w:color="auto" w:fill="auto"/>
            <w:tcMar>
              <w:left w:w="57" w:type="dxa"/>
              <w:right w:w="57" w:type="dxa"/>
            </w:tcMar>
            <w:vAlign w:val="center"/>
          </w:tcPr>
          <w:p>
            <w:pPr>
              <w:pStyle w:val="107"/>
              <w:rPr>
                <w:b/>
              </w:rPr>
            </w:pPr>
            <w:r>
              <w:rPr>
                <w:b/>
              </w:rPr>
              <w:t>12</w:t>
            </w:r>
          </w:p>
        </w:tc>
        <w:tc>
          <w:tcPr>
            <w:tcW w:w="742" w:type="dxa"/>
            <w:shd w:val="clear" w:color="auto" w:fill="auto"/>
            <w:vAlign w:val="center"/>
          </w:tcPr>
          <w:p>
            <w:pPr>
              <w:pStyle w:val="107"/>
              <w:rPr>
                <w:b/>
              </w:rPr>
            </w:pPr>
            <w:r>
              <w:rPr>
                <w:b/>
              </w:rPr>
              <w:t>平均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873" w:type="dxa"/>
            <w:shd w:val="clear" w:color="auto" w:fill="auto"/>
            <w:tcMar>
              <w:left w:w="57" w:type="dxa"/>
              <w:right w:w="57" w:type="dxa"/>
            </w:tcMar>
            <w:vAlign w:val="center"/>
          </w:tcPr>
          <w:p>
            <w:pPr>
              <w:pStyle w:val="107"/>
            </w:pPr>
            <w:r>
              <w:t>温度（</w:t>
            </w:r>
            <w:r>
              <w:rPr>
                <w:rFonts w:hint="eastAsia"/>
              </w:rPr>
              <w:t>℃</w:t>
            </w:r>
            <w:r>
              <w:t>）</w:t>
            </w:r>
          </w:p>
        </w:tc>
        <w:tc>
          <w:tcPr>
            <w:tcW w:w="640" w:type="dxa"/>
            <w:shd w:val="clear" w:color="auto" w:fill="auto"/>
            <w:tcMar>
              <w:left w:w="57" w:type="dxa"/>
              <w:right w:w="57" w:type="dxa"/>
            </w:tcMar>
            <w:vAlign w:val="center"/>
          </w:tcPr>
          <w:p>
            <w:pPr>
              <w:pStyle w:val="107"/>
            </w:pPr>
            <w:r>
              <w:t>14.26</w:t>
            </w:r>
          </w:p>
        </w:tc>
        <w:tc>
          <w:tcPr>
            <w:tcW w:w="640" w:type="dxa"/>
            <w:shd w:val="clear" w:color="auto" w:fill="auto"/>
            <w:tcMar>
              <w:left w:w="57" w:type="dxa"/>
              <w:right w:w="57" w:type="dxa"/>
            </w:tcMar>
            <w:vAlign w:val="center"/>
          </w:tcPr>
          <w:p>
            <w:pPr>
              <w:pStyle w:val="107"/>
            </w:pPr>
            <w:r>
              <w:t>13.65</w:t>
            </w:r>
          </w:p>
        </w:tc>
        <w:tc>
          <w:tcPr>
            <w:tcW w:w="640" w:type="dxa"/>
            <w:shd w:val="clear" w:color="auto" w:fill="auto"/>
            <w:tcMar>
              <w:left w:w="57" w:type="dxa"/>
              <w:right w:w="57" w:type="dxa"/>
            </w:tcMar>
            <w:vAlign w:val="center"/>
          </w:tcPr>
          <w:p>
            <w:pPr>
              <w:pStyle w:val="107"/>
            </w:pPr>
            <w:r>
              <w:t>17.60</w:t>
            </w:r>
          </w:p>
        </w:tc>
        <w:tc>
          <w:tcPr>
            <w:tcW w:w="640" w:type="dxa"/>
            <w:shd w:val="clear" w:color="auto" w:fill="auto"/>
            <w:tcMar>
              <w:left w:w="57" w:type="dxa"/>
              <w:right w:w="57" w:type="dxa"/>
            </w:tcMar>
            <w:vAlign w:val="center"/>
          </w:tcPr>
          <w:p>
            <w:pPr>
              <w:pStyle w:val="107"/>
            </w:pPr>
            <w:r>
              <w:t>24.44</w:t>
            </w:r>
          </w:p>
        </w:tc>
        <w:tc>
          <w:tcPr>
            <w:tcW w:w="640" w:type="dxa"/>
            <w:shd w:val="clear" w:color="auto" w:fill="auto"/>
            <w:tcMar>
              <w:left w:w="57" w:type="dxa"/>
              <w:right w:w="57" w:type="dxa"/>
            </w:tcMar>
            <w:vAlign w:val="center"/>
          </w:tcPr>
          <w:p>
            <w:pPr>
              <w:pStyle w:val="107"/>
            </w:pPr>
            <w:r>
              <w:t>26.86</w:t>
            </w:r>
          </w:p>
        </w:tc>
        <w:tc>
          <w:tcPr>
            <w:tcW w:w="640" w:type="dxa"/>
            <w:shd w:val="clear" w:color="auto" w:fill="auto"/>
            <w:tcMar>
              <w:left w:w="57" w:type="dxa"/>
              <w:right w:w="57" w:type="dxa"/>
            </w:tcMar>
            <w:vAlign w:val="center"/>
          </w:tcPr>
          <w:p>
            <w:pPr>
              <w:pStyle w:val="107"/>
            </w:pPr>
            <w:r>
              <w:t>28.93</w:t>
            </w:r>
          </w:p>
        </w:tc>
        <w:tc>
          <w:tcPr>
            <w:tcW w:w="640" w:type="dxa"/>
            <w:shd w:val="clear" w:color="auto" w:fill="auto"/>
            <w:tcMar>
              <w:left w:w="57" w:type="dxa"/>
              <w:right w:w="57" w:type="dxa"/>
            </w:tcMar>
            <w:vAlign w:val="center"/>
          </w:tcPr>
          <w:p>
            <w:pPr>
              <w:pStyle w:val="107"/>
            </w:pPr>
            <w:r>
              <w:t>29.38</w:t>
            </w:r>
          </w:p>
        </w:tc>
        <w:tc>
          <w:tcPr>
            <w:tcW w:w="640" w:type="dxa"/>
            <w:shd w:val="clear" w:color="auto" w:fill="auto"/>
            <w:tcMar>
              <w:left w:w="57" w:type="dxa"/>
              <w:right w:w="57" w:type="dxa"/>
            </w:tcMar>
            <w:vAlign w:val="center"/>
          </w:tcPr>
          <w:p>
            <w:pPr>
              <w:pStyle w:val="107"/>
            </w:pPr>
            <w:r>
              <w:t>28.70</w:t>
            </w:r>
          </w:p>
        </w:tc>
        <w:tc>
          <w:tcPr>
            <w:tcW w:w="640" w:type="dxa"/>
            <w:shd w:val="clear" w:color="auto" w:fill="auto"/>
            <w:tcMar>
              <w:left w:w="57" w:type="dxa"/>
              <w:right w:w="57" w:type="dxa"/>
            </w:tcMar>
            <w:vAlign w:val="center"/>
          </w:tcPr>
          <w:p>
            <w:pPr>
              <w:pStyle w:val="107"/>
            </w:pPr>
            <w:r>
              <w:t>27.83</w:t>
            </w:r>
          </w:p>
        </w:tc>
        <w:tc>
          <w:tcPr>
            <w:tcW w:w="640" w:type="dxa"/>
            <w:shd w:val="clear" w:color="auto" w:fill="auto"/>
            <w:tcMar>
              <w:left w:w="57" w:type="dxa"/>
              <w:right w:w="57" w:type="dxa"/>
            </w:tcMar>
            <w:vAlign w:val="center"/>
          </w:tcPr>
          <w:p>
            <w:pPr>
              <w:pStyle w:val="107"/>
            </w:pPr>
            <w:r>
              <w:t>26.20</w:t>
            </w:r>
          </w:p>
        </w:tc>
        <w:tc>
          <w:tcPr>
            <w:tcW w:w="640" w:type="dxa"/>
            <w:shd w:val="clear" w:color="auto" w:fill="auto"/>
            <w:tcMar>
              <w:left w:w="57" w:type="dxa"/>
              <w:right w:w="57" w:type="dxa"/>
            </w:tcMar>
            <w:vAlign w:val="center"/>
          </w:tcPr>
          <w:p>
            <w:pPr>
              <w:pStyle w:val="107"/>
            </w:pPr>
            <w:r>
              <w:t>20.39</w:t>
            </w:r>
          </w:p>
        </w:tc>
        <w:tc>
          <w:tcPr>
            <w:tcW w:w="640" w:type="dxa"/>
            <w:shd w:val="clear" w:color="auto" w:fill="auto"/>
            <w:tcMar>
              <w:left w:w="57" w:type="dxa"/>
              <w:right w:w="57" w:type="dxa"/>
            </w:tcMar>
            <w:vAlign w:val="center"/>
          </w:tcPr>
          <w:p>
            <w:pPr>
              <w:pStyle w:val="107"/>
            </w:pPr>
            <w:r>
              <w:t>17.93</w:t>
            </w:r>
          </w:p>
        </w:tc>
        <w:tc>
          <w:tcPr>
            <w:tcW w:w="742" w:type="dxa"/>
            <w:shd w:val="clear" w:color="auto" w:fill="auto"/>
            <w:vAlign w:val="center"/>
          </w:tcPr>
          <w:p>
            <w:pPr>
              <w:pStyle w:val="107"/>
            </w:pPr>
            <w:r>
              <w:rPr>
                <w:rFonts w:hint="eastAsia"/>
              </w:rPr>
              <w:t>23.04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873" w:type="dxa"/>
            <w:shd w:val="clear" w:color="auto" w:fill="auto"/>
            <w:tcMar>
              <w:left w:w="57" w:type="dxa"/>
              <w:right w:w="57" w:type="dxa"/>
            </w:tcMar>
            <w:vAlign w:val="center"/>
          </w:tcPr>
          <w:p>
            <w:pPr>
              <w:pStyle w:val="107"/>
            </w:pPr>
            <w:r>
              <w:t>风速（m/s）</w:t>
            </w:r>
          </w:p>
        </w:tc>
        <w:tc>
          <w:tcPr>
            <w:tcW w:w="640" w:type="dxa"/>
            <w:shd w:val="clear" w:color="auto" w:fill="auto"/>
            <w:tcMar>
              <w:left w:w="57" w:type="dxa"/>
              <w:right w:w="57" w:type="dxa"/>
            </w:tcMar>
            <w:vAlign w:val="center"/>
          </w:tcPr>
          <w:p>
            <w:pPr>
              <w:pStyle w:val="107"/>
            </w:pPr>
            <w:r>
              <w:t>2.13</w:t>
            </w:r>
          </w:p>
        </w:tc>
        <w:tc>
          <w:tcPr>
            <w:tcW w:w="640" w:type="dxa"/>
            <w:shd w:val="clear" w:color="auto" w:fill="auto"/>
            <w:tcMar>
              <w:left w:w="57" w:type="dxa"/>
              <w:right w:w="57" w:type="dxa"/>
            </w:tcMar>
            <w:vAlign w:val="center"/>
          </w:tcPr>
          <w:p>
            <w:pPr>
              <w:pStyle w:val="107"/>
            </w:pPr>
            <w:r>
              <w:t>2.27</w:t>
            </w:r>
          </w:p>
        </w:tc>
        <w:tc>
          <w:tcPr>
            <w:tcW w:w="640" w:type="dxa"/>
            <w:shd w:val="clear" w:color="auto" w:fill="auto"/>
            <w:tcMar>
              <w:left w:w="57" w:type="dxa"/>
              <w:right w:w="57" w:type="dxa"/>
            </w:tcMar>
            <w:vAlign w:val="center"/>
          </w:tcPr>
          <w:p>
            <w:pPr>
              <w:pStyle w:val="107"/>
            </w:pPr>
            <w:r>
              <w:t>1.84</w:t>
            </w:r>
          </w:p>
        </w:tc>
        <w:tc>
          <w:tcPr>
            <w:tcW w:w="640" w:type="dxa"/>
            <w:shd w:val="clear" w:color="auto" w:fill="auto"/>
            <w:tcMar>
              <w:left w:w="57" w:type="dxa"/>
              <w:right w:w="57" w:type="dxa"/>
            </w:tcMar>
            <w:vAlign w:val="center"/>
          </w:tcPr>
          <w:p>
            <w:pPr>
              <w:pStyle w:val="107"/>
            </w:pPr>
            <w:r>
              <w:t>2.17</w:t>
            </w:r>
          </w:p>
        </w:tc>
        <w:tc>
          <w:tcPr>
            <w:tcW w:w="640" w:type="dxa"/>
            <w:shd w:val="clear" w:color="auto" w:fill="auto"/>
            <w:tcMar>
              <w:left w:w="57" w:type="dxa"/>
              <w:right w:w="57" w:type="dxa"/>
            </w:tcMar>
            <w:vAlign w:val="center"/>
          </w:tcPr>
          <w:p>
            <w:pPr>
              <w:pStyle w:val="107"/>
            </w:pPr>
            <w:r>
              <w:t>2.30</w:t>
            </w:r>
          </w:p>
        </w:tc>
        <w:tc>
          <w:tcPr>
            <w:tcW w:w="640" w:type="dxa"/>
            <w:shd w:val="clear" w:color="auto" w:fill="auto"/>
            <w:tcMar>
              <w:left w:w="57" w:type="dxa"/>
              <w:right w:w="57" w:type="dxa"/>
            </w:tcMar>
            <w:vAlign w:val="center"/>
          </w:tcPr>
          <w:p>
            <w:pPr>
              <w:pStyle w:val="107"/>
            </w:pPr>
            <w:r>
              <w:t>1.97</w:t>
            </w:r>
          </w:p>
        </w:tc>
        <w:tc>
          <w:tcPr>
            <w:tcW w:w="640" w:type="dxa"/>
            <w:shd w:val="clear" w:color="auto" w:fill="auto"/>
            <w:tcMar>
              <w:left w:w="57" w:type="dxa"/>
              <w:right w:w="57" w:type="dxa"/>
            </w:tcMar>
            <w:vAlign w:val="center"/>
          </w:tcPr>
          <w:p>
            <w:pPr>
              <w:pStyle w:val="107"/>
            </w:pPr>
            <w:r>
              <w:t>2.08</w:t>
            </w:r>
          </w:p>
        </w:tc>
        <w:tc>
          <w:tcPr>
            <w:tcW w:w="640" w:type="dxa"/>
            <w:shd w:val="clear" w:color="auto" w:fill="auto"/>
            <w:tcMar>
              <w:left w:w="57" w:type="dxa"/>
              <w:right w:w="57" w:type="dxa"/>
            </w:tcMar>
            <w:vAlign w:val="center"/>
          </w:tcPr>
          <w:p>
            <w:pPr>
              <w:pStyle w:val="107"/>
            </w:pPr>
            <w:r>
              <w:t>2.04</w:t>
            </w:r>
          </w:p>
        </w:tc>
        <w:tc>
          <w:tcPr>
            <w:tcW w:w="640" w:type="dxa"/>
            <w:shd w:val="clear" w:color="auto" w:fill="auto"/>
            <w:tcMar>
              <w:left w:w="57" w:type="dxa"/>
              <w:right w:w="57" w:type="dxa"/>
            </w:tcMar>
            <w:vAlign w:val="center"/>
          </w:tcPr>
          <w:p>
            <w:pPr>
              <w:pStyle w:val="107"/>
            </w:pPr>
            <w:r>
              <w:t>1.95</w:t>
            </w:r>
          </w:p>
        </w:tc>
        <w:tc>
          <w:tcPr>
            <w:tcW w:w="640" w:type="dxa"/>
            <w:shd w:val="clear" w:color="auto" w:fill="auto"/>
            <w:tcMar>
              <w:left w:w="57" w:type="dxa"/>
              <w:right w:w="57" w:type="dxa"/>
            </w:tcMar>
            <w:vAlign w:val="center"/>
          </w:tcPr>
          <w:p>
            <w:pPr>
              <w:pStyle w:val="107"/>
            </w:pPr>
            <w:r>
              <w:t>2.24</w:t>
            </w:r>
          </w:p>
        </w:tc>
        <w:tc>
          <w:tcPr>
            <w:tcW w:w="640" w:type="dxa"/>
            <w:shd w:val="clear" w:color="auto" w:fill="auto"/>
            <w:tcMar>
              <w:left w:w="57" w:type="dxa"/>
              <w:right w:w="57" w:type="dxa"/>
            </w:tcMar>
            <w:vAlign w:val="center"/>
          </w:tcPr>
          <w:p>
            <w:pPr>
              <w:pStyle w:val="107"/>
            </w:pPr>
            <w:r>
              <w:t>1.97</w:t>
            </w:r>
          </w:p>
        </w:tc>
        <w:tc>
          <w:tcPr>
            <w:tcW w:w="640" w:type="dxa"/>
            <w:shd w:val="clear" w:color="auto" w:fill="auto"/>
            <w:tcMar>
              <w:left w:w="57" w:type="dxa"/>
              <w:right w:w="57" w:type="dxa"/>
            </w:tcMar>
            <w:vAlign w:val="center"/>
          </w:tcPr>
          <w:p>
            <w:pPr>
              <w:pStyle w:val="107"/>
            </w:pPr>
            <w:r>
              <w:t>2.00</w:t>
            </w:r>
          </w:p>
        </w:tc>
        <w:tc>
          <w:tcPr>
            <w:tcW w:w="742" w:type="dxa"/>
            <w:shd w:val="clear" w:color="auto" w:fill="auto"/>
            <w:vAlign w:val="center"/>
          </w:tcPr>
          <w:p>
            <w:pPr>
              <w:pStyle w:val="107"/>
            </w:pPr>
            <w:r>
              <w:rPr>
                <w:rFonts w:hint="eastAsia"/>
              </w:rPr>
              <w:t>2.08</w:t>
            </w:r>
          </w:p>
        </w:tc>
      </w:tr>
    </w:tbl>
    <w:p>
      <w:pPr>
        <w:pStyle w:val="18"/>
      </w:pPr>
      <w:bookmarkStart w:id="440" w:name="_Ref528530421"/>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5</w:t>
      </w:r>
      <w:r>
        <w:fldChar w:fldCharType="end"/>
      </w:r>
      <w:bookmarkEnd w:id="440"/>
      <w:r>
        <w:t xml:space="preserve"> </w:t>
      </w:r>
      <w:r>
        <w:rPr>
          <w:rFonts w:hint="eastAsia"/>
        </w:rPr>
        <w:t>201</w:t>
      </w:r>
      <w:r>
        <w:t>7</w:t>
      </w:r>
      <w:r>
        <w:rPr>
          <w:rFonts w:hint="eastAsia"/>
        </w:rPr>
        <w:t>年开平市气象站季小时平均风速的日变化（m/s）</w:t>
      </w:r>
    </w:p>
    <w:tbl>
      <w:tblPr>
        <w:tblStyle w:val="56"/>
        <w:tblW w:w="9060" w:type="dxa"/>
        <w:jc w:val="center"/>
        <w:tblInd w:w="0" w:type="dxa"/>
        <w:tblLayout w:type="fixed"/>
        <w:tblCellMar>
          <w:top w:w="0" w:type="dxa"/>
          <w:left w:w="108" w:type="dxa"/>
          <w:bottom w:w="0" w:type="dxa"/>
          <w:right w:w="108" w:type="dxa"/>
        </w:tblCellMar>
      </w:tblPr>
      <w:tblGrid>
        <w:gridCol w:w="1195"/>
        <w:gridCol w:w="653"/>
        <w:gridCol w:w="655"/>
        <w:gridCol w:w="655"/>
        <w:gridCol w:w="654"/>
        <w:gridCol w:w="654"/>
        <w:gridCol w:w="656"/>
        <w:gridCol w:w="656"/>
        <w:gridCol w:w="658"/>
        <w:gridCol w:w="656"/>
        <w:gridCol w:w="656"/>
        <w:gridCol w:w="656"/>
        <w:gridCol w:w="656"/>
      </w:tblGrid>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single" w:color="auto" w:sz="4" w:space="0"/>
              <w:right w:val="single" w:color="auto" w:sz="4" w:space="0"/>
              <w:tl2br w:val="single" w:color="auto" w:sz="4" w:space="0"/>
            </w:tcBorders>
            <w:shd w:val="clear" w:color="auto" w:fill="auto"/>
            <w:tcMar>
              <w:left w:w="57" w:type="dxa"/>
              <w:right w:w="57" w:type="dxa"/>
            </w:tcMar>
            <w:vAlign w:val="center"/>
          </w:tcPr>
          <w:p>
            <w:pPr>
              <w:pStyle w:val="107"/>
              <w:jc w:val="right"/>
              <w:rPr>
                <w:b/>
              </w:rPr>
            </w:pPr>
            <w:r>
              <w:rPr>
                <w:b/>
              </w:rPr>
              <w:t>小时</w:t>
            </w:r>
          </w:p>
          <w:p>
            <w:pPr>
              <w:pStyle w:val="107"/>
              <w:jc w:val="left"/>
              <w:rPr>
                <w:b/>
              </w:rPr>
            </w:pPr>
            <w:r>
              <w:rPr>
                <w:b/>
              </w:rPr>
              <w:t>风速m/s</w:t>
            </w:r>
          </w:p>
        </w:tc>
        <w:tc>
          <w:tcPr>
            <w:tcW w:w="653" w:type="dxa"/>
            <w:tcBorders>
              <w:top w:val="single" w:color="auto" w:sz="4" w:space="0"/>
              <w:left w:val="nil"/>
              <w:bottom w:val="single" w:color="auto" w:sz="4" w:space="0"/>
              <w:right w:val="single" w:color="auto" w:sz="4" w:space="0"/>
            </w:tcBorders>
            <w:shd w:val="clear" w:color="auto" w:fill="auto"/>
            <w:tcMar>
              <w:left w:w="28" w:type="dxa"/>
              <w:right w:w="28" w:type="dxa"/>
            </w:tcMar>
            <w:vAlign w:val="center"/>
          </w:tcPr>
          <w:p>
            <w:pPr>
              <w:pStyle w:val="107"/>
              <w:rPr>
                <w:b/>
              </w:rPr>
            </w:pPr>
            <w:r>
              <w:rPr>
                <w:b/>
              </w:rPr>
              <w:t>1</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2</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3</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4</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5</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6</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7</w:t>
            </w:r>
          </w:p>
        </w:tc>
        <w:tc>
          <w:tcPr>
            <w:tcW w:w="658"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8</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9</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10</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11</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12</w:t>
            </w:r>
          </w:p>
        </w:tc>
      </w:tr>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tcPr>
          <w:p>
            <w:pPr>
              <w:pStyle w:val="107"/>
              <w:rPr>
                <w:b/>
              </w:rPr>
            </w:pPr>
            <w:r>
              <w:rPr>
                <w:rFonts w:hint="eastAsia"/>
                <w:b/>
              </w:rPr>
              <w:t>春季</w:t>
            </w:r>
          </w:p>
        </w:tc>
        <w:tc>
          <w:tcPr>
            <w:tcW w:w="653"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1.67</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1.55</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1.60</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1.66</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1.53</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1.54</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1.57</w:t>
            </w:r>
          </w:p>
        </w:tc>
        <w:tc>
          <w:tcPr>
            <w:tcW w:w="658"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1.71</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1.98</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2.29</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2.56</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2.52</w:t>
            </w:r>
          </w:p>
        </w:tc>
      </w:tr>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tcPr>
          <w:p>
            <w:pPr>
              <w:pStyle w:val="107"/>
              <w:rPr>
                <w:b/>
              </w:rPr>
            </w:pPr>
            <w:r>
              <w:rPr>
                <w:rFonts w:hint="eastAsia"/>
                <w:b/>
              </w:rPr>
              <w:t>夏季</w:t>
            </w:r>
          </w:p>
        </w:tc>
        <w:tc>
          <w:tcPr>
            <w:tcW w:w="653"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1.35</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1.28</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1.43</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1.47</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1.44</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1.45</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1.40</w:t>
            </w:r>
          </w:p>
        </w:tc>
        <w:tc>
          <w:tcPr>
            <w:tcW w:w="658"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1.75</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2.06</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2.38</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2.51</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2.64</w:t>
            </w:r>
          </w:p>
        </w:tc>
      </w:tr>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tcPr>
          <w:p>
            <w:pPr>
              <w:pStyle w:val="107"/>
              <w:rPr>
                <w:b/>
              </w:rPr>
            </w:pPr>
            <w:r>
              <w:rPr>
                <w:rFonts w:hint="eastAsia"/>
                <w:b/>
              </w:rPr>
              <w:t>秋季</w:t>
            </w:r>
          </w:p>
        </w:tc>
        <w:tc>
          <w:tcPr>
            <w:tcW w:w="653"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1.61</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1.67</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1.65</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1.74</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1.71</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1.65</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1.56</w:t>
            </w:r>
          </w:p>
        </w:tc>
        <w:tc>
          <w:tcPr>
            <w:tcW w:w="658"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1.86</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2.26</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2.69</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2.78</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2.68</w:t>
            </w:r>
          </w:p>
        </w:tc>
      </w:tr>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double" w:color="auto" w:sz="4" w:space="0"/>
              <w:right w:val="single" w:color="auto" w:sz="4" w:space="0"/>
            </w:tcBorders>
            <w:shd w:val="clear" w:color="auto" w:fill="auto"/>
            <w:tcMar>
              <w:left w:w="57" w:type="dxa"/>
              <w:right w:w="57" w:type="dxa"/>
            </w:tcMar>
          </w:tcPr>
          <w:p>
            <w:pPr>
              <w:pStyle w:val="107"/>
              <w:rPr>
                <w:b/>
              </w:rPr>
            </w:pPr>
            <w:r>
              <w:rPr>
                <w:rFonts w:hint="eastAsia"/>
                <w:b/>
              </w:rPr>
              <w:t>冬季</w:t>
            </w:r>
          </w:p>
        </w:tc>
        <w:tc>
          <w:tcPr>
            <w:tcW w:w="653"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pPr>
            <w:r>
              <w:rPr>
                <w:rFonts w:hint="eastAsia"/>
              </w:rPr>
              <w:t>1.82</w:t>
            </w:r>
          </w:p>
        </w:tc>
        <w:tc>
          <w:tcPr>
            <w:tcW w:w="655"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pPr>
            <w:r>
              <w:rPr>
                <w:rFonts w:hint="eastAsia"/>
              </w:rPr>
              <w:t>1.73</w:t>
            </w:r>
          </w:p>
        </w:tc>
        <w:tc>
          <w:tcPr>
            <w:tcW w:w="655"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pPr>
            <w:r>
              <w:rPr>
                <w:rFonts w:hint="eastAsia"/>
              </w:rPr>
              <w:t>1.86</w:t>
            </w:r>
          </w:p>
        </w:tc>
        <w:tc>
          <w:tcPr>
            <w:tcW w:w="654"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pPr>
            <w:r>
              <w:rPr>
                <w:rFonts w:hint="eastAsia"/>
              </w:rPr>
              <w:t>1.85</w:t>
            </w:r>
          </w:p>
        </w:tc>
        <w:tc>
          <w:tcPr>
            <w:tcW w:w="654"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pPr>
            <w:r>
              <w:rPr>
                <w:rFonts w:hint="eastAsia"/>
              </w:rPr>
              <w:t>1.77</w:t>
            </w:r>
          </w:p>
        </w:tc>
        <w:tc>
          <w:tcPr>
            <w:tcW w:w="656"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pPr>
            <w:r>
              <w:rPr>
                <w:rFonts w:hint="eastAsia"/>
              </w:rPr>
              <w:t>1.79</w:t>
            </w:r>
          </w:p>
        </w:tc>
        <w:tc>
          <w:tcPr>
            <w:tcW w:w="656"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pPr>
            <w:r>
              <w:rPr>
                <w:rFonts w:hint="eastAsia"/>
              </w:rPr>
              <w:t>1.64</w:t>
            </w:r>
          </w:p>
        </w:tc>
        <w:tc>
          <w:tcPr>
            <w:tcW w:w="658"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pPr>
            <w:r>
              <w:rPr>
                <w:rFonts w:hint="eastAsia"/>
              </w:rPr>
              <w:t>1.75</w:t>
            </w:r>
          </w:p>
        </w:tc>
        <w:tc>
          <w:tcPr>
            <w:tcW w:w="656"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pPr>
            <w:r>
              <w:rPr>
                <w:rFonts w:hint="eastAsia"/>
              </w:rPr>
              <w:t>2.02</w:t>
            </w:r>
          </w:p>
        </w:tc>
        <w:tc>
          <w:tcPr>
            <w:tcW w:w="656"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pPr>
            <w:r>
              <w:rPr>
                <w:rFonts w:hint="eastAsia"/>
              </w:rPr>
              <w:t>2.40</w:t>
            </w:r>
          </w:p>
        </w:tc>
        <w:tc>
          <w:tcPr>
            <w:tcW w:w="656"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pPr>
            <w:r>
              <w:rPr>
                <w:rFonts w:hint="eastAsia"/>
              </w:rPr>
              <w:t>2.83</w:t>
            </w:r>
          </w:p>
        </w:tc>
        <w:tc>
          <w:tcPr>
            <w:tcW w:w="656" w:type="dxa"/>
            <w:tcBorders>
              <w:top w:val="single" w:color="auto" w:sz="4" w:space="0"/>
              <w:left w:val="nil"/>
              <w:bottom w:val="double" w:color="auto" w:sz="4" w:space="0"/>
              <w:right w:val="single" w:color="auto" w:sz="4" w:space="0"/>
            </w:tcBorders>
            <w:shd w:val="clear" w:color="auto" w:fill="auto"/>
            <w:tcMar>
              <w:left w:w="57" w:type="dxa"/>
              <w:right w:w="57" w:type="dxa"/>
            </w:tcMar>
          </w:tcPr>
          <w:p>
            <w:pPr>
              <w:pStyle w:val="107"/>
            </w:pPr>
            <w:r>
              <w:rPr>
                <w:rFonts w:hint="eastAsia"/>
              </w:rPr>
              <w:t>2.96</w:t>
            </w:r>
          </w:p>
        </w:tc>
      </w:tr>
      <w:tr>
        <w:tblPrEx>
          <w:tblLayout w:type="fixed"/>
          <w:tblCellMar>
            <w:top w:w="0" w:type="dxa"/>
            <w:left w:w="108" w:type="dxa"/>
            <w:bottom w:w="0" w:type="dxa"/>
            <w:right w:w="108" w:type="dxa"/>
          </w:tblCellMar>
        </w:tblPrEx>
        <w:trPr>
          <w:trHeight w:val="369" w:hRule="atLeast"/>
          <w:jc w:val="center"/>
        </w:trPr>
        <w:tc>
          <w:tcPr>
            <w:tcW w:w="1195" w:type="dxa"/>
            <w:tcBorders>
              <w:top w:val="double" w:color="auto" w:sz="4" w:space="0"/>
              <w:left w:val="single" w:color="auto" w:sz="4" w:space="0"/>
              <w:bottom w:val="single" w:color="auto" w:sz="4" w:space="0"/>
              <w:right w:val="single" w:color="auto" w:sz="4" w:space="0"/>
              <w:tl2br w:val="single" w:color="auto" w:sz="4" w:space="0"/>
            </w:tcBorders>
            <w:shd w:val="clear" w:color="auto" w:fill="auto"/>
            <w:tcMar>
              <w:left w:w="57" w:type="dxa"/>
              <w:right w:w="57" w:type="dxa"/>
            </w:tcMar>
            <w:vAlign w:val="center"/>
          </w:tcPr>
          <w:p>
            <w:pPr>
              <w:pStyle w:val="107"/>
              <w:jc w:val="right"/>
              <w:rPr>
                <w:b/>
              </w:rPr>
            </w:pPr>
            <w:r>
              <w:rPr>
                <w:b/>
              </w:rPr>
              <w:t>小时</w:t>
            </w:r>
          </w:p>
          <w:p>
            <w:pPr>
              <w:pStyle w:val="107"/>
              <w:jc w:val="left"/>
              <w:rPr>
                <w:b/>
              </w:rPr>
            </w:pPr>
            <w:r>
              <w:rPr>
                <w:b/>
              </w:rPr>
              <w:t>风速m/s</w:t>
            </w:r>
          </w:p>
        </w:tc>
        <w:tc>
          <w:tcPr>
            <w:tcW w:w="653" w:type="dxa"/>
            <w:tcBorders>
              <w:top w:val="double" w:color="auto" w:sz="4" w:space="0"/>
              <w:left w:val="nil"/>
              <w:bottom w:val="single" w:color="auto" w:sz="4" w:space="0"/>
              <w:right w:val="single" w:color="auto" w:sz="4" w:space="0"/>
            </w:tcBorders>
            <w:shd w:val="clear" w:color="auto" w:fill="auto"/>
            <w:tcMar>
              <w:left w:w="28" w:type="dxa"/>
              <w:right w:w="28" w:type="dxa"/>
            </w:tcMar>
            <w:vAlign w:val="center"/>
          </w:tcPr>
          <w:p>
            <w:pPr>
              <w:pStyle w:val="107"/>
              <w:rPr>
                <w:b/>
              </w:rPr>
            </w:pPr>
            <w:r>
              <w:rPr>
                <w:b/>
              </w:rPr>
              <w:t>13</w:t>
            </w:r>
          </w:p>
        </w:tc>
        <w:tc>
          <w:tcPr>
            <w:tcW w:w="655"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14</w:t>
            </w:r>
          </w:p>
        </w:tc>
        <w:tc>
          <w:tcPr>
            <w:tcW w:w="655"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15</w:t>
            </w:r>
          </w:p>
        </w:tc>
        <w:tc>
          <w:tcPr>
            <w:tcW w:w="654"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16</w:t>
            </w:r>
          </w:p>
        </w:tc>
        <w:tc>
          <w:tcPr>
            <w:tcW w:w="654"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17</w:t>
            </w:r>
          </w:p>
        </w:tc>
        <w:tc>
          <w:tcPr>
            <w:tcW w:w="656"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18</w:t>
            </w:r>
          </w:p>
        </w:tc>
        <w:tc>
          <w:tcPr>
            <w:tcW w:w="656"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19</w:t>
            </w:r>
          </w:p>
        </w:tc>
        <w:tc>
          <w:tcPr>
            <w:tcW w:w="658"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20</w:t>
            </w:r>
          </w:p>
        </w:tc>
        <w:tc>
          <w:tcPr>
            <w:tcW w:w="656"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21</w:t>
            </w:r>
          </w:p>
        </w:tc>
        <w:tc>
          <w:tcPr>
            <w:tcW w:w="656"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22</w:t>
            </w:r>
          </w:p>
        </w:tc>
        <w:tc>
          <w:tcPr>
            <w:tcW w:w="656"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23</w:t>
            </w:r>
          </w:p>
        </w:tc>
        <w:tc>
          <w:tcPr>
            <w:tcW w:w="656" w:type="dxa"/>
            <w:tcBorders>
              <w:top w:val="double" w:color="auto" w:sz="4" w:space="0"/>
              <w:left w:val="nil"/>
              <w:bottom w:val="single" w:color="auto" w:sz="4" w:space="0"/>
              <w:right w:val="single" w:color="auto" w:sz="4" w:space="0"/>
            </w:tcBorders>
            <w:shd w:val="clear" w:color="auto" w:fill="auto"/>
            <w:tcMar>
              <w:left w:w="57" w:type="dxa"/>
              <w:right w:w="57" w:type="dxa"/>
            </w:tcMar>
            <w:vAlign w:val="center"/>
          </w:tcPr>
          <w:p>
            <w:pPr>
              <w:pStyle w:val="107"/>
              <w:rPr>
                <w:b/>
              </w:rPr>
            </w:pPr>
            <w:r>
              <w:rPr>
                <w:b/>
              </w:rPr>
              <w:t>24</w:t>
            </w:r>
          </w:p>
        </w:tc>
      </w:tr>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tcPr>
          <w:p>
            <w:pPr>
              <w:pStyle w:val="107"/>
              <w:rPr>
                <w:b/>
              </w:rPr>
            </w:pPr>
            <w:r>
              <w:rPr>
                <w:rFonts w:hint="eastAsia"/>
                <w:b/>
              </w:rPr>
              <w:t>春季</w:t>
            </w:r>
          </w:p>
        </w:tc>
        <w:tc>
          <w:tcPr>
            <w:tcW w:w="653"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2.73</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2.78</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2.78</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2.85</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2.73</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2.53</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2.38</w:t>
            </w:r>
          </w:p>
        </w:tc>
        <w:tc>
          <w:tcPr>
            <w:tcW w:w="658"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2.08</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2.09</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1.83</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1.83</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1.67</w:t>
            </w:r>
          </w:p>
        </w:tc>
      </w:tr>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tcPr>
          <w:p>
            <w:pPr>
              <w:pStyle w:val="107"/>
              <w:rPr>
                <w:b/>
              </w:rPr>
            </w:pPr>
            <w:r>
              <w:rPr>
                <w:rFonts w:hint="eastAsia"/>
                <w:b/>
              </w:rPr>
              <w:t>夏季</w:t>
            </w:r>
          </w:p>
        </w:tc>
        <w:tc>
          <w:tcPr>
            <w:tcW w:w="653"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2.72</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2.73</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2.71</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2.77</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2.68</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2.37</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2.51</w:t>
            </w:r>
          </w:p>
        </w:tc>
        <w:tc>
          <w:tcPr>
            <w:tcW w:w="658"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2.20</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2.04</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1.75</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1.61</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1.53</w:t>
            </w:r>
          </w:p>
        </w:tc>
      </w:tr>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tcPr>
          <w:p>
            <w:pPr>
              <w:pStyle w:val="107"/>
              <w:rPr>
                <w:b/>
              </w:rPr>
            </w:pPr>
            <w:r>
              <w:rPr>
                <w:rFonts w:hint="eastAsia"/>
                <w:b/>
              </w:rPr>
              <w:t>秋季</w:t>
            </w:r>
          </w:p>
        </w:tc>
        <w:tc>
          <w:tcPr>
            <w:tcW w:w="653"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2.79</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2.82</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2.51</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2.44</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2.38</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2.12</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1.92</w:t>
            </w:r>
          </w:p>
        </w:tc>
        <w:tc>
          <w:tcPr>
            <w:tcW w:w="658"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1.80</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1.67</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1.65</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1.62</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1.69</w:t>
            </w:r>
          </w:p>
        </w:tc>
      </w:tr>
      <w:tr>
        <w:tblPrEx>
          <w:tblLayout w:type="fixed"/>
          <w:tblCellMar>
            <w:top w:w="0" w:type="dxa"/>
            <w:left w:w="108" w:type="dxa"/>
            <w:bottom w:w="0" w:type="dxa"/>
            <w:right w:w="108" w:type="dxa"/>
          </w:tblCellMar>
        </w:tblPrEx>
        <w:trPr>
          <w:trHeight w:val="369" w:hRule="atLeast"/>
          <w:jc w:val="center"/>
        </w:trPr>
        <w:tc>
          <w:tcPr>
            <w:tcW w:w="11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tcPr>
          <w:p>
            <w:pPr>
              <w:pStyle w:val="107"/>
              <w:rPr>
                <w:b/>
              </w:rPr>
            </w:pPr>
            <w:r>
              <w:rPr>
                <w:rFonts w:hint="eastAsia"/>
                <w:b/>
              </w:rPr>
              <w:t>冬季</w:t>
            </w:r>
          </w:p>
        </w:tc>
        <w:tc>
          <w:tcPr>
            <w:tcW w:w="653"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2.89</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2.93</w:t>
            </w:r>
          </w:p>
        </w:tc>
        <w:tc>
          <w:tcPr>
            <w:tcW w:w="655"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2.68</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2.65</w:t>
            </w:r>
          </w:p>
        </w:tc>
        <w:tc>
          <w:tcPr>
            <w:tcW w:w="654"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2.43</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2.29</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2.00</w:t>
            </w:r>
          </w:p>
        </w:tc>
        <w:tc>
          <w:tcPr>
            <w:tcW w:w="658"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1.92</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1.75</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1.70</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1.66</w:t>
            </w:r>
          </w:p>
        </w:tc>
        <w:tc>
          <w:tcPr>
            <w:tcW w:w="656" w:type="dxa"/>
            <w:tcBorders>
              <w:top w:val="single" w:color="auto" w:sz="4" w:space="0"/>
              <w:left w:val="nil"/>
              <w:bottom w:val="single" w:color="auto" w:sz="4" w:space="0"/>
              <w:right w:val="single" w:color="auto" w:sz="4" w:space="0"/>
            </w:tcBorders>
            <w:shd w:val="clear" w:color="auto" w:fill="auto"/>
            <w:tcMar>
              <w:left w:w="57" w:type="dxa"/>
              <w:right w:w="57" w:type="dxa"/>
            </w:tcMar>
          </w:tcPr>
          <w:p>
            <w:pPr>
              <w:pStyle w:val="107"/>
            </w:pPr>
            <w:r>
              <w:rPr>
                <w:rFonts w:hint="eastAsia"/>
              </w:rPr>
              <w:t>1.74</w:t>
            </w:r>
          </w:p>
        </w:tc>
      </w:tr>
    </w:tbl>
    <w:p>
      <w:pPr>
        <w:pStyle w:val="107"/>
      </w:pPr>
    </w:p>
    <w:p>
      <w:pPr>
        <w:keepNext/>
        <w:adjustRightInd w:val="0"/>
        <w:snapToGrid w:val="0"/>
        <w:ind w:firstLine="0" w:firstLineChars="0"/>
        <w:jc w:val="center"/>
        <w:rPr>
          <w:rFonts w:eastAsiaTheme="minorEastAsia"/>
        </w:rPr>
      </w:pPr>
      <w:r>
        <w:rPr>
          <w:rFonts w:eastAsiaTheme="minorEastAsia"/>
        </w:rPr>
        <w:drawing>
          <wp:inline distT="0" distB="0" distL="0" distR="0">
            <wp:extent cx="5188585" cy="2024380"/>
            <wp:effectExtent l="0" t="0" r="12065" b="13970"/>
            <wp:docPr id="5"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pPr>
        <w:pStyle w:val="18"/>
        <w:rPr>
          <w:snapToGrid w:val="0"/>
        </w:rPr>
      </w:pPr>
      <w:bookmarkStart w:id="441" w:name="_Ref528527831"/>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bookmarkEnd w:id="441"/>
      <w:r>
        <w:rPr>
          <w:rFonts w:hint="eastAsia"/>
        </w:rPr>
        <w:t>年平均温度的月变化图</w:t>
      </w:r>
    </w:p>
    <w:p>
      <w:pPr>
        <w:keepNext/>
        <w:adjustRightInd w:val="0"/>
        <w:snapToGrid w:val="0"/>
        <w:ind w:firstLine="0" w:firstLineChars="0"/>
        <w:jc w:val="center"/>
        <w:rPr>
          <w:rFonts w:eastAsiaTheme="minorEastAsia"/>
        </w:rPr>
      </w:pPr>
      <w:r>
        <w:rPr>
          <w:rFonts w:eastAsiaTheme="minorEastAsia"/>
        </w:rPr>
        <w:drawing>
          <wp:inline distT="0" distB="0" distL="0" distR="0">
            <wp:extent cx="5274310" cy="2030095"/>
            <wp:effectExtent l="0" t="0" r="2540" b="8255"/>
            <wp:docPr id="19" name="图表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pPr>
        <w:pStyle w:val="18"/>
        <w:rPr>
          <w:snapToGrid w:val="0"/>
        </w:rPr>
      </w:pPr>
      <w:bookmarkStart w:id="442" w:name="_Ref528528991"/>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3</w:t>
      </w:r>
      <w:r>
        <w:fldChar w:fldCharType="end"/>
      </w:r>
      <w:bookmarkEnd w:id="442"/>
      <w:r>
        <w:rPr>
          <w:rFonts w:hint="eastAsia"/>
        </w:rPr>
        <w:t>年平均风速的月变化图</w:t>
      </w:r>
    </w:p>
    <w:p>
      <w:pPr>
        <w:keepNext/>
        <w:adjustRightInd w:val="0"/>
        <w:snapToGrid w:val="0"/>
        <w:ind w:firstLine="0" w:firstLineChars="0"/>
        <w:jc w:val="center"/>
        <w:rPr>
          <w:rFonts w:eastAsiaTheme="minorEastAsia"/>
        </w:rPr>
      </w:pPr>
      <w:r>
        <w:rPr>
          <w:rFonts w:eastAsiaTheme="minorEastAsia"/>
        </w:rPr>
        <w:drawing>
          <wp:inline distT="0" distB="0" distL="0" distR="0">
            <wp:extent cx="5274310" cy="2200275"/>
            <wp:effectExtent l="0" t="0" r="2540" b="9525"/>
            <wp:docPr id="29" name="图表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pPr>
        <w:pStyle w:val="18"/>
        <w:rPr>
          <w:snapToGrid w:val="0"/>
        </w:rPr>
      </w:pPr>
      <w:bookmarkStart w:id="443" w:name="_Ref528530356"/>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4</w:t>
      </w:r>
      <w:r>
        <w:fldChar w:fldCharType="end"/>
      </w:r>
      <w:bookmarkEnd w:id="443"/>
      <w:r>
        <w:rPr>
          <w:rFonts w:hint="eastAsia"/>
        </w:rPr>
        <w:t>季小时平均风速的日变化图</w:t>
      </w:r>
    </w:p>
    <w:p>
      <w:pPr>
        <w:adjustRightInd w:val="0"/>
        <w:snapToGrid w:val="0"/>
        <w:spacing w:before="156" w:beforeLines="50"/>
        <w:ind w:firstLine="482"/>
        <w:jc w:val="center"/>
        <w:rPr>
          <w:rFonts w:eastAsiaTheme="minorEastAsia"/>
          <w:b/>
          <w:snapToGrid w:val="0"/>
        </w:rPr>
      </w:pPr>
    </w:p>
    <w:p>
      <w:pPr>
        <w:adjustRightInd w:val="0"/>
        <w:snapToGrid w:val="0"/>
        <w:spacing w:before="156" w:beforeLines="50"/>
        <w:ind w:firstLine="482"/>
        <w:jc w:val="center"/>
        <w:rPr>
          <w:rFonts w:eastAsiaTheme="minorEastAsia"/>
          <w:b/>
          <w:snapToGrid w:val="0"/>
        </w:rPr>
      </w:pPr>
    </w:p>
    <w:p>
      <w:pPr>
        <w:adjustRightInd w:val="0"/>
        <w:snapToGrid w:val="0"/>
        <w:ind w:left="420" w:firstLine="480"/>
        <w:rPr>
          <w:rFonts w:eastAsiaTheme="minorEastAsia"/>
          <w:snapToGrid w:val="0"/>
        </w:rPr>
        <w:sectPr>
          <w:pgSz w:w="11906" w:h="16838"/>
          <w:pgMar w:top="1418" w:right="1418" w:bottom="1418" w:left="1418" w:header="851" w:footer="709" w:gutter="0"/>
          <w:cols w:space="425" w:num="1"/>
          <w:docGrid w:type="lines" w:linePitch="312" w:charSpace="0"/>
        </w:sectPr>
      </w:pPr>
    </w:p>
    <w:p>
      <w:pPr>
        <w:pStyle w:val="18"/>
      </w:pPr>
      <w:bookmarkStart w:id="444" w:name="_Ref528530459"/>
      <w:bookmarkStart w:id="445" w:name="OLE_LINK43"/>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6</w:t>
      </w:r>
      <w:r>
        <w:fldChar w:fldCharType="end"/>
      </w:r>
      <w:bookmarkEnd w:id="444"/>
      <w:r>
        <w:t xml:space="preserve"> </w:t>
      </w:r>
      <w:r>
        <w:rPr>
          <w:rFonts w:hint="eastAsia"/>
        </w:rPr>
        <w:t>201</w:t>
      </w:r>
      <w:r>
        <w:t>7</w:t>
      </w:r>
      <w:r>
        <w:rPr>
          <w:rFonts w:hint="eastAsia"/>
        </w:rPr>
        <w:t>年开平市气象站风频统计（%）</w:t>
      </w:r>
    </w:p>
    <w:tbl>
      <w:tblPr>
        <w:tblStyle w:val="56"/>
        <w:tblW w:w="151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18"/>
        <w:gridCol w:w="751"/>
        <w:gridCol w:w="753"/>
        <w:gridCol w:w="750"/>
        <w:gridCol w:w="753"/>
        <w:gridCol w:w="750"/>
        <w:gridCol w:w="752"/>
        <w:gridCol w:w="752"/>
        <w:gridCol w:w="750"/>
        <w:gridCol w:w="752"/>
        <w:gridCol w:w="750"/>
        <w:gridCol w:w="752"/>
        <w:gridCol w:w="752"/>
        <w:gridCol w:w="750"/>
        <w:gridCol w:w="752"/>
        <w:gridCol w:w="750"/>
        <w:gridCol w:w="752"/>
        <w:gridCol w:w="752"/>
        <w:gridCol w:w="14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tblHeader/>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风向</w:t>
            </w:r>
          </w:p>
        </w:tc>
        <w:tc>
          <w:tcPr>
            <w:tcW w:w="751"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N</w:t>
            </w:r>
          </w:p>
        </w:tc>
        <w:tc>
          <w:tcPr>
            <w:tcW w:w="753"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NNE</w:t>
            </w:r>
          </w:p>
        </w:tc>
        <w:tc>
          <w:tcPr>
            <w:tcW w:w="750"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NE</w:t>
            </w:r>
          </w:p>
        </w:tc>
        <w:tc>
          <w:tcPr>
            <w:tcW w:w="753"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ENE</w:t>
            </w:r>
          </w:p>
        </w:tc>
        <w:tc>
          <w:tcPr>
            <w:tcW w:w="750"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E</w:t>
            </w:r>
          </w:p>
        </w:tc>
        <w:tc>
          <w:tcPr>
            <w:tcW w:w="752"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ESE</w:t>
            </w:r>
          </w:p>
        </w:tc>
        <w:tc>
          <w:tcPr>
            <w:tcW w:w="752"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SE</w:t>
            </w:r>
          </w:p>
        </w:tc>
        <w:tc>
          <w:tcPr>
            <w:tcW w:w="750"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SSE</w:t>
            </w:r>
          </w:p>
        </w:tc>
        <w:tc>
          <w:tcPr>
            <w:tcW w:w="752"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S</w:t>
            </w:r>
          </w:p>
        </w:tc>
        <w:tc>
          <w:tcPr>
            <w:tcW w:w="750"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SSW</w:t>
            </w:r>
          </w:p>
        </w:tc>
        <w:tc>
          <w:tcPr>
            <w:tcW w:w="752"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SW</w:t>
            </w:r>
          </w:p>
        </w:tc>
        <w:tc>
          <w:tcPr>
            <w:tcW w:w="752"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WSW</w:t>
            </w:r>
          </w:p>
        </w:tc>
        <w:tc>
          <w:tcPr>
            <w:tcW w:w="750"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W</w:t>
            </w:r>
          </w:p>
        </w:tc>
        <w:tc>
          <w:tcPr>
            <w:tcW w:w="752"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WNW</w:t>
            </w:r>
          </w:p>
        </w:tc>
        <w:tc>
          <w:tcPr>
            <w:tcW w:w="750"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NW</w:t>
            </w:r>
          </w:p>
        </w:tc>
        <w:tc>
          <w:tcPr>
            <w:tcW w:w="752"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NNW</w:t>
            </w:r>
          </w:p>
        </w:tc>
        <w:tc>
          <w:tcPr>
            <w:tcW w:w="752"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C</w:t>
            </w:r>
          </w:p>
        </w:tc>
        <w:tc>
          <w:tcPr>
            <w:tcW w:w="1455"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最多</w:t>
            </w:r>
          </w:p>
          <w:p>
            <w:pPr>
              <w:spacing w:line="240" w:lineRule="auto"/>
              <w:ind w:firstLine="0" w:firstLineChars="0"/>
              <w:jc w:val="center"/>
              <w:rPr>
                <w:rFonts w:eastAsiaTheme="minorEastAsia"/>
                <w:b/>
                <w:sz w:val="21"/>
                <w:szCs w:val="21"/>
              </w:rPr>
            </w:pPr>
            <w:r>
              <w:rPr>
                <w:rFonts w:eastAsiaTheme="minorEastAsia"/>
                <w:b/>
                <w:sz w:val="21"/>
                <w:szCs w:val="21"/>
              </w:rPr>
              <w:t>风向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bookmarkStart w:id="446" w:name="_Hlk441162505"/>
            <w:r>
              <w:rPr>
                <w:rFonts w:hint="eastAsia" w:eastAsiaTheme="minorEastAsia"/>
                <w:b/>
                <w:sz w:val="21"/>
                <w:szCs w:val="21"/>
              </w:rPr>
              <w:t>一月</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35.22</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20.56</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5.51</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2.69</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5.65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2.55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1.61</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0.81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0.94</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0.54</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1.75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1.08</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3.09</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2.02</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6.18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9.68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0.13</w:t>
            </w:r>
          </w:p>
        </w:tc>
        <w:tc>
          <w:tcPr>
            <w:tcW w:w="1455" w:type="dxa"/>
            <w:vAlign w:val="center"/>
          </w:tcPr>
          <w:p>
            <w:pPr>
              <w:spacing w:line="240" w:lineRule="auto"/>
              <w:ind w:firstLine="0" w:firstLineChars="0"/>
              <w:jc w:val="center"/>
              <w:textAlignment w:val="center"/>
              <w:rPr>
                <w:rFonts w:eastAsiaTheme="minorEastAsia"/>
                <w:sz w:val="21"/>
                <w:szCs w:val="21"/>
              </w:rPr>
            </w:pPr>
            <w:r>
              <w:rPr>
                <w:rFonts w:hint="eastAsia" w:eastAsiaTheme="minorEastAsia"/>
                <w:sz w:val="21"/>
                <w:szCs w:val="21"/>
              </w:rPr>
              <w:t>NNE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hint="eastAsia" w:eastAsiaTheme="minorEastAsia"/>
                <w:b/>
                <w:sz w:val="21"/>
                <w:szCs w:val="21"/>
              </w:rPr>
              <w:t>二月</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41.95</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14.37</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3.74</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1.87</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4.60</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3.45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2.73</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1.87</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3.88</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2.44</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1.01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0.86</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2.01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1.58</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3.45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9.77</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0.43</w:t>
            </w:r>
          </w:p>
        </w:tc>
        <w:tc>
          <w:tcPr>
            <w:tcW w:w="1455" w:type="dxa"/>
            <w:vAlign w:val="center"/>
          </w:tcPr>
          <w:p>
            <w:pPr>
              <w:spacing w:line="240" w:lineRule="auto"/>
              <w:ind w:firstLine="0" w:firstLineChars="0"/>
              <w:jc w:val="center"/>
              <w:textAlignment w:val="center"/>
              <w:rPr>
                <w:rFonts w:eastAsiaTheme="minorEastAsia"/>
                <w:sz w:val="21"/>
                <w:szCs w:val="21"/>
              </w:rPr>
            </w:pPr>
            <w:r>
              <w:rPr>
                <w:rFonts w:hint="eastAsia" w:eastAsiaTheme="minorEastAsia"/>
                <w:sz w:val="21"/>
                <w:szCs w:val="21"/>
              </w:rPr>
              <w:t>NNE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hint="eastAsia" w:eastAsiaTheme="minorEastAsia"/>
                <w:b/>
                <w:sz w:val="21"/>
                <w:szCs w:val="21"/>
              </w:rPr>
              <w:t>三月</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21.37</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9.41</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4.84</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4.70</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8.20</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4.57</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8.33</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6.45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5.78</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3.76</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3.76</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2.42</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3.23</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2.55</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3.90</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6.45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0.27</w:t>
            </w:r>
          </w:p>
        </w:tc>
        <w:tc>
          <w:tcPr>
            <w:tcW w:w="1455" w:type="dxa"/>
            <w:vAlign w:val="center"/>
          </w:tcPr>
          <w:p>
            <w:pPr>
              <w:spacing w:line="240" w:lineRule="auto"/>
              <w:ind w:firstLine="0" w:firstLineChars="0"/>
              <w:jc w:val="center"/>
              <w:textAlignment w:val="center"/>
              <w:rPr>
                <w:rFonts w:eastAsiaTheme="minorEastAsia"/>
                <w:sz w:val="21"/>
                <w:szCs w:val="21"/>
              </w:rPr>
            </w:pPr>
            <w:r>
              <w:rPr>
                <w:rFonts w:hint="eastAsia" w:eastAsiaTheme="minorEastAsia"/>
                <w:sz w:val="21"/>
                <w:szCs w:val="21"/>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hint="eastAsia" w:eastAsiaTheme="minorEastAsia"/>
                <w:b/>
                <w:sz w:val="21"/>
                <w:szCs w:val="21"/>
              </w:rPr>
              <w:t>四月</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10.14</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4.86</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2.64</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2.92</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6.81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6.81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13.06</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18.06</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14.03</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5.97</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1.67</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1.94</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3.06</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2.08</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2.78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3.19</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0.00</w:t>
            </w:r>
          </w:p>
        </w:tc>
        <w:tc>
          <w:tcPr>
            <w:tcW w:w="1455" w:type="dxa"/>
            <w:vAlign w:val="center"/>
          </w:tcPr>
          <w:p>
            <w:pPr>
              <w:spacing w:line="240" w:lineRule="auto"/>
              <w:ind w:firstLine="0" w:firstLineChars="0"/>
              <w:jc w:val="center"/>
              <w:textAlignment w:val="center"/>
              <w:rPr>
                <w:rFonts w:eastAsiaTheme="minorEastAsia"/>
                <w:sz w:val="21"/>
                <w:szCs w:val="21"/>
              </w:rPr>
            </w:pPr>
            <w:r>
              <w:rPr>
                <w:rFonts w:hint="eastAsia" w:eastAsiaTheme="minorEastAsia"/>
                <w:sz w:val="21"/>
                <w:szCs w:val="21"/>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hint="eastAsia" w:eastAsiaTheme="minorEastAsia"/>
                <w:b/>
                <w:sz w:val="21"/>
                <w:szCs w:val="21"/>
              </w:rPr>
              <w:t>五月</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11.96</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6.72</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3.49</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4.30</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10.48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5.38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7.39</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14.38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13.71</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6.72</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1.75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2.15</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3.09</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1.34</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2.02</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4.84</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0.27</w:t>
            </w:r>
          </w:p>
        </w:tc>
        <w:tc>
          <w:tcPr>
            <w:tcW w:w="1455" w:type="dxa"/>
            <w:vAlign w:val="center"/>
          </w:tcPr>
          <w:p>
            <w:pPr>
              <w:spacing w:line="240" w:lineRule="auto"/>
              <w:ind w:firstLine="0" w:firstLineChars="0"/>
              <w:jc w:val="center"/>
              <w:textAlignment w:val="center"/>
              <w:rPr>
                <w:rFonts w:eastAsiaTheme="minorEastAsia"/>
                <w:sz w:val="21"/>
                <w:szCs w:val="21"/>
              </w:rPr>
            </w:pPr>
            <w:r>
              <w:rPr>
                <w:rFonts w:hint="eastAsia" w:eastAsiaTheme="minorEastAsia"/>
                <w:sz w:val="21"/>
                <w:szCs w:val="21"/>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hint="eastAsia" w:eastAsiaTheme="minorEastAsia"/>
                <w:b/>
                <w:sz w:val="21"/>
                <w:szCs w:val="21"/>
              </w:rPr>
              <w:t>六月</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8.75</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5.28</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2.78</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1.39</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5.97</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4.17</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7.92</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8.61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24.44</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12.36</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3.75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3.47</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2.36</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1.39</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2.78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4.17</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0.42</w:t>
            </w:r>
          </w:p>
        </w:tc>
        <w:tc>
          <w:tcPr>
            <w:tcW w:w="1455" w:type="dxa"/>
            <w:vAlign w:val="center"/>
          </w:tcPr>
          <w:p>
            <w:pPr>
              <w:spacing w:line="240" w:lineRule="auto"/>
              <w:ind w:firstLine="0" w:firstLineChars="0"/>
              <w:jc w:val="center"/>
              <w:textAlignment w:val="center"/>
              <w:rPr>
                <w:rFonts w:eastAsiaTheme="minorEastAsia"/>
                <w:sz w:val="21"/>
                <w:szCs w:val="21"/>
              </w:rPr>
            </w:pPr>
            <w:r>
              <w:rPr>
                <w:rFonts w:hint="eastAsia" w:eastAsiaTheme="minorEastAsia"/>
                <w:sz w:val="21"/>
                <w:szCs w:val="21"/>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hint="eastAsia" w:eastAsiaTheme="minorEastAsia"/>
                <w:b/>
                <w:sz w:val="21"/>
                <w:szCs w:val="21"/>
              </w:rPr>
              <w:t>七月</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4.57</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3.76</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1.75</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2.96</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6.18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5.78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7.12</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10.35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18.95</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11.02</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6.18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6.32</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4.84</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3.76</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3.63</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2.69</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0.13</w:t>
            </w:r>
          </w:p>
        </w:tc>
        <w:tc>
          <w:tcPr>
            <w:tcW w:w="1455" w:type="dxa"/>
            <w:vAlign w:val="center"/>
          </w:tcPr>
          <w:p>
            <w:pPr>
              <w:spacing w:line="240" w:lineRule="auto"/>
              <w:ind w:firstLine="0" w:firstLineChars="0"/>
              <w:jc w:val="center"/>
              <w:textAlignment w:val="center"/>
              <w:rPr>
                <w:rFonts w:eastAsiaTheme="minorEastAsia"/>
                <w:sz w:val="21"/>
                <w:szCs w:val="21"/>
              </w:rPr>
            </w:pPr>
            <w:r>
              <w:rPr>
                <w:rFonts w:hint="eastAsia" w:eastAsiaTheme="minorEastAsia"/>
                <w:sz w:val="21"/>
                <w:szCs w:val="21"/>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hint="eastAsia" w:eastAsiaTheme="minorEastAsia"/>
                <w:b/>
                <w:sz w:val="21"/>
                <w:szCs w:val="21"/>
              </w:rPr>
              <w:t>八月</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10.35</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8.74</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4.30</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6.85</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9.68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4.30</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4.30</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3.63</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8.47</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6.32</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6.32</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5.11</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8.06</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4.30</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5.24</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4.03</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0.00</w:t>
            </w:r>
          </w:p>
        </w:tc>
        <w:tc>
          <w:tcPr>
            <w:tcW w:w="1455" w:type="dxa"/>
            <w:vAlign w:val="center"/>
          </w:tcPr>
          <w:p>
            <w:pPr>
              <w:spacing w:line="240" w:lineRule="auto"/>
              <w:ind w:firstLine="0" w:firstLineChars="0"/>
              <w:jc w:val="center"/>
              <w:textAlignment w:val="center"/>
              <w:rPr>
                <w:rFonts w:eastAsiaTheme="minorEastAsia"/>
                <w:sz w:val="21"/>
                <w:szCs w:val="21"/>
              </w:rPr>
            </w:pPr>
            <w:r>
              <w:rPr>
                <w:rFonts w:hint="eastAsia" w:eastAsiaTheme="minorEastAsia"/>
                <w:sz w:val="21"/>
                <w:szCs w:val="21"/>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hint="eastAsia" w:eastAsiaTheme="minorEastAsia"/>
                <w:b/>
                <w:sz w:val="21"/>
                <w:szCs w:val="21"/>
              </w:rPr>
              <w:t>九月</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24.17</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16.53</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6.53</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3.33</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6.53</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2.22</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1.67</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1.81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4.03</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3.75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3.19</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3.19</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3.89</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3.75</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6.11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9.31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0.00</w:t>
            </w:r>
          </w:p>
        </w:tc>
        <w:tc>
          <w:tcPr>
            <w:tcW w:w="1455" w:type="dxa"/>
            <w:vAlign w:val="center"/>
          </w:tcPr>
          <w:p>
            <w:pPr>
              <w:spacing w:line="240" w:lineRule="auto"/>
              <w:ind w:firstLine="0" w:firstLineChars="0"/>
              <w:jc w:val="center"/>
              <w:textAlignment w:val="center"/>
              <w:rPr>
                <w:rFonts w:eastAsiaTheme="minorEastAsia"/>
                <w:sz w:val="21"/>
                <w:szCs w:val="21"/>
              </w:rPr>
            </w:pPr>
            <w:r>
              <w:rPr>
                <w:rFonts w:hint="eastAsia" w:eastAsiaTheme="minorEastAsia"/>
                <w:sz w:val="21"/>
                <w:szCs w:val="21"/>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hint="eastAsia" w:eastAsiaTheme="minorEastAsia"/>
                <w:b/>
                <w:sz w:val="21"/>
                <w:szCs w:val="21"/>
              </w:rPr>
              <w:t>十月</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31.05</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20.03</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6.45</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4.30</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4.84</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1.21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2.82</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3.90</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1.75</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1.34</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1.34</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1.08</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2.69</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3.09</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4.84</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8.87</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0.40</w:t>
            </w:r>
          </w:p>
        </w:tc>
        <w:tc>
          <w:tcPr>
            <w:tcW w:w="1455" w:type="dxa"/>
            <w:vAlign w:val="center"/>
          </w:tcPr>
          <w:p>
            <w:pPr>
              <w:spacing w:line="240" w:lineRule="auto"/>
              <w:ind w:firstLine="0" w:firstLineChars="0"/>
              <w:jc w:val="center"/>
              <w:textAlignment w:val="center"/>
              <w:rPr>
                <w:rFonts w:eastAsiaTheme="minorEastAsia"/>
                <w:sz w:val="21"/>
                <w:szCs w:val="21"/>
              </w:rPr>
            </w:pPr>
            <w:r>
              <w:rPr>
                <w:rFonts w:hint="eastAsia" w:eastAsiaTheme="minorEastAsia"/>
                <w:sz w:val="21"/>
                <w:szCs w:val="21"/>
              </w:rPr>
              <w:t>NNE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hint="eastAsia" w:eastAsiaTheme="minorEastAsia"/>
                <w:b/>
                <w:sz w:val="21"/>
                <w:szCs w:val="21"/>
              </w:rPr>
              <w:t>十一月</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41.11</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15.00</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7.64</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3.61</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5.83</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2.36</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2.50</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1.39</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2.50</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1.11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1.11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2.50</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2.36</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0.83</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3.47</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6.39</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0.28</w:t>
            </w:r>
          </w:p>
        </w:tc>
        <w:tc>
          <w:tcPr>
            <w:tcW w:w="1455" w:type="dxa"/>
            <w:vAlign w:val="center"/>
          </w:tcPr>
          <w:p>
            <w:pPr>
              <w:spacing w:line="240" w:lineRule="auto"/>
              <w:ind w:firstLine="0" w:firstLineChars="0"/>
              <w:jc w:val="center"/>
              <w:textAlignment w:val="center"/>
              <w:rPr>
                <w:rFonts w:eastAsiaTheme="minorEastAsia"/>
                <w:sz w:val="21"/>
                <w:szCs w:val="21"/>
              </w:rPr>
            </w:pPr>
            <w:r>
              <w:rPr>
                <w:rFonts w:hint="eastAsia" w:eastAsiaTheme="minorEastAsia"/>
                <w:sz w:val="21"/>
                <w:szCs w:val="21"/>
              </w:rPr>
              <w:t>NNE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hint="eastAsia" w:eastAsiaTheme="minorEastAsia"/>
                <w:b/>
                <w:sz w:val="21"/>
                <w:szCs w:val="21"/>
              </w:rPr>
              <w:t>十二月</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36.42</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18.82</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5.11</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3.90</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5.38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2.15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1.34</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0.94</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2.42</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1.61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1.34</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1.75</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2.15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1.88</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3.36</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11.02</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0.40</w:t>
            </w:r>
          </w:p>
        </w:tc>
        <w:tc>
          <w:tcPr>
            <w:tcW w:w="1455" w:type="dxa"/>
            <w:vAlign w:val="center"/>
          </w:tcPr>
          <w:p>
            <w:pPr>
              <w:spacing w:line="240" w:lineRule="auto"/>
              <w:ind w:firstLine="0" w:firstLineChars="0"/>
              <w:jc w:val="center"/>
              <w:textAlignment w:val="center"/>
              <w:rPr>
                <w:rFonts w:eastAsiaTheme="minorEastAsia"/>
                <w:sz w:val="21"/>
                <w:szCs w:val="21"/>
              </w:rPr>
            </w:pPr>
            <w:r>
              <w:rPr>
                <w:rFonts w:hint="eastAsia" w:eastAsiaTheme="minorEastAsia"/>
                <w:sz w:val="21"/>
                <w:szCs w:val="21"/>
              </w:rPr>
              <w:t>NNE</w:t>
            </w:r>
          </w:p>
        </w:tc>
      </w:tr>
      <w:bookmarkEnd w:id="446"/>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全年</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23.01</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12.01</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4.57</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3.59</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6.69</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3.75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5.07</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6.02</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8.40</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4.75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2.78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2.66</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3.42</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2.39</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3.98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6.69</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0.23</w:t>
            </w:r>
          </w:p>
        </w:tc>
        <w:tc>
          <w:tcPr>
            <w:tcW w:w="1455" w:type="dxa"/>
            <w:vAlign w:val="center"/>
          </w:tcPr>
          <w:p>
            <w:pPr>
              <w:spacing w:line="240" w:lineRule="auto"/>
              <w:ind w:firstLine="0" w:firstLineChars="0"/>
              <w:jc w:val="center"/>
              <w:rPr>
                <w:rFonts w:eastAsiaTheme="minorEastAsia"/>
                <w:sz w:val="21"/>
                <w:szCs w:val="21"/>
              </w:rPr>
            </w:pPr>
            <w:r>
              <w:rPr>
                <w:rFonts w:hint="eastAsia" w:eastAsiaTheme="minorEastAsia"/>
                <w:sz w:val="21"/>
                <w:szCs w:val="21"/>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春季</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14.54</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7.02</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3.67</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3.99</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8.51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5.57</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9.56</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12.91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11.14</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5.48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2.40</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2.17</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3.13</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1.99</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2.90</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4.85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0.18</w:t>
            </w:r>
          </w:p>
        </w:tc>
        <w:tc>
          <w:tcPr>
            <w:tcW w:w="1455" w:type="dxa"/>
            <w:vAlign w:val="center"/>
          </w:tcPr>
          <w:p>
            <w:pPr>
              <w:spacing w:line="240" w:lineRule="auto"/>
              <w:ind w:firstLine="0" w:firstLineChars="0"/>
              <w:jc w:val="center"/>
              <w:rPr>
                <w:rFonts w:eastAsiaTheme="minorEastAsia"/>
                <w:sz w:val="21"/>
                <w:szCs w:val="21"/>
              </w:rPr>
            </w:pPr>
            <w:r>
              <w:rPr>
                <w:rFonts w:hint="eastAsia" w:eastAsiaTheme="minorEastAsia"/>
                <w:sz w:val="21"/>
                <w:szCs w:val="21"/>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夏季</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7.88</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5.93</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2.94</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3.76</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7.29</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4.76</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6.43</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7.52</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17.21</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9.87</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5.43</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4.98</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5.12</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3.17</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3.89</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3.62</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0.18</w:t>
            </w:r>
          </w:p>
        </w:tc>
        <w:tc>
          <w:tcPr>
            <w:tcW w:w="1455" w:type="dxa"/>
            <w:vAlign w:val="center"/>
          </w:tcPr>
          <w:p>
            <w:pPr>
              <w:spacing w:line="240" w:lineRule="auto"/>
              <w:ind w:firstLine="0" w:firstLineChars="0"/>
              <w:jc w:val="center"/>
              <w:rPr>
                <w:rFonts w:eastAsiaTheme="minorEastAsia"/>
                <w:sz w:val="21"/>
                <w:szCs w:val="21"/>
              </w:rPr>
            </w:pPr>
            <w:r>
              <w:rPr>
                <w:rFonts w:hint="eastAsia" w:eastAsiaTheme="minorEastAsia"/>
                <w:sz w:val="21"/>
                <w:szCs w:val="21"/>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秋季</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32.10</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17.22</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6.87</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3.75</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5.72</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1.92</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2.34</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2.38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2.75</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2.06</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1.88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2.24</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2.98</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2.56</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4.81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8.20</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0.23</w:t>
            </w:r>
          </w:p>
        </w:tc>
        <w:tc>
          <w:tcPr>
            <w:tcW w:w="1455" w:type="dxa"/>
            <w:vAlign w:val="center"/>
          </w:tcPr>
          <w:p>
            <w:pPr>
              <w:spacing w:line="240" w:lineRule="auto"/>
              <w:ind w:firstLine="0" w:firstLineChars="0"/>
              <w:jc w:val="center"/>
              <w:rPr>
                <w:rFonts w:eastAsiaTheme="minorEastAsia"/>
                <w:sz w:val="21"/>
                <w:szCs w:val="21"/>
              </w:rPr>
            </w:pPr>
            <w:r>
              <w:rPr>
                <w:rFonts w:hint="eastAsia" w:eastAsiaTheme="minorEastAsia"/>
                <w:sz w:val="21"/>
                <w:szCs w:val="21"/>
              </w:rPr>
              <w:t>NNE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918" w:type="dxa"/>
            <w:vAlign w:val="center"/>
          </w:tcPr>
          <w:p>
            <w:pPr>
              <w:spacing w:line="240" w:lineRule="auto"/>
              <w:ind w:firstLine="0" w:firstLineChars="0"/>
              <w:jc w:val="center"/>
              <w:textAlignment w:val="center"/>
              <w:rPr>
                <w:rFonts w:eastAsiaTheme="minorEastAsia"/>
                <w:b/>
                <w:sz w:val="21"/>
                <w:szCs w:val="21"/>
              </w:rPr>
            </w:pPr>
            <w:r>
              <w:rPr>
                <w:rFonts w:eastAsiaTheme="minorEastAsia"/>
                <w:b/>
                <w:sz w:val="21"/>
                <w:szCs w:val="21"/>
              </w:rPr>
              <w:t>冬季</w:t>
            </w:r>
          </w:p>
        </w:tc>
        <w:tc>
          <w:tcPr>
            <w:tcW w:w="751"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37.77</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17.99</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4.81</w:t>
            </w:r>
          </w:p>
        </w:tc>
        <w:tc>
          <w:tcPr>
            <w:tcW w:w="753"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2.84</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5.22</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2.70</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1.88</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1.19</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2.38</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1.51</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1.37</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1.24</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2.43</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1.83</w:t>
            </w:r>
          </w:p>
        </w:tc>
        <w:tc>
          <w:tcPr>
            <w:tcW w:w="750"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4.35</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10.16</w:t>
            </w:r>
          </w:p>
        </w:tc>
        <w:tc>
          <w:tcPr>
            <w:tcW w:w="752" w:type="dxa"/>
          </w:tcPr>
          <w:p>
            <w:pPr>
              <w:spacing w:line="240" w:lineRule="auto"/>
              <w:ind w:firstLine="0" w:firstLineChars="0"/>
              <w:jc w:val="center"/>
              <w:textAlignment w:val="center"/>
              <w:rPr>
                <w:rFonts w:eastAsiaTheme="minorEastAsia"/>
                <w:sz w:val="21"/>
                <w:szCs w:val="21"/>
              </w:rPr>
            </w:pPr>
            <w:r>
              <w:rPr>
                <w:rFonts w:eastAsiaTheme="minorEastAsia"/>
                <w:sz w:val="21"/>
                <w:szCs w:val="21"/>
              </w:rPr>
              <w:t>0.32</w:t>
            </w:r>
          </w:p>
        </w:tc>
        <w:tc>
          <w:tcPr>
            <w:tcW w:w="1455" w:type="dxa"/>
            <w:vAlign w:val="center"/>
          </w:tcPr>
          <w:p>
            <w:pPr>
              <w:spacing w:line="240" w:lineRule="auto"/>
              <w:ind w:firstLine="0" w:firstLineChars="0"/>
              <w:jc w:val="center"/>
              <w:rPr>
                <w:rFonts w:eastAsiaTheme="minorEastAsia"/>
                <w:sz w:val="21"/>
                <w:szCs w:val="21"/>
              </w:rPr>
            </w:pPr>
            <w:r>
              <w:rPr>
                <w:rFonts w:hint="eastAsia" w:eastAsiaTheme="minorEastAsia"/>
                <w:sz w:val="21"/>
                <w:szCs w:val="21"/>
              </w:rPr>
              <w:t>NNE</w:t>
            </w:r>
          </w:p>
        </w:tc>
      </w:tr>
    </w:tbl>
    <w:p>
      <w:pPr>
        <w:pStyle w:val="107"/>
      </w:pPr>
    </w:p>
    <w:p>
      <w:pPr>
        <w:ind w:firstLine="480"/>
        <w:rPr>
          <w:rFonts w:cstheme="minorBidi"/>
        </w:rPr>
      </w:pPr>
      <w:r>
        <w:br w:type="page"/>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7</w:t>
      </w:r>
      <w:r>
        <w:fldChar w:fldCharType="end"/>
      </w:r>
      <w:r>
        <w:t xml:space="preserve"> </w:t>
      </w:r>
      <w:r>
        <w:rPr>
          <w:rFonts w:hint="eastAsia"/>
        </w:rPr>
        <w:t>201</w:t>
      </w:r>
      <w:r>
        <w:t>7</w:t>
      </w:r>
      <w:r>
        <w:rPr>
          <w:rFonts w:hint="eastAsia"/>
        </w:rPr>
        <w:t>年开平市气象站月、季各风向风速统计（m/s）</w:t>
      </w:r>
    </w:p>
    <w:tbl>
      <w:tblPr>
        <w:tblStyle w:val="56"/>
        <w:tblW w:w="151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15"/>
        <w:gridCol w:w="830"/>
        <w:gridCol w:w="833"/>
        <w:gridCol w:w="830"/>
        <w:gridCol w:w="833"/>
        <w:gridCol w:w="830"/>
        <w:gridCol w:w="833"/>
        <w:gridCol w:w="833"/>
        <w:gridCol w:w="830"/>
        <w:gridCol w:w="833"/>
        <w:gridCol w:w="830"/>
        <w:gridCol w:w="833"/>
        <w:gridCol w:w="833"/>
        <w:gridCol w:w="830"/>
        <w:gridCol w:w="833"/>
        <w:gridCol w:w="830"/>
        <w:gridCol w:w="833"/>
        <w:gridCol w:w="8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风向</w:t>
            </w:r>
          </w:p>
        </w:tc>
        <w:tc>
          <w:tcPr>
            <w:tcW w:w="830" w:type="dxa"/>
            <w:vAlign w:val="center"/>
          </w:tcPr>
          <w:p>
            <w:pPr>
              <w:pStyle w:val="107"/>
              <w:rPr>
                <w:b/>
              </w:rPr>
            </w:pPr>
            <w:r>
              <w:rPr>
                <w:b/>
              </w:rPr>
              <w:t>N</w:t>
            </w:r>
          </w:p>
        </w:tc>
        <w:tc>
          <w:tcPr>
            <w:tcW w:w="833" w:type="dxa"/>
            <w:vAlign w:val="center"/>
          </w:tcPr>
          <w:p>
            <w:pPr>
              <w:pStyle w:val="107"/>
              <w:rPr>
                <w:b/>
              </w:rPr>
            </w:pPr>
            <w:r>
              <w:rPr>
                <w:b/>
              </w:rPr>
              <w:t>NNE</w:t>
            </w:r>
          </w:p>
        </w:tc>
        <w:tc>
          <w:tcPr>
            <w:tcW w:w="830" w:type="dxa"/>
            <w:vAlign w:val="center"/>
          </w:tcPr>
          <w:p>
            <w:pPr>
              <w:pStyle w:val="107"/>
              <w:rPr>
                <w:b/>
              </w:rPr>
            </w:pPr>
            <w:r>
              <w:rPr>
                <w:b/>
              </w:rPr>
              <w:t>NE</w:t>
            </w:r>
          </w:p>
        </w:tc>
        <w:tc>
          <w:tcPr>
            <w:tcW w:w="833" w:type="dxa"/>
            <w:vAlign w:val="center"/>
          </w:tcPr>
          <w:p>
            <w:pPr>
              <w:pStyle w:val="107"/>
              <w:rPr>
                <w:b/>
              </w:rPr>
            </w:pPr>
            <w:r>
              <w:rPr>
                <w:b/>
              </w:rPr>
              <w:t>ENE</w:t>
            </w:r>
          </w:p>
        </w:tc>
        <w:tc>
          <w:tcPr>
            <w:tcW w:w="830" w:type="dxa"/>
            <w:vAlign w:val="center"/>
          </w:tcPr>
          <w:p>
            <w:pPr>
              <w:pStyle w:val="107"/>
              <w:rPr>
                <w:b/>
              </w:rPr>
            </w:pPr>
            <w:r>
              <w:rPr>
                <w:b/>
              </w:rPr>
              <w:t>E</w:t>
            </w:r>
          </w:p>
        </w:tc>
        <w:tc>
          <w:tcPr>
            <w:tcW w:w="833" w:type="dxa"/>
            <w:vAlign w:val="center"/>
          </w:tcPr>
          <w:p>
            <w:pPr>
              <w:pStyle w:val="107"/>
              <w:rPr>
                <w:b/>
              </w:rPr>
            </w:pPr>
            <w:r>
              <w:rPr>
                <w:b/>
              </w:rPr>
              <w:t>ESE</w:t>
            </w:r>
          </w:p>
        </w:tc>
        <w:tc>
          <w:tcPr>
            <w:tcW w:w="833" w:type="dxa"/>
            <w:vAlign w:val="center"/>
          </w:tcPr>
          <w:p>
            <w:pPr>
              <w:pStyle w:val="107"/>
              <w:rPr>
                <w:b/>
              </w:rPr>
            </w:pPr>
            <w:r>
              <w:rPr>
                <w:b/>
              </w:rPr>
              <w:t>SE</w:t>
            </w:r>
          </w:p>
        </w:tc>
        <w:tc>
          <w:tcPr>
            <w:tcW w:w="830" w:type="dxa"/>
            <w:vAlign w:val="center"/>
          </w:tcPr>
          <w:p>
            <w:pPr>
              <w:pStyle w:val="107"/>
              <w:rPr>
                <w:b/>
              </w:rPr>
            </w:pPr>
            <w:r>
              <w:rPr>
                <w:b/>
              </w:rPr>
              <w:t>SSE</w:t>
            </w:r>
          </w:p>
        </w:tc>
        <w:tc>
          <w:tcPr>
            <w:tcW w:w="833" w:type="dxa"/>
            <w:vAlign w:val="center"/>
          </w:tcPr>
          <w:p>
            <w:pPr>
              <w:pStyle w:val="107"/>
              <w:rPr>
                <w:b/>
              </w:rPr>
            </w:pPr>
            <w:r>
              <w:rPr>
                <w:b/>
              </w:rPr>
              <w:t>S</w:t>
            </w:r>
          </w:p>
        </w:tc>
        <w:tc>
          <w:tcPr>
            <w:tcW w:w="830" w:type="dxa"/>
            <w:vAlign w:val="center"/>
          </w:tcPr>
          <w:p>
            <w:pPr>
              <w:pStyle w:val="107"/>
              <w:rPr>
                <w:b/>
              </w:rPr>
            </w:pPr>
            <w:r>
              <w:rPr>
                <w:b/>
              </w:rPr>
              <w:t>SSW</w:t>
            </w:r>
          </w:p>
        </w:tc>
        <w:tc>
          <w:tcPr>
            <w:tcW w:w="833" w:type="dxa"/>
            <w:vAlign w:val="center"/>
          </w:tcPr>
          <w:p>
            <w:pPr>
              <w:pStyle w:val="107"/>
              <w:rPr>
                <w:b/>
              </w:rPr>
            </w:pPr>
            <w:r>
              <w:rPr>
                <w:b/>
              </w:rPr>
              <w:t>SW</w:t>
            </w:r>
          </w:p>
        </w:tc>
        <w:tc>
          <w:tcPr>
            <w:tcW w:w="833" w:type="dxa"/>
            <w:vAlign w:val="center"/>
          </w:tcPr>
          <w:p>
            <w:pPr>
              <w:pStyle w:val="107"/>
              <w:rPr>
                <w:b/>
              </w:rPr>
            </w:pPr>
            <w:r>
              <w:rPr>
                <w:b/>
              </w:rPr>
              <w:t>WSW</w:t>
            </w:r>
          </w:p>
        </w:tc>
        <w:tc>
          <w:tcPr>
            <w:tcW w:w="830" w:type="dxa"/>
            <w:vAlign w:val="center"/>
          </w:tcPr>
          <w:p>
            <w:pPr>
              <w:pStyle w:val="107"/>
              <w:rPr>
                <w:b/>
              </w:rPr>
            </w:pPr>
            <w:r>
              <w:rPr>
                <w:b/>
              </w:rPr>
              <w:t>W</w:t>
            </w:r>
          </w:p>
        </w:tc>
        <w:tc>
          <w:tcPr>
            <w:tcW w:w="833" w:type="dxa"/>
            <w:vAlign w:val="center"/>
          </w:tcPr>
          <w:p>
            <w:pPr>
              <w:pStyle w:val="107"/>
              <w:rPr>
                <w:b/>
              </w:rPr>
            </w:pPr>
            <w:r>
              <w:rPr>
                <w:b/>
              </w:rPr>
              <w:t>WNW</w:t>
            </w:r>
          </w:p>
        </w:tc>
        <w:tc>
          <w:tcPr>
            <w:tcW w:w="830" w:type="dxa"/>
            <w:vAlign w:val="center"/>
          </w:tcPr>
          <w:p>
            <w:pPr>
              <w:pStyle w:val="107"/>
              <w:rPr>
                <w:b/>
              </w:rPr>
            </w:pPr>
            <w:r>
              <w:rPr>
                <w:b/>
              </w:rPr>
              <w:t>NW</w:t>
            </w:r>
          </w:p>
        </w:tc>
        <w:tc>
          <w:tcPr>
            <w:tcW w:w="833" w:type="dxa"/>
            <w:vAlign w:val="center"/>
          </w:tcPr>
          <w:p>
            <w:pPr>
              <w:pStyle w:val="107"/>
              <w:rPr>
                <w:b/>
              </w:rPr>
            </w:pPr>
            <w:r>
              <w:rPr>
                <w:b/>
              </w:rPr>
              <w:t>NNW</w:t>
            </w:r>
          </w:p>
        </w:tc>
        <w:tc>
          <w:tcPr>
            <w:tcW w:w="824" w:type="dxa"/>
            <w:vAlign w:val="center"/>
          </w:tcPr>
          <w:p>
            <w:pPr>
              <w:pStyle w:val="107"/>
              <w:rPr>
                <w:b/>
              </w:rPr>
            </w:pPr>
            <w:r>
              <w:rPr>
                <w:b/>
              </w:rPr>
              <w:t>平均</w:t>
            </w:r>
          </w:p>
        </w:tc>
      </w:tr>
      <w:tr>
        <w:tblPrEx>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一月</w:t>
            </w:r>
          </w:p>
        </w:tc>
        <w:tc>
          <w:tcPr>
            <w:tcW w:w="830" w:type="dxa"/>
          </w:tcPr>
          <w:p>
            <w:pPr>
              <w:pStyle w:val="107"/>
            </w:pPr>
            <w:r>
              <w:t>2.38</w:t>
            </w:r>
          </w:p>
        </w:tc>
        <w:tc>
          <w:tcPr>
            <w:tcW w:w="833" w:type="dxa"/>
          </w:tcPr>
          <w:p>
            <w:pPr>
              <w:pStyle w:val="107"/>
            </w:pPr>
            <w:r>
              <w:t>2.56</w:t>
            </w:r>
          </w:p>
        </w:tc>
        <w:tc>
          <w:tcPr>
            <w:tcW w:w="830" w:type="dxa"/>
          </w:tcPr>
          <w:p>
            <w:pPr>
              <w:pStyle w:val="107"/>
            </w:pPr>
            <w:r>
              <w:t>2.13</w:t>
            </w:r>
          </w:p>
        </w:tc>
        <w:tc>
          <w:tcPr>
            <w:tcW w:w="833" w:type="dxa"/>
          </w:tcPr>
          <w:p>
            <w:pPr>
              <w:pStyle w:val="107"/>
            </w:pPr>
            <w:r>
              <w:t>2.05</w:t>
            </w:r>
          </w:p>
        </w:tc>
        <w:tc>
          <w:tcPr>
            <w:tcW w:w="830" w:type="dxa"/>
          </w:tcPr>
          <w:p>
            <w:pPr>
              <w:pStyle w:val="107"/>
            </w:pPr>
            <w:r>
              <w:t>2.03</w:t>
            </w:r>
          </w:p>
        </w:tc>
        <w:tc>
          <w:tcPr>
            <w:tcW w:w="833" w:type="dxa"/>
          </w:tcPr>
          <w:p>
            <w:pPr>
              <w:pStyle w:val="107"/>
            </w:pPr>
            <w:r>
              <w:t>1.42</w:t>
            </w:r>
          </w:p>
        </w:tc>
        <w:tc>
          <w:tcPr>
            <w:tcW w:w="833" w:type="dxa"/>
          </w:tcPr>
          <w:p>
            <w:pPr>
              <w:pStyle w:val="107"/>
            </w:pPr>
            <w:r>
              <w:t>1.47</w:t>
            </w:r>
          </w:p>
        </w:tc>
        <w:tc>
          <w:tcPr>
            <w:tcW w:w="830" w:type="dxa"/>
          </w:tcPr>
          <w:p>
            <w:pPr>
              <w:pStyle w:val="107"/>
            </w:pPr>
            <w:r>
              <w:t>1.18</w:t>
            </w:r>
          </w:p>
        </w:tc>
        <w:tc>
          <w:tcPr>
            <w:tcW w:w="833" w:type="dxa"/>
          </w:tcPr>
          <w:p>
            <w:pPr>
              <w:pStyle w:val="107"/>
            </w:pPr>
            <w:r>
              <w:t>1.03</w:t>
            </w:r>
          </w:p>
        </w:tc>
        <w:tc>
          <w:tcPr>
            <w:tcW w:w="830" w:type="dxa"/>
          </w:tcPr>
          <w:p>
            <w:pPr>
              <w:pStyle w:val="107"/>
            </w:pPr>
            <w:r>
              <w:t>1.00</w:t>
            </w:r>
          </w:p>
        </w:tc>
        <w:tc>
          <w:tcPr>
            <w:tcW w:w="833" w:type="dxa"/>
          </w:tcPr>
          <w:p>
            <w:pPr>
              <w:pStyle w:val="107"/>
            </w:pPr>
            <w:r>
              <w:t>1.07</w:t>
            </w:r>
          </w:p>
        </w:tc>
        <w:tc>
          <w:tcPr>
            <w:tcW w:w="833" w:type="dxa"/>
          </w:tcPr>
          <w:p>
            <w:pPr>
              <w:pStyle w:val="107"/>
            </w:pPr>
            <w:r>
              <w:t>1.23</w:t>
            </w:r>
          </w:p>
        </w:tc>
        <w:tc>
          <w:tcPr>
            <w:tcW w:w="830" w:type="dxa"/>
          </w:tcPr>
          <w:p>
            <w:pPr>
              <w:pStyle w:val="107"/>
            </w:pPr>
            <w:r>
              <w:t>1.16</w:t>
            </w:r>
          </w:p>
        </w:tc>
        <w:tc>
          <w:tcPr>
            <w:tcW w:w="833" w:type="dxa"/>
          </w:tcPr>
          <w:p>
            <w:pPr>
              <w:pStyle w:val="107"/>
            </w:pPr>
            <w:r>
              <w:t>1.29</w:t>
            </w:r>
          </w:p>
        </w:tc>
        <w:tc>
          <w:tcPr>
            <w:tcW w:w="830" w:type="dxa"/>
          </w:tcPr>
          <w:p>
            <w:pPr>
              <w:pStyle w:val="107"/>
            </w:pPr>
            <w:r>
              <w:t>1.85</w:t>
            </w:r>
          </w:p>
        </w:tc>
        <w:tc>
          <w:tcPr>
            <w:tcW w:w="833" w:type="dxa"/>
          </w:tcPr>
          <w:p>
            <w:pPr>
              <w:pStyle w:val="107"/>
            </w:pPr>
            <w:r>
              <w:t>1.94</w:t>
            </w:r>
          </w:p>
        </w:tc>
        <w:tc>
          <w:tcPr>
            <w:tcW w:w="824" w:type="dxa"/>
          </w:tcPr>
          <w:p>
            <w:pPr>
              <w:pStyle w:val="107"/>
            </w:pPr>
            <w:r>
              <w:t>2.13</w:t>
            </w:r>
          </w:p>
        </w:tc>
      </w:tr>
      <w:tr>
        <w:tblPrEx>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二月</w:t>
            </w:r>
          </w:p>
        </w:tc>
        <w:tc>
          <w:tcPr>
            <w:tcW w:w="830" w:type="dxa"/>
          </w:tcPr>
          <w:p>
            <w:pPr>
              <w:pStyle w:val="107"/>
            </w:pPr>
            <w:r>
              <w:t>2.39</w:t>
            </w:r>
          </w:p>
        </w:tc>
        <w:tc>
          <w:tcPr>
            <w:tcW w:w="833" w:type="dxa"/>
          </w:tcPr>
          <w:p>
            <w:pPr>
              <w:pStyle w:val="107"/>
            </w:pPr>
            <w:r>
              <w:t>2.66</w:t>
            </w:r>
          </w:p>
        </w:tc>
        <w:tc>
          <w:tcPr>
            <w:tcW w:w="830" w:type="dxa"/>
          </w:tcPr>
          <w:p>
            <w:pPr>
              <w:pStyle w:val="107"/>
            </w:pPr>
            <w:r>
              <w:t>2.13</w:t>
            </w:r>
          </w:p>
        </w:tc>
        <w:tc>
          <w:tcPr>
            <w:tcW w:w="833" w:type="dxa"/>
          </w:tcPr>
          <w:p>
            <w:pPr>
              <w:pStyle w:val="107"/>
            </w:pPr>
            <w:r>
              <w:t>2.05</w:t>
            </w:r>
          </w:p>
        </w:tc>
        <w:tc>
          <w:tcPr>
            <w:tcW w:w="830" w:type="dxa"/>
          </w:tcPr>
          <w:p>
            <w:pPr>
              <w:pStyle w:val="107"/>
            </w:pPr>
            <w:r>
              <w:t>2.23</w:t>
            </w:r>
          </w:p>
        </w:tc>
        <w:tc>
          <w:tcPr>
            <w:tcW w:w="833" w:type="dxa"/>
          </w:tcPr>
          <w:p>
            <w:pPr>
              <w:pStyle w:val="107"/>
            </w:pPr>
            <w:r>
              <w:t>1.72</w:t>
            </w:r>
          </w:p>
        </w:tc>
        <w:tc>
          <w:tcPr>
            <w:tcW w:w="833" w:type="dxa"/>
          </w:tcPr>
          <w:p>
            <w:pPr>
              <w:pStyle w:val="107"/>
            </w:pPr>
            <w:r>
              <w:t>1.66</w:t>
            </w:r>
          </w:p>
        </w:tc>
        <w:tc>
          <w:tcPr>
            <w:tcW w:w="830" w:type="dxa"/>
          </w:tcPr>
          <w:p>
            <w:pPr>
              <w:pStyle w:val="107"/>
            </w:pPr>
            <w:r>
              <w:t>2.25</w:t>
            </w:r>
          </w:p>
        </w:tc>
        <w:tc>
          <w:tcPr>
            <w:tcW w:w="833" w:type="dxa"/>
          </w:tcPr>
          <w:p>
            <w:pPr>
              <w:pStyle w:val="107"/>
            </w:pPr>
            <w:r>
              <w:t>2.37</w:t>
            </w:r>
          </w:p>
        </w:tc>
        <w:tc>
          <w:tcPr>
            <w:tcW w:w="830" w:type="dxa"/>
          </w:tcPr>
          <w:p>
            <w:pPr>
              <w:pStyle w:val="107"/>
            </w:pPr>
            <w:r>
              <w:t>3.06</w:t>
            </w:r>
          </w:p>
        </w:tc>
        <w:tc>
          <w:tcPr>
            <w:tcW w:w="833" w:type="dxa"/>
          </w:tcPr>
          <w:p>
            <w:pPr>
              <w:pStyle w:val="107"/>
            </w:pPr>
            <w:r>
              <w:t>1.67</w:t>
            </w:r>
          </w:p>
        </w:tc>
        <w:tc>
          <w:tcPr>
            <w:tcW w:w="833" w:type="dxa"/>
          </w:tcPr>
          <w:p>
            <w:pPr>
              <w:pStyle w:val="107"/>
            </w:pPr>
            <w:r>
              <w:t>1.12</w:t>
            </w:r>
          </w:p>
        </w:tc>
        <w:tc>
          <w:tcPr>
            <w:tcW w:w="830" w:type="dxa"/>
          </w:tcPr>
          <w:p>
            <w:pPr>
              <w:pStyle w:val="107"/>
            </w:pPr>
            <w:r>
              <w:t>1.11</w:t>
            </w:r>
          </w:p>
        </w:tc>
        <w:tc>
          <w:tcPr>
            <w:tcW w:w="833" w:type="dxa"/>
          </w:tcPr>
          <w:p>
            <w:pPr>
              <w:pStyle w:val="107"/>
            </w:pPr>
            <w:r>
              <w:t>1.09</w:t>
            </w:r>
          </w:p>
        </w:tc>
        <w:tc>
          <w:tcPr>
            <w:tcW w:w="830" w:type="dxa"/>
          </w:tcPr>
          <w:p>
            <w:pPr>
              <w:pStyle w:val="107"/>
            </w:pPr>
            <w:r>
              <w:t>1.70</w:t>
            </w:r>
          </w:p>
        </w:tc>
        <w:tc>
          <w:tcPr>
            <w:tcW w:w="833" w:type="dxa"/>
          </w:tcPr>
          <w:p>
            <w:pPr>
              <w:pStyle w:val="107"/>
            </w:pPr>
            <w:r>
              <w:t>2.28</w:t>
            </w:r>
          </w:p>
        </w:tc>
        <w:tc>
          <w:tcPr>
            <w:tcW w:w="824" w:type="dxa"/>
          </w:tcPr>
          <w:p>
            <w:pPr>
              <w:pStyle w:val="107"/>
            </w:pPr>
            <w:r>
              <w:t>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三月</w:t>
            </w:r>
          </w:p>
        </w:tc>
        <w:tc>
          <w:tcPr>
            <w:tcW w:w="830" w:type="dxa"/>
          </w:tcPr>
          <w:p>
            <w:pPr>
              <w:pStyle w:val="107"/>
            </w:pPr>
            <w:r>
              <w:t>2.03</w:t>
            </w:r>
          </w:p>
        </w:tc>
        <w:tc>
          <w:tcPr>
            <w:tcW w:w="833" w:type="dxa"/>
          </w:tcPr>
          <w:p>
            <w:pPr>
              <w:pStyle w:val="107"/>
            </w:pPr>
            <w:r>
              <w:t>2.07</w:t>
            </w:r>
          </w:p>
        </w:tc>
        <w:tc>
          <w:tcPr>
            <w:tcW w:w="830" w:type="dxa"/>
          </w:tcPr>
          <w:p>
            <w:pPr>
              <w:pStyle w:val="107"/>
            </w:pPr>
            <w:r>
              <w:t>1.83</w:t>
            </w:r>
          </w:p>
        </w:tc>
        <w:tc>
          <w:tcPr>
            <w:tcW w:w="833" w:type="dxa"/>
          </w:tcPr>
          <w:p>
            <w:pPr>
              <w:pStyle w:val="107"/>
            </w:pPr>
            <w:r>
              <w:t>1.65</w:t>
            </w:r>
          </w:p>
        </w:tc>
        <w:tc>
          <w:tcPr>
            <w:tcW w:w="830" w:type="dxa"/>
          </w:tcPr>
          <w:p>
            <w:pPr>
              <w:pStyle w:val="107"/>
            </w:pPr>
            <w:r>
              <w:t>2.05</w:t>
            </w:r>
          </w:p>
        </w:tc>
        <w:tc>
          <w:tcPr>
            <w:tcW w:w="833" w:type="dxa"/>
          </w:tcPr>
          <w:p>
            <w:pPr>
              <w:pStyle w:val="107"/>
            </w:pPr>
            <w:r>
              <w:t>1.73</w:t>
            </w:r>
          </w:p>
        </w:tc>
        <w:tc>
          <w:tcPr>
            <w:tcW w:w="833" w:type="dxa"/>
          </w:tcPr>
          <w:p>
            <w:pPr>
              <w:pStyle w:val="107"/>
            </w:pPr>
            <w:r>
              <w:t>2.13</w:t>
            </w:r>
          </w:p>
        </w:tc>
        <w:tc>
          <w:tcPr>
            <w:tcW w:w="830" w:type="dxa"/>
          </w:tcPr>
          <w:p>
            <w:pPr>
              <w:pStyle w:val="107"/>
            </w:pPr>
            <w:r>
              <w:t>2.62</w:t>
            </w:r>
          </w:p>
        </w:tc>
        <w:tc>
          <w:tcPr>
            <w:tcW w:w="833" w:type="dxa"/>
          </w:tcPr>
          <w:p>
            <w:pPr>
              <w:pStyle w:val="107"/>
            </w:pPr>
            <w:r>
              <w:t>1.77</w:t>
            </w:r>
          </w:p>
        </w:tc>
        <w:tc>
          <w:tcPr>
            <w:tcW w:w="830" w:type="dxa"/>
          </w:tcPr>
          <w:p>
            <w:pPr>
              <w:pStyle w:val="107"/>
            </w:pPr>
            <w:r>
              <w:t>1.41</w:t>
            </w:r>
          </w:p>
        </w:tc>
        <w:tc>
          <w:tcPr>
            <w:tcW w:w="833" w:type="dxa"/>
          </w:tcPr>
          <w:p>
            <w:pPr>
              <w:pStyle w:val="107"/>
            </w:pPr>
            <w:r>
              <w:t>1.25</w:t>
            </w:r>
          </w:p>
        </w:tc>
        <w:tc>
          <w:tcPr>
            <w:tcW w:w="833" w:type="dxa"/>
          </w:tcPr>
          <w:p>
            <w:pPr>
              <w:pStyle w:val="107"/>
            </w:pPr>
            <w:r>
              <w:t>1.03</w:t>
            </w:r>
          </w:p>
        </w:tc>
        <w:tc>
          <w:tcPr>
            <w:tcW w:w="830" w:type="dxa"/>
          </w:tcPr>
          <w:p>
            <w:pPr>
              <w:pStyle w:val="107"/>
            </w:pPr>
            <w:r>
              <w:t>0.95</w:t>
            </w:r>
          </w:p>
        </w:tc>
        <w:tc>
          <w:tcPr>
            <w:tcW w:w="833" w:type="dxa"/>
          </w:tcPr>
          <w:p>
            <w:pPr>
              <w:pStyle w:val="107"/>
            </w:pPr>
            <w:r>
              <w:t>1.00</w:t>
            </w:r>
          </w:p>
        </w:tc>
        <w:tc>
          <w:tcPr>
            <w:tcW w:w="830" w:type="dxa"/>
          </w:tcPr>
          <w:p>
            <w:pPr>
              <w:pStyle w:val="107"/>
            </w:pPr>
            <w:r>
              <w:t>1.34</w:t>
            </w:r>
          </w:p>
        </w:tc>
        <w:tc>
          <w:tcPr>
            <w:tcW w:w="833" w:type="dxa"/>
          </w:tcPr>
          <w:p>
            <w:pPr>
              <w:pStyle w:val="107"/>
            </w:pPr>
            <w:r>
              <w:t>1.78</w:t>
            </w:r>
          </w:p>
        </w:tc>
        <w:tc>
          <w:tcPr>
            <w:tcW w:w="824" w:type="dxa"/>
          </w:tcPr>
          <w:p>
            <w:pPr>
              <w:pStyle w:val="107"/>
            </w:pPr>
            <w:r>
              <w:t>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四月</w:t>
            </w:r>
          </w:p>
        </w:tc>
        <w:tc>
          <w:tcPr>
            <w:tcW w:w="830" w:type="dxa"/>
          </w:tcPr>
          <w:p>
            <w:pPr>
              <w:pStyle w:val="107"/>
            </w:pPr>
            <w:r>
              <w:t>1.56</w:t>
            </w:r>
          </w:p>
        </w:tc>
        <w:tc>
          <w:tcPr>
            <w:tcW w:w="833" w:type="dxa"/>
          </w:tcPr>
          <w:p>
            <w:pPr>
              <w:pStyle w:val="107"/>
            </w:pPr>
            <w:r>
              <w:t>1.45</w:t>
            </w:r>
          </w:p>
        </w:tc>
        <w:tc>
          <w:tcPr>
            <w:tcW w:w="830" w:type="dxa"/>
          </w:tcPr>
          <w:p>
            <w:pPr>
              <w:pStyle w:val="107"/>
            </w:pPr>
            <w:r>
              <w:t>1.40</w:t>
            </w:r>
          </w:p>
        </w:tc>
        <w:tc>
          <w:tcPr>
            <w:tcW w:w="833" w:type="dxa"/>
          </w:tcPr>
          <w:p>
            <w:pPr>
              <w:pStyle w:val="107"/>
            </w:pPr>
            <w:r>
              <w:t>1.37</w:t>
            </w:r>
          </w:p>
        </w:tc>
        <w:tc>
          <w:tcPr>
            <w:tcW w:w="830" w:type="dxa"/>
          </w:tcPr>
          <w:p>
            <w:pPr>
              <w:pStyle w:val="107"/>
            </w:pPr>
            <w:r>
              <w:t>1.71</w:t>
            </w:r>
          </w:p>
        </w:tc>
        <w:tc>
          <w:tcPr>
            <w:tcW w:w="833" w:type="dxa"/>
          </w:tcPr>
          <w:p>
            <w:pPr>
              <w:pStyle w:val="107"/>
            </w:pPr>
            <w:r>
              <w:t>1.88</w:t>
            </w:r>
          </w:p>
        </w:tc>
        <w:tc>
          <w:tcPr>
            <w:tcW w:w="833" w:type="dxa"/>
          </w:tcPr>
          <w:p>
            <w:pPr>
              <w:pStyle w:val="107"/>
            </w:pPr>
            <w:r>
              <w:t>2.27</w:t>
            </w:r>
          </w:p>
        </w:tc>
        <w:tc>
          <w:tcPr>
            <w:tcW w:w="830" w:type="dxa"/>
          </w:tcPr>
          <w:p>
            <w:pPr>
              <w:pStyle w:val="107"/>
            </w:pPr>
            <w:r>
              <w:t>2.89</w:t>
            </w:r>
          </w:p>
        </w:tc>
        <w:tc>
          <w:tcPr>
            <w:tcW w:w="833" w:type="dxa"/>
          </w:tcPr>
          <w:p>
            <w:pPr>
              <w:pStyle w:val="107"/>
            </w:pPr>
            <w:r>
              <w:t>2.94</w:t>
            </w:r>
          </w:p>
        </w:tc>
        <w:tc>
          <w:tcPr>
            <w:tcW w:w="830" w:type="dxa"/>
          </w:tcPr>
          <w:p>
            <w:pPr>
              <w:pStyle w:val="107"/>
            </w:pPr>
            <w:r>
              <w:t>2.63</w:t>
            </w:r>
          </w:p>
        </w:tc>
        <w:tc>
          <w:tcPr>
            <w:tcW w:w="833" w:type="dxa"/>
          </w:tcPr>
          <w:p>
            <w:pPr>
              <w:pStyle w:val="107"/>
            </w:pPr>
            <w:r>
              <w:t>2.62</w:t>
            </w:r>
          </w:p>
        </w:tc>
        <w:tc>
          <w:tcPr>
            <w:tcW w:w="833" w:type="dxa"/>
          </w:tcPr>
          <w:p>
            <w:pPr>
              <w:pStyle w:val="107"/>
            </w:pPr>
            <w:r>
              <w:t>1.66</w:t>
            </w:r>
          </w:p>
        </w:tc>
        <w:tc>
          <w:tcPr>
            <w:tcW w:w="830" w:type="dxa"/>
          </w:tcPr>
          <w:p>
            <w:pPr>
              <w:pStyle w:val="107"/>
            </w:pPr>
            <w:r>
              <w:t>1.57</w:t>
            </w:r>
          </w:p>
        </w:tc>
        <w:tc>
          <w:tcPr>
            <w:tcW w:w="833" w:type="dxa"/>
          </w:tcPr>
          <w:p>
            <w:pPr>
              <w:pStyle w:val="107"/>
            </w:pPr>
            <w:r>
              <w:t>1.13</w:t>
            </w:r>
          </w:p>
        </w:tc>
        <w:tc>
          <w:tcPr>
            <w:tcW w:w="830" w:type="dxa"/>
          </w:tcPr>
          <w:p>
            <w:pPr>
              <w:pStyle w:val="107"/>
            </w:pPr>
            <w:r>
              <w:t>1.50</w:t>
            </w:r>
          </w:p>
        </w:tc>
        <w:tc>
          <w:tcPr>
            <w:tcW w:w="833" w:type="dxa"/>
          </w:tcPr>
          <w:p>
            <w:pPr>
              <w:pStyle w:val="107"/>
            </w:pPr>
            <w:r>
              <w:t>1.37</w:t>
            </w:r>
          </w:p>
        </w:tc>
        <w:tc>
          <w:tcPr>
            <w:tcW w:w="824" w:type="dxa"/>
          </w:tcPr>
          <w:p>
            <w:pPr>
              <w:pStyle w:val="107"/>
            </w:pPr>
            <w:r>
              <w:t>2.17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五月</w:t>
            </w:r>
          </w:p>
        </w:tc>
        <w:tc>
          <w:tcPr>
            <w:tcW w:w="830" w:type="dxa"/>
          </w:tcPr>
          <w:p>
            <w:pPr>
              <w:pStyle w:val="107"/>
            </w:pPr>
            <w:r>
              <w:t>1.82</w:t>
            </w:r>
          </w:p>
        </w:tc>
        <w:tc>
          <w:tcPr>
            <w:tcW w:w="833" w:type="dxa"/>
          </w:tcPr>
          <w:p>
            <w:pPr>
              <w:pStyle w:val="107"/>
            </w:pPr>
            <w:r>
              <w:t>1.80</w:t>
            </w:r>
          </w:p>
        </w:tc>
        <w:tc>
          <w:tcPr>
            <w:tcW w:w="830" w:type="dxa"/>
          </w:tcPr>
          <w:p>
            <w:pPr>
              <w:pStyle w:val="107"/>
            </w:pPr>
            <w:r>
              <w:t>1.66</w:t>
            </w:r>
          </w:p>
        </w:tc>
        <w:tc>
          <w:tcPr>
            <w:tcW w:w="833" w:type="dxa"/>
          </w:tcPr>
          <w:p>
            <w:pPr>
              <w:pStyle w:val="107"/>
            </w:pPr>
            <w:r>
              <w:t>2.45</w:t>
            </w:r>
          </w:p>
        </w:tc>
        <w:tc>
          <w:tcPr>
            <w:tcW w:w="830" w:type="dxa"/>
          </w:tcPr>
          <w:p>
            <w:pPr>
              <w:pStyle w:val="107"/>
            </w:pPr>
            <w:r>
              <w:t>2.55</w:t>
            </w:r>
          </w:p>
        </w:tc>
        <w:tc>
          <w:tcPr>
            <w:tcW w:w="833" w:type="dxa"/>
          </w:tcPr>
          <w:p>
            <w:pPr>
              <w:pStyle w:val="107"/>
            </w:pPr>
            <w:r>
              <w:t>1.98</w:t>
            </w:r>
          </w:p>
        </w:tc>
        <w:tc>
          <w:tcPr>
            <w:tcW w:w="833" w:type="dxa"/>
          </w:tcPr>
          <w:p>
            <w:pPr>
              <w:pStyle w:val="107"/>
            </w:pPr>
            <w:r>
              <w:t>2.06</w:t>
            </w:r>
          </w:p>
        </w:tc>
        <w:tc>
          <w:tcPr>
            <w:tcW w:w="830" w:type="dxa"/>
          </w:tcPr>
          <w:p>
            <w:pPr>
              <w:pStyle w:val="107"/>
            </w:pPr>
            <w:r>
              <w:t>2.65</w:t>
            </w:r>
          </w:p>
        </w:tc>
        <w:tc>
          <w:tcPr>
            <w:tcW w:w="833" w:type="dxa"/>
          </w:tcPr>
          <w:p>
            <w:pPr>
              <w:pStyle w:val="107"/>
            </w:pPr>
            <w:r>
              <w:t>2.92</w:t>
            </w:r>
          </w:p>
        </w:tc>
        <w:tc>
          <w:tcPr>
            <w:tcW w:w="830" w:type="dxa"/>
          </w:tcPr>
          <w:p>
            <w:pPr>
              <w:pStyle w:val="107"/>
            </w:pPr>
            <w:r>
              <w:t>3.58</w:t>
            </w:r>
          </w:p>
        </w:tc>
        <w:tc>
          <w:tcPr>
            <w:tcW w:w="833" w:type="dxa"/>
          </w:tcPr>
          <w:p>
            <w:pPr>
              <w:pStyle w:val="107"/>
            </w:pPr>
            <w:r>
              <w:t>2.54</w:t>
            </w:r>
          </w:p>
        </w:tc>
        <w:tc>
          <w:tcPr>
            <w:tcW w:w="833" w:type="dxa"/>
          </w:tcPr>
          <w:p>
            <w:pPr>
              <w:pStyle w:val="107"/>
            </w:pPr>
            <w:r>
              <w:t>1.58</w:t>
            </w:r>
          </w:p>
        </w:tc>
        <w:tc>
          <w:tcPr>
            <w:tcW w:w="830" w:type="dxa"/>
          </w:tcPr>
          <w:p>
            <w:pPr>
              <w:pStyle w:val="107"/>
            </w:pPr>
            <w:r>
              <w:t>1.23</w:t>
            </w:r>
          </w:p>
        </w:tc>
        <w:tc>
          <w:tcPr>
            <w:tcW w:w="833" w:type="dxa"/>
          </w:tcPr>
          <w:p>
            <w:pPr>
              <w:pStyle w:val="107"/>
            </w:pPr>
            <w:r>
              <w:t>1.15</w:t>
            </w:r>
          </w:p>
        </w:tc>
        <w:tc>
          <w:tcPr>
            <w:tcW w:w="830" w:type="dxa"/>
          </w:tcPr>
          <w:p>
            <w:pPr>
              <w:pStyle w:val="107"/>
            </w:pPr>
            <w:r>
              <w:t>1.41</w:t>
            </w:r>
          </w:p>
        </w:tc>
        <w:tc>
          <w:tcPr>
            <w:tcW w:w="833" w:type="dxa"/>
          </w:tcPr>
          <w:p>
            <w:pPr>
              <w:pStyle w:val="107"/>
            </w:pPr>
            <w:r>
              <w:t>1.94</w:t>
            </w:r>
          </w:p>
        </w:tc>
        <w:tc>
          <w:tcPr>
            <w:tcW w:w="824" w:type="dxa"/>
          </w:tcPr>
          <w:p>
            <w:pPr>
              <w:pStyle w:val="107"/>
            </w:pPr>
            <w: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六月</w:t>
            </w:r>
          </w:p>
        </w:tc>
        <w:tc>
          <w:tcPr>
            <w:tcW w:w="830" w:type="dxa"/>
          </w:tcPr>
          <w:p>
            <w:pPr>
              <w:pStyle w:val="107"/>
            </w:pPr>
            <w:r>
              <w:t>1.19</w:t>
            </w:r>
          </w:p>
        </w:tc>
        <w:tc>
          <w:tcPr>
            <w:tcW w:w="833" w:type="dxa"/>
          </w:tcPr>
          <w:p>
            <w:pPr>
              <w:pStyle w:val="107"/>
            </w:pPr>
            <w:r>
              <w:t>1.28</w:t>
            </w:r>
          </w:p>
        </w:tc>
        <w:tc>
          <w:tcPr>
            <w:tcW w:w="830" w:type="dxa"/>
          </w:tcPr>
          <w:p>
            <w:pPr>
              <w:pStyle w:val="107"/>
            </w:pPr>
            <w:r>
              <w:t>0.95</w:t>
            </w:r>
          </w:p>
        </w:tc>
        <w:tc>
          <w:tcPr>
            <w:tcW w:w="833" w:type="dxa"/>
          </w:tcPr>
          <w:p>
            <w:pPr>
              <w:pStyle w:val="107"/>
            </w:pPr>
            <w:r>
              <w:t>1.11</w:t>
            </w:r>
          </w:p>
        </w:tc>
        <w:tc>
          <w:tcPr>
            <w:tcW w:w="830" w:type="dxa"/>
          </w:tcPr>
          <w:p>
            <w:pPr>
              <w:pStyle w:val="107"/>
            </w:pPr>
            <w:r>
              <w:t>1.76</w:t>
            </w:r>
          </w:p>
        </w:tc>
        <w:tc>
          <w:tcPr>
            <w:tcW w:w="833" w:type="dxa"/>
          </w:tcPr>
          <w:p>
            <w:pPr>
              <w:pStyle w:val="107"/>
            </w:pPr>
            <w:r>
              <w:t>1.76</w:t>
            </w:r>
          </w:p>
        </w:tc>
        <w:tc>
          <w:tcPr>
            <w:tcW w:w="833" w:type="dxa"/>
          </w:tcPr>
          <w:p>
            <w:pPr>
              <w:pStyle w:val="107"/>
            </w:pPr>
            <w:r>
              <w:t>2.05</w:t>
            </w:r>
          </w:p>
        </w:tc>
        <w:tc>
          <w:tcPr>
            <w:tcW w:w="830" w:type="dxa"/>
          </w:tcPr>
          <w:p>
            <w:pPr>
              <w:pStyle w:val="107"/>
            </w:pPr>
            <w:r>
              <w:t>2.25</w:t>
            </w:r>
          </w:p>
        </w:tc>
        <w:tc>
          <w:tcPr>
            <w:tcW w:w="833" w:type="dxa"/>
          </w:tcPr>
          <w:p>
            <w:pPr>
              <w:pStyle w:val="107"/>
            </w:pPr>
            <w:r>
              <w:t>2.45</w:t>
            </w:r>
          </w:p>
        </w:tc>
        <w:tc>
          <w:tcPr>
            <w:tcW w:w="830" w:type="dxa"/>
          </w:tcPr>
          <w:p>
            <w:pPr>
              <w:pStyle w:val="107"/>
            </w:pPr>
            <w:r>
              <w:t>2.63</w:t>
            </w:r>
          </w:p>
        </w:tc>
        <w:tc>
          <w:tcPr>
            <w:tcW w:w="833" w:type="dxa"/>
          </w:tcPr>
          <w:p>
            <w:pPr>
              <w:pStyle w:val="107"/>
            </w:pPr>
            <w:r>
              <w:t>2.38</w:t>
            </w:r>
          </w:p>
        </w:tc>
        <w:tc>
          <w:tcPr>
            <w:tcW w:w="833" w:type="dxa"/>
          </w:tcPr>
          <w:p>
            <w:pPr>
              <w:pStyle w:val="107"/>
            </w:pPr>
            <w:r>
              <w:t>2.45</w:t>
            </w:r>
          </w:p>
        </w:tc>
        <w:tc>
          <w:tcPr>
            <w:tcW w:w="830" w:type="dxa"/>
          </w:tcPr>
          <w:p>
            <w:pPr>
              <w:pStyle w:val="107"/>
            </w:pPr>
            <w:r>
              <w:t>1.41</w:t>
            </w:r>
          </w:p>
        </w:tc>
        <w:tc>
          <w:tcPr>
            <w:tcW w:w="833" w:type="dxa"/>
          </w:tcPr>
          <w:p>
            <w:pPr>
              <w:pStyle w:val="107"/>
            </w:pPr>
            <w:r>
              <w:t>0.93</w:t>
            </w:r>
          </w:p>
        </w:tc>
        <w:tc>
          <w:tcPr>
            <w:tcW w:w="830" w:type="dxa"/>
          </w:tcPr>
          <w:p>
            <w:pPr>
              <w:pStyle w:val="107"/>
            </w:pPr>
            <w:r>
              <w:t>1.22</w:t>
            </w:r>
          </w:p>
        </w:tc>
        <w:tc>
          <w:tcPr>
            <w:tcW w:w="833" w:type="dxa"/>
          </w:tcPr>
          <w:p>
            <w:pPr>
              <w:pStyle w:val="107"/>
            </w:pPr>
            <w:r>
              <w:t>1.07</w:t>
            </w:r>
          </w:p>
        </w:tc>
        <w:tc>
          <w:tcPr>
            <w:tcW w:w="824" w:type="dxa"/>
          </w:tcPr>
          <w:p>
            <w:pPr>
              <w:pStyle w:val="107"/>
            </w:pPr>
            <w:r>
              <w:t>1.97</w:t>
            </w:r>
          </w:p>
        </w:tc>
      </w:tr>
      <w:tr>
        <w:tblPrEx>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七月</w:t>
            </w:r>
          </w:p>
        </w:tc>
        <w:tc>
          <w:tcPr>
            <w:tcW w:w="830" w:type="dxa"/>
          </w:tcPr>
          <w:p>
            <w:pPr>
              <w:pStyle w:val="107"/>
            </w:pPr>
            <w:r>
              <w:t>1.15</w:t>
            </w:r>
          </w:p>
        </w:tc>
        <w:tc>
          <w:tcPr>
            <w:tcW w:w="833" w:type="dxa"/>
          </w:tcPr>
          <w:p>
            <w:pPr>
              <w:pStyle w:val="107"/>
            </w:pPr>
            <w:r>
              <w:t>1.47</w:t>
            </w:r>
          </w:p>
        </w:tc>
        <w:tc>
          <w:tcPr>
            <w:tcW w:w="830" w:type="dxa"/>
          </w:tcPr>
          <w:p>
            <w:pPr>
              <w:pStyle w:val="107"/>
            </w:pPr>
            <w:r>
              <w:t>1.26</w:t>
            </w:r>
          </w:p>
        </w:tc>
        <w:tc>
          <w:tcPr>
            <w:tcW w:w="833" w:type="dxa"/>
          </w:tcPr>
          <w:p>
            <w:pPr>
              <w:pStyle w:val="107"/>
            </w:pPr>
            <w:r>
              <w:t>1.70</w:t>
            </w:r>
          </w:p>
        </w:tc>
        <w:tc>
          <w:tcPr>
            <w:tcW w:w="830" w:type="dxa"/>
          </w:tcPr>
          <w:p>
            <w:pPr>
              <w:pStyle w:val="107"/>
            </w:pPr>
            <w:r>
              <w:t>2.19</w:t>
            </w:r>
          </w:p>
        </w:tc>
        <w:tc>
          <w:tcPr>
            <w:tcW w:w="833" w:type="dxa"/>
          </w:tcPr>
          <w:p>
            <w:pPr>
              <w:pStyle w:val="107"/>
            </w:pPr>
            <w:r>
              <w:t>1.86</w:t>
            </w:r>
          </w:p>
        </w:tc>
        <w:tc>
          <w:tcPr>
            <w:tcW w:w="833" w:type="dxa"/>
          </w:tcPr>
          <w:p>
            <w:pPr>
              <w:pStyle w:val="107"/>
            </w:pPr>
            <w:r>
              <w:t>2.23</w:t>
            </w:r>
          </w:p>
        </w:tc>
        <w:tc>
          <w:tcPr>
            <w:tcW w:w="830" w:type="dxa"/>
          </w:tcPr>
          <w:p>
            <w:pPr>
              <w:pStyle w:val="107"/>
            </w:pPr>
            <w:r>
              <w:t>2.46</w:t>
            </w:r>
          </w:p>
        </w:tc>
        <w:tc>
          <w:tcPr>
            <w:tcW w:w="833" w:type="dxa"/>
          </w:tcPr>
          <w:p>
            <w:pPr>
              <w:pStyle w:val="107"/>
            </w:pPr>
            <w:r>
              <w:t>2.44</w:t>
            </w:r>
          </w:p>
        </w:tc>
        <w:tc>
          <w:tcPr>
            <w:tcW w:w="830" w:type="dxa"/>
          </w:tcPr>
          <w:p>
            <w:pPr>
              <w:pStyle w:val="107"/>
            </w:pPr>
            <w:r>
              <w:t>2.35</w:t>
            </w:r>
          </w:p>
        </w:tc>
        <w:tc>
          <w:tcPr>
            <w:tcW w:w="833" w:type="dxa"/>
          </w:tcPr>
          <w:p>
            <w:pPr>
              <w:pStyle w:val="107"/>
            </w:pPr>
            <w:r>
              <w:t>2.57</w:t>
            </w:r>
          </w:p>
        </w:tc>
        <w:tc>
          <w:tcPr>
            <w:tcW w:w="833" w:type="dxa"/>
          </w:tcPr>
          <w:p>
            <w:pPr>
              <w:pStyle w:val="107"/>
            </w:pPr>
            <w:r>
              <w:t>2.09</w:t>
            </w:r>
          </w:p>
        </w:tc>
        <w:tc>
          <w:tcPr>
            <w:tcW w:w="830" w:type="dxa"/>
          </w:tcPr>
          <w:p>
            <w:pPr>
              <w:pStyle w:val="107"/>
            </w:pPr>
            <w:r>
              <w:t>1.48</w:t>
            </w:r>
          </w:p>
        </w:tc>
        <w:tc>
          <w:tcPr>
            <w:tcW w:w="833" w:type="dxa"/>
          </w:tcPr>
          <w:p>
            <w:pPr>
              <w:pStyle w:val="107"/>
            </w:pPr>
            <w:r>
              <w:t>1.70</w:t>
            </w:r>
          </w:p>
        </w:tc>
        <w:tc>
          <w:tcPr>
            <w:tcW w:w="830" w:type="dxa"/>
          </w:tcPr>
          <w:p>
            <w:pPr>
              <w:pStyle w:val="107"/>
            </w:pPr>
            <w:r>
              <w:t>1.75</w:t>
            </w:r>
          </w:p>
        </w:tc>
        <w:tc>
          <w:tcPr>
            <w:tcW w:w="833" w:type="dxa"/>
          </w:tcPr>
          <w:p>
            <w:pPr>
              <w:pStyle w:val="107"/>
            </w:pPr>
            <w:r>
              <w:t>1.32</w:t>
            </w:r>
          </w:p>
        </w:tc>
        <w:tc>
          <w:tcPr>
            <w:tcW w:w="824" w:type="dxa"/>
          </w:tcPr>
          <w:p>
            <w:pPr>
              <w:pStyle w:val="107"/>
            </w:pPr>
            <w:r>
              <w:t>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八月</w:t>
            </w:r>
          </w:p>
        </w:tc>
        <w:tc>
          <w:tcPr>
            <w:tcW w:w="830" w:type="dxa"/>
          </w:tcPr>
          <w:p>
            <w:pPr>
              <w:pStyle w:val="107"/>
            </w:pPr>
            <w:r>
              <w:t>1.67</w:t>
            </w:r>
          </w:p>
        </w:tc>
        <w:tc>
          <w:tcPr>
            <w:tcW w:w="833" w:type="dxa"/>
          </w:tcPr>
          <w:p>
            <w:pPr>
              <w:pStyle w:val="107"/>
            </w:pPr>
            <w:r>
              <w:t>2.59</w:t>
            </w:r>
          </w:p>
        </w:tc>
        <w:tc>
          <w:tcPr>
            <w:tcW w:w="830" w:type="dxa"/>
          </w:tcPr>
          <w:p>
            <w:pPr>
              <w:pStyle w:val="107"/>
            </w:pPr>
            <w:r>
              <w:t>2.59</w:t>
            </w:r>
          </w:p>
        </w:tc>
        <w:tc>
          <w:tcPr>
            <w:tcW w:w="833" w:type="dxa"/>
          </w:tcPr>
          <w:p>
            <w:pPr>
              <w:pStyle w:val="107"/>
            </w:pPr>
            <w:r>
              <w:t>2.64</w:t>
            </w:r>
          </w:p>
        </w:tc>
        <w:tc>
          <w:tcPr>
            <w:tcW w:w="830" w:type="dxa"/>
          </w:tcPr>
          <w:p>
            <w:pPr>
              <w:pStyle w:val="107"/>
            </w:pPr>
            <w:r>
              <w:t>2.62</w:t>
            </w:r>
          </w:p>
        </w:tc>
        <w:tc>
          <w:tcPr>
            <w:tcW w:w="833" w:type="dxa"/>
          </w:tcPr>
          <w:p>
            <w:pPr>
              <w:pStyle w:val="107"/>
            </w:pPr>
            <w:r>
              <w:t>2.40</w:t>
            </w:r>
          </w:p>
        </w:tc>
        <w:tc>
          <w:tcPr>
            <w:tcW w:w="833" w:type="dxa"/>
          </w:tcPr>
          <w:p>
            <w:pPr>
              <w:pStyle w:val="107"/>
            </w:pPr>
            <w:r>
              <w:t>2.78</w:t>
            </w:r>
          </w:p>
        </w:tc>
        <w:tc>
          <w:tcPr>
            <w:tcW w:w="830" w:type="dxa"/>
          </w:tcPr>
          <w:p>
            <w:pPr>
              <w:pStyle w:val="107"/>
            </w:pPr>
            <w:r>
              <w:t>2.14</w:t>
            </w:r>
          </w:p>
        </w:tc>
        <w:tc>
          <w:tcPr>
            <w:tcW w:w="833" w:type="dxa"/>
          </w:tcPr>
          <w:p>
            <w:pPr>
              <w:pStyle w:val="107"/>
            </w:pPr>
            <w:r>
              <w:t>1.47</w:t>
            </w:r>
          </w:p>
        </w:tc>
        <w:tc>
          <w:tcPr>
            <w:tcW w:w="830" w:type="dxa"/>
          </w:tcPr>
          <w:p>
            <w:pPr>
              <w:pStyle w:val="107"/>
            </w:pPr>
            <w:r>
              <w:t>1.62</w:t>
            </w:r>
          </w:p>
        </w:tc>
        <w:tc>
          <w:tcPr>
            <w:tcW w:w="833" w:type="dxa"/>
          </w:tcPr>
          <w:p>
            <w:pPr>
              <w:pStyle w:val="107"/>
            </w:pPr>
            <w:r>
              <w:t>2.10</w:t>
            </w:r>
          </w:p>
        </w:tc>
        <w:tc>
          <w:tcPr>
            <w:tcW w:w="833" w:type="dxa"/>
          </w:tcPr>
          <w:p>
            <w:pPr>
              <w:pStyle w:val="107"/>
            </w:pPr>
            <w:r>
              <w:t>1.80</w:t>
            </w:r>
          </w:p>
        </w:tc>
        <w:tc>
          <w:tcPr>
            <w:tcW w:w="830" w:type="dxa"/>
          </w:tcPr>
          <w:p>
            <w:pPr>
              <w:pStyle w:val="107"/>
            </w:pPr>
            <w:r>
              <w:t>1.68</w:t>
            </w:r>
          </w:p>
        </w:tc>
        <w:tc>
          <w:tcPr>
            <w:tcW w:w="833" w:type="dxa"/>
          </w:tcPr>
          <w:p>
            <w:pPr>
              <w:pStyle w:val="107"/>
            </w:pPr>
            <w:r>
              <w:t>1.39</w:t>
            </w:r>
          </w:p>
        </w:tc>
        <w:tc>
          <w:tcPr>
            <w:tcW w:w="830" w:type="dxa"/>
          </w:tcPr>
          <w:p>
            <w:pPr>
              <w:pStyle w:val="107"/>
            </w:pPr>
            <w:r>
              <w:t>1.64</w:t>
            </w:r>
          </w:p>
        </w:tc>
        <w:tc>
          <w:tcPr>
            <w:tcW w:w="833" w:type="dxa"/>
          </w:tcPr>
          <w:p>
            <w:pPr>
              <w:pStyle w:val="107"/>
            </w:pPr>
            <w:r>
              <w:t>1.56</w:t>
            </w:r>
          </w:p>
        </w:tc>
        <w:tc>
          <w:tcPr>
            <w:tcW w:w="824" w:type="dxa"/>
          </w:tcPr>
          <w:p>
            <w:pPr>
              <w:pStyle w:val="107"/>
            </w:pPr>
            <w:r>
              <w:t>2.04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九月</w:t>
            </w:r>
          </w:p>
        </w:tc>
        <w:tc>
          <w:tcPr>
            <w:tcW w:w="830" w:type="dxa"/>
          </w:tcPr>
          <w:p>
            <w:pPr>
              <w:pStyle w:val="107"/>
            </w:pPr>
            <w:r>
              <w:t>1.92</w:t>
            </w:r>
          </w:p>
        </w:tc>
        <w:tc>
          <w:tcPr>
            <w:tcW w:w="833" w:type="dxa"/>
          </w:tcPr>
          <w:p>
            <w:pPr>
              <w:pStyle w:val="107"/>
            </w:pPr>
            <w:r>
              <w:t>2.21</w:t>
            </w:r>
          </w:p>
        </w:tc>
        <w:tc>
          <w:tcPr>
            <w:tcW w:w="830" w:type="dxa"/>
          </w:tcPr>
          <w:p>
            <w:pPr>
              <w:pStyle w:val="107"/>
            </w:pPr>
            <w:r>
              <w:t>1.74</w:t>
            </w:r>
          </w:p>
        </w:tc>
        <w:tc>
          <w:tcPr>
            <w:tcW w:w="833" w:type="dxa"/>
          </w:tcPr>
          <w:p>
            <w:pPr>
              <w:pStyle w:val="107"/>
            </w:pPr>
            <w:r>
              <w:t>1.92</w:t>
            </w:r>
          </w:p>
        </w:tc>
        <w:tc>
          <w:tcPr>
            <w:tcW w:w="830" w:type="dxa"/>
          </w:tcPr>
          <w:p>
            <w:pPr>
              <w:pStyle w:val="107"/>
            </w:pPr>
            <w:r>
              <w:t>2.32</w:t>
            </w:r>
          </w:p>
        </w:tc>
        <w:tc>
          <w:tcPr>
            <w:tcW w:w="833" w:type="dxa"/>
          </w:tcPr>
          <w:p>
            <w:pPr>
              <w:pStyle w:val="107"/>
            </w:pPr>
            <w:r>
              <w:t>1.64</w:t>
            </w:r>
          </w:p>
        </w:tc>
        <w:tc>
          <w:tcPr>
            <w:tcW w:w="833" w:type="dxa"/>
          </w:tcPr>
          <w:p>
            <w:pPr>
              <w:pStyle w:val="107"/>
            </w:pPr>
            <w:r>
              <w:t>1.57</w:t>
            </w:r>
          </w:p>
        </w:tc>
        <w:tc>
          <w:tcPr>
            <w:tcW w:w="830" w:type="dxa"/>
          </w:tcPr>
          <w:p>
            <w:pPr>
              <w:pStyle w:val="107"/>
            </w:pPr>
            <w:r>
              <w:t>1.23</w:t>
            </w:r>
          </w:p>
        </w:tc>
        <w:tc>
          <w:tcPr>
            <w:tcW w:w="833" w:type="dxa"/>
          </w:tcPr>
          <w:p>
            <w:pPr>
              <w:pStyle w:val="107"/>
            </w:pPr>
            <w:r>
              <w:t>1.67</w:t>
            </w:r>
          </w:p>
        </w:tc>
        <w:tc>
          <w:tcPr>
            <w:tcW w:w="830" w:type="dxa"/>
          </w:tcPr>
          <w:p>
            <w:pPr>
              <w:pStyle w:val="107"/>
            </w:pPr>
            <w:r>
              <w:t>1.61</w:t>
            </w:r>
          </w:p>
        </w:tc>
        <w:tc>
          <w:tcPr>
            <w:tcW w:w="833" w:type="dxa"/>
          </w:tcPr>
          <w:p>
            <w:pPr>
              <w:pStyle w:val="107"/>
            </w:pPr>
            <w:r>
              <w:t>1.69</w:t>
            </w:r>
          </w:p>
        </w:tc>
        <w:tc>
          <w:tcPr>
            <w:tcW w:w="833" w:type="dxa"/>
          </w:tcPr>
          <w:p>
            <w:pPr>
              <w:pStyle w:val="107"/>
            </w:pPr>
            <w:r>
              <w:t>2.05</w:t>
            </w:r>
          </w:p>
        </w:tc>
        <w:tc>
          <w:tcPr>
            <w:tcW w:w="830" w:type="dxa"/>
          </w:tcPr>
          <w:p>
            <w:pPr>
              <w:pStyle w:val="107"/>
            </w:pPr>
            <w:r>
              <w:t>1.11</w:t>
            </w:r>
          </w:p>
        </w:tc>
        <w:tc>
          <w:tcPr>
            <w:tcW w:w="833" w:type="dxa"/>
          </w:tcPr>
          <w:p>
            <w:pPr>
              <w:pStyle w:val="107"/>
            </w:pPr>
            <w:r>
              <w:t>1.58</w:t>
            </w:r>
          </w:p>
        </w:tc>
        <w:tc>
          <w:tcPr>
            <w:tcW w:w="830" w:type="dxa"/>
          </w:tcPr>
          <w:p>
            <w:pPr>
              <w:pStyle w:val="107"/>
            </w:pPr>
            <w:r>
              <w:t>2.43</w:t>
            </w:r>
          </w:p>
        </w:tc>
        <w:tc>
          <w:tcPr>
            <w:tcW w:w="833" w:type="dxa"/>
          </w:tcPr>
          <w:p>
            <w:pPr>
              <w:pStyle w:val="107"/>
            </w:pPr>
            <w:r>
              <w:t>2.26</w:t>
            </w:r>
          </w:p>
        </w:tc>
        <w:tc>
          <w:tcPr>
            <w:tcW w:w="824" w:type="dxa"/>
          </w:tcPr>
          <w:p>
            <w:pPr>
              <w:pStyle w:val="107"/>
            </w:pPr>
            <w:r>
              <w:t>1.95</w:t>
            </w:r>
          </w:p>
        </w:tc>
      </w:tr>
      <w:tr>
        <w:tblPrEx>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十月</w:t>
            </w:r>
          </w:p>
        </w:tc>
        <w:tc>
          <w:tcPr>
            <w:tcW w:w="830" w:type="dxa"/>
          </w:tcPr>
          <w:p>
            <w:pPr>
              <w:pStyle w:val="107"/>
            </w:pPr>
            <w:r>
              <w:t>2.11</w:t>
            </w:r>
          </w:p>
        </w:tc>
        <w:tc>
          <w:tcPr>
            <w:tcW w:w="833" w:type="dxa"/>
          </w:tcPr>
          <w:p>
            <w:pPr>
              <w:pStyle w:val="107"/>
            </w:pPr>
            <w:r>
              <w:t>2.80</w:t>
            </w:r>
          </w:p>
        </w:tc>
        <w:tc>
          <w:tcPr>
            <w:tcW w:w="830" w:type="dxa"/>
          </w:tcPr>
          <w:p>
            <w:pPr>
              <w:pStyle w:val="107"/>
            </w:pPr>
            <w:r>
              <w:t>2.70</w:t>
            </w:r>
          </w:p>
        </w:tc>
        <w:tc>
          <w:tcPr>
            <w:tcW w:w="833" w:type="dxa"/>
          </w:tcPr>
          <w:p>
            <w:pPr>
              <w:pStyle w:val="107"/>
            </w:pPr>
            <w:r>
              <w:t>3.33</w:t>
            </w:r>
          </w:p>
        </w:tc>
        <w:tc>
          <w:tcPr>
            <w:tcW w:w="830" w:type="dxa"/>
          </w:tcPr>
          <w:p>
            <w:pPr>
              <w:pStyle w:val="107"/>
            </w:pPr>
            <w:r>
              <w:t>1.99</w:t>
            </w:r>
          </w:p>
        </w:tc>
        <w:tc>
          <w:tcPr>
            <w:tcW w:w="833" w:type="dxa"/>
          </w:tcPr>
          <w:p>
            <w:pPr>
              <w:pStyle w:val="107"/>
            </w:pPr>
            <w:r>
              <w:t>1.79</w:t>
            </w:r>
          </w:p>
        </w:tc>
        <w:tc>
          <w:tcPr>
            <w:tcW w:w="833" w:type="dxa"/>
          </w:tcPr>
          <w:p>
            <w:pPr>
              <w:pStyle w:val="107"/>
            </w:pPr>
            <w:r>
              <w:t>2.82</w:t>
            </w:r>
          </w:p>
        </w:tc>
        <w:tc>
          <w:tcPr>
            <w:tcW w:w="830" w:type="dxa"/>
          </w:tcPr>
          <w:p>
            <w:pPr>
              <w:pStyle w:val="107"/>
            </w:pPr>
            <w:r>
              <w:t>2.38</w:t>
            </w:r>
          </w:p>
        </w:tc>
        <w:tc>
          <w:tcPr>
            <w:tcW w:w="833" w:type="dxa"/>
          </w:tcPr>
          <w:p>
            <w:pPr>
              <w:pStyle w:val="107"/>
            </w:pPr>
            <w:r>
              <w:t>1.38</w:t>
            </w:r>
          </w:p>
        </w:tc>
        <w:tc>
          <w:tcPr>
            <w:tcW w:w="830" w:type="dxa"/>
          </w:tcPr>
          <w:p>
            <w:pPr>
              <w:pStyle w:val="107"/>
            </w:pPr>
            <w:r>
              <w:t>1.08</w:t>
            </w:r>
          </w:p>
        </w:tc>
        <w:tc>
          <w:tcPr>
            <w:tcW w:w="833" w:type="dxa"/>
          </w:tcPr>
          <w:p>
            <w:pPr>
              <w:pStyle w:val="107"/>
            </w:pPr>
            <w:r>
              <w:t>0.95</w:t>
            </w:r>
          </w:p>
        </w:tc>
        <w:tc>
          <w:tcPr>
            <w:tcW w:w="833" w:type="dxa"/>
          </w:tcPr>
          <w:p>
            <w:pPr>
              <w:pStyle w:val="107"/>
            </w:pPr>
            <w:r>
              <w:t>1.19</w:t>
            </w:r>
          </w:p>
        </w:tc>
        <w:tc>
          <w:tcPr>
            <w:tcW w:w="830" w:type="dxa"/>
          </w:tcPr>
          <w:p>
            <w:pPr>
              <w:pStyle w:val="107"/>
            </w:pPr>
            <w:r>
              <w:t>1.44</w:t>
            </w:r>
          </w:p>
        </w:tc>
        <w:tc>
          <w:tcPr>
            <w:tcW w:w="833" w:type="dxa"/>
          </w:tcPr>
          <w:p>
            <w:pPr>
              <w:pStyle w:val="107"/>
            </w:pPr>
            <w:r>
              <w:t>1.53</w:t>
            </w:r>
          </w:p>
        </w:tc>
        <w:tc>
          <w:tcPr>
            <w:tcW w:w="830" w:type="dxa"/>
          </w:tcPr>
          <w:p>
            <w:pPr>
              <w:pStyle w:val="107"/>
            </w:pPr>
            <w:r>
              <w:t>1.70</w:t>
            </w:r>
          </w:p>
        </w:tc>
        <w:tc>
          <w:tcPr>
            <w:tcW w:w="833" w:type="dxa"/>
          </w:tcPr>
          <w:p>
            <w:pPr>
              <w:pStyle w:val="107"/>
            </w:pPr>
            <w:r>
              <w:t>2.00</w:t>
            </w:r>
          </w:p>
        </w:tc>
        <w:tc>
          <w:tcPr>
            <w:tcW w:w="824" w:type="dxa"/>
          </w:tcPr>
          <w:p>
            <w:pPr>
              <w:pStyle w:val="107"/>
            </w:pPr>
            <w:r>
              <w:t>2.24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十一月</w:t>
            </w:r>
          </w:p>
        </w:tc>
        <w:tc>
          <w:tcPr>
            <w:tcW w:w="830" w:type="dxa"/>
          </w:tcPr>
          <w:p>
            <w:pPr>
              <w:pStyle w:val="107"/>
            </w:pPr>
            <w:r>
              <w:t>2.28</w:t>
            </w:r>
          </w:p>
        </w:tc>
        <w:tc>
          <w:tcPr>
            <w:tcW w:w="833" w:type="dxa"/>
          </w:tcPr>
          <w:p>
            <w:pPr>
              <w:pStyle w:val="107"/>
            </w:pPr>
            <w:r>
              <w:t>2.11</w:t>
            </w:r>
          </w:p>
        </w:tc>
        <w:tc>
          <w:tcPr>
            <w:tcW w:w="830" w:type="dxa"/>
          </w:tcPr>
          <w:p>
            <w:pPr>
              <w:pStyle w:val="107"/>
            </w:pPr>
            <w:r>
              <w:t>1.83</w:t>
            </w:r>
          </w:p>
        </w:tc>
        <w:tc>
          <w:tcPr>
            <w:tcW w:w="833" w:type="dxa"/>
          </w:tcPr>
          <w:p>
            <w:pPr>
              <w:pStyle w:val="107"/>
            </w:pPr>
            <w:r>
              <w:t>1.97</w:t>
            </w:r>
          </w:p>
        </w:tc>
        <w:tc>
          <w:tcPr>
            <w:tcW w:w="830" w:type="dxa"/>
          </w:tcPr>
          <w:p>
            <w:pPr>
              <w:pStyle w:val="107"/>
            </w:pPr>
            <w:r>
              <w:t>1.85</w:t>
            </w:r>
          </w:p>
        </w:tc>
        <w:tc>
          <w:tcPr>
            <w:tcW w:w="833" w:type="dxa"/>
          </w:tcPr>
          <w:p>
            <w:pPr>
              <w:pStyle w:val="107"/>
            </w:pPr>
            <w:r>
              <w:t>1.88</w:t>
            </w:r>
          </w:p>
        </w:tc>
        <w:tc>
          <w:tcPr>
            <w:tcW w:w="833" w:type="dxa"/>
          </w:tcPr>
          <w:p>
            <w:pPr>
              <w:pStyle w:val="107"/>
            </w:pPr>
            <w:r>
              <w:t>1.70</w:t>
            </w:r>
          </w:p>
        </w:tc>
        <w:tc>
          <w:tcPr>
            <w:tcW w:w="830" w:type="dxa"/>
          </w:tcPr>
          <w:p>
            <w:pPr>
              <w:pStyle w:val="107"/>
            </w:pPr>
            <w:r>
              <w:t>2.11</w:t>
            </w:r>
          </w:p>
        </w:tc>
        <w:tc>
          <w:tcPr>
            <w:tcW w:w="833" w:type="dxa"/>
          </w:tcPr>
          <w:p>
            <w:pPr>
              <w:pStyle w:val="107"/>
            </w:pPr>
            <w:r>
              <w:t>1.40</w:t>
            </w:r>
          </w:p>
        </w:tc>
        <w:tc>
          <w:tcPr>
            <w:tcW w:w="830" w:type="dxa"/>
          </w:tcPr>
          <w:p>
            <w:pPr>
              <w:pStyle w:val="107"/>
            </w:pPr>
            <w:r>
              <w:t>1.15</w:t>
            </w:r>
          </w:p>
        </w:tc>
        <w:tc>
          <w:tcPr>
            <w:tcW w:w="833" w:type="dxa"/>
          </w:tcPr>
          <w:p>
            <w:pPr>
              <w:pStyle w:val="107"/>
            </w:pPr>
            <w:r>
              <w:t>1.10</w:t>
            </w:r>
          </w:p>
        </w:tc>
        <w:tc>
          <w:tcPr>
            <w:tcW w:w="833" w:type="dxa"/>
          </w:tcPr>
          <w:p>
            <w:pPr>
              <w:pStyle w:val="107"/>
            </w:pPr>
            <w:r>
              <w:t>1.01</w:t>
            </w:r>
          </w:p>
        </w:tc>
        <w:tc>
          <w:tcPr>
            <w:tcW w:w="830" w:type="dxa"/>
          </w:tcPr>
          <w:p>
            <w:pPr>
              <w:pStyle w:val="107"/>
            </w:pPr>
            <w:r>
              <w:t>0.82</w:t>
            </w:r>
          </w:p>
        </w:tc>
        <w:tc>
          <w:tcPr>
            <w:tcW w:w="833" w:type="dxa"/>
          </w:tcPr>
          <w:p>
            <w:pPr>
              <w:pStyle w:val="107"/>
            </w:pPr>
            <w:r>
              <w:t>1.05</w:t>
            </w:r>
          </w:p>
        </w:tc>
        <w:tc>
          <w:tcPr>
            <w:tcW w:w="830" w:type="dxa"/>
          </w:tcPr>
          <w:p>
            <w:pPr>
              <w:pStyle w:val="107"/>
            </w:pPr>
            <w:r>
              <w:t>1.13</w:t>
            </w:r>
          </w:p>
        </w:tc>
        <w:tc>
          <w:tcPr>
            <w:tcW w:w="833" w:type="dxa"/>
          </w:tcPr>
          <w:p>
            <w:pPr>
              <w:pStyle w:val="107"/>
            </w:pPr>
            <w:r>
              <w:t>1.93</w:t>
            </w:r>
          </w:p>
        </w:tc>
        <w:tc>
          <w:tcPr>
            <w:tcW w:w="824" w:type="dxa"/>
          </w:tcPr>
          <w:p>
            <w:pPr>
              <w:pStyle w:val="107"/>
            </w:pPr>
            <w:r>
              <w:t>1.97</w:t>
            </w:r>
          </w:p>
        </w:tc>
      </w:tr>
      <w:tr>
        <w:tblPrEx>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十二月</w:t>
            </w:r>
          </w:p>
        </w:tc>
        <w:tc>
          <w:tcPr>
            <w:tcW w:w="830" w:type="dxa"/>
          </w:tcPr>
          <w:p>
            <w:pPr>
              <w:pStyle w:val="107"/>
            </w:pPr>
            <w:r>
              <w:t>2.31</w:t>
            </w:r>
          </w:p>
        </w:tc>
        <w:tc>
          <w:tcPr>
            <w:tcW w:w="833" w:type="dxa"/>
          </w:tcPr>
          <w:p>
            <w:pPr>
              <w:pStyle w:val="107"/>
            </w:pPr>
            <w:r>
              <w:t>2.28</w:t>
            </w:r>
          </w:p>
        </w:tc>
        <w:tc>
          <w:tcPr>
            <w:tcW w:w="830" w:type="dxa"/>
          </w:tcPr>
          <w:p>
            <w:pPr>
              <w:pStyle w:val="107"/>
            </w:pPr>
            <w:r>
              <w:t>2.30</w:t>
            </w:r>
          </w:p>
        </w:tc>
        <w:tc>
          <w:tcPr>
            <w:tcW w:w="833" w:type="dxa"/>
          </w:tcPr>
          <w:p>
            <w:pPr>
              <w:pStyle w:val="107"/>
            </w:pPr>
            <w:r>
              <w:t>1.83</w:t>
            </w:r>
          </w:p>
        </w:tc>
        <w:tc>
          <w:tcPr>
            <w:tcW w:w="830" w:type="dxa"/>
          </w:tcPr>
          <w:p>
            <w:pPr>
              <w:pStyle w:val="107"/>
            </w:pPr>
            <w:r>
              <w:t>2.03</w:t>
            </w:r>
          </w:p>
        </w:tc>
        <w:tc>
          <w:tcPr>
            <w:tcW w:w="833" w:type="dxa"/>
          </w:tcPr>
          <w:p>
            <w:pPr>
              <w:pStyle w:val="107"/>
            </w:pPr>
            <w:r>
              <w:t>1.61</w:t>
            </w:r>
          </w:p>
        </w:tc>
        <w:tc>
          <w:tcPr>
            <w:tcW w:w="833" w:type="dxa"/>
          </w:tcPr>
          <w:p>
            <w:pPr>
              <w:pStyle w:val="107"/>
            </w:pPr>
            <w:r>
              <w:t>1.70</w:t>
            </w:r>
          </w:p>
        </w:tc>
        <w:tc>
          <w:tcPr>
            <w:tcW w:w="830" w:type="dxa"/>
          </w:tcPr>
          <w:p>
            <w:pPr>
              <w:pStyle w:val="107"/>
            </w:pPr>
            <w:r>
              <w:t>1.09</w:t>
            </w:r>
          </w:p>
        </w:tc>
        <w:tc>
          <w:tcPr>
            <w:tcW w:w="833" w:type="dxa"/>
          </w:tcPr>
          <w:p>
            <w:pPr>
              <w:pStyle w:val="107"/>
            </w:pPr>
            <w:r>
              <w:t>1.26</w:t>
            </w:r>
          </w:p>
        </w:tc>
        <w:tc>
          <w:tcPr>
            <w:tcW w:w="830" w:type="dxa"/>
          </w:tcPr>
          <w:p>
            <w:pPr>
              <w:pStyle w:val="107"/>
            </w:pPr>
            <w:r>
              <w:t>0.95</w:t>
            </w:r>
          </w:p>
        </w:tc>
        <w:tc>
          <w:tcPr>
            <w:tcW w:w="833" w:type="dxa"/>
          </w:tcPr>
          <w:p>
            <w:pPr>
              <w:pStyle w:val="107"/>
            </w:pPr>
            <w:r>
              <w:t>1.13</w:t>
            </w:r>
          </w:p>
        </w:tc>
        <w:tc>
          <w:tcPr>
            <w:tcW w:w="833" w:type="dxa"/>
          </w:tcPr>
          <w:p>
            <w:pPr>
              <w:pStyle w:val="107"/>
            </w:pPr>
            <w:r>
              <w:t>0.99</w:t>
            </w:r>
          </w:p>
        </w:tc>
        <w:tc>
          <w:tcPr>
            <w:tcW w:w="830" w:type="dxa"/>
          </w:tcPr>
          <w:p>
            <w:pPr>
              <w:pStyle w:val="107"/>
            </w:pPr>
            <w:r>
              <w:t>0.89</w:t>
            </w:r>
          </w:p>
        </w:tc>
        <w:tc>
          <w:tcPr>
            <w:tcW w:w="833" w:type="dxa"/>
          </w:tcPr>
          <w:p>
            <w:pPr>
              <w:pStyle w:val="107"/>
            </w:pPr>
            <w:r>
              <w:t>1.06</w:t>
            </w:r>
          </w:p>
        </w:tc>
        <w:tc>
          <w:tcPr>
            <w:tcW w:w="830" w:type="dxa"/>
          </w:tcPr>
          <w:p>
            <w:pPr>
              <w:pStyle w:val="107"/>
            </w:pPr>
            <w:r>
              <w:t>1.29</w:t>
            </w:r>
          </w:p>
        </w:tc>
        <w:tc>
          <w:tcPr>
            <w:tcW w:w="833" w:type="dxa"/>
          </w:tcPr>
          <w:p>
            <w:pPr>
              <w:pStyle w:val="107"/>
            </w:pPr>
            <w:r>
              <w:t>1.81</w:t>
            </w:r>
          </w:p>
        </w:tc>
        <w:tc>
          <w:tcPr>
            <w:tcW w:w="824" w:type="dxa"/>
          </w:tcPr>
          <w:p>
            <w:pPr>
              <w:pStyle w:val="107"/>
            </w:pPr>
            <w: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年均</w:t>
            </w:r>
          </w:p>
        </w:tc>
        <w:tc>
          <w:tcPr>
            <w:tcW w:w="830" w:type="dxa"/>
          </w:tcPr>
          <w:p>
            <w:pPr>
              <w:pStyle w:val="107"/>
            </w:pPr>
            <w:r>
              <w:t>2.12</w:t>
            </w:r>
          </w:p>
        </w:tc>
        <w:tc>
          <w:tcPr>
            <w:tcW w:w="833" w:type="dxa"/>
          </w:tcPr>
          <w:p>
            <w:pPr>
              <w:pStyle w:val="107"/>
            </w:pPr>
            <w:r>
              <w:t>2.30</w:t>
            </w:r>
          </w:p>
        </w:tc>
        <w:tc>
          <w:tcPr>
            <w:tcW w:w="830" w:type="dxa"/>
          </w:tcPr>
          <w:p>
            <w:pPr>
              <w:pStyle w:val="107"/>
            </w:pPr>
            <w:r>
              <w:t>1.99</w:t>
            </w:r>
          </w:p>
        </w:tc>
        <w:tc>
          <w:tcPr>
            <w:tcW w:w="833" w:type="dxa"/>
          </w:tcPr>
          <w:p>
            <w:pPr>
              <w:pStyle w:val="107"/>
            </w:pPr>
            <w:r>
              <w:t>2.14</w:t>
            </w:r>
          </w:p>
        </w:tc>
        <w:tc>
          <w:tcPr>
            <w:tcW w:w="830" w:type="dxa"/>
          </w:tcPr>
          <w:p>
            <w:pPr>
              <w:pStyle w:val="107"/>
            </w:pPr>
            <w:r>
              <w:t>2.16</w:t>
            </w:r>
          </w:p>
        </w:tc>
        <w:tc>
          <w:tcPr>
            <w:tcW w:w="833" w:type="dxa"/>
          </w:tcPr>
          <w:p>
            <w:pPr>
              <w:pStyle w:val="107"/>
            </w:pPr>
            <w:r>
              <w:t>1.85</w:t>
            </w:r>
          </w:p>
        </w:tc>
        <w:tc>
          <w:tcPr>
            <w:tcW w:w="833" w:type="dxa"/>
          </w:tcPr>
          <w:p>
            <w:pPr>
              <w:pStyle w:val="107"/>
            </w:pPr>
            <w:r>
              <w:t>2.15</w:t>
            </w:r>
          </w:p>
        </w:tc>
        <w:tc>
          <w:tcPr>
            <w:tcW w:w="830" w:type="dxa"/>
          </w:tcPr>
          <w:p>
            <w:pPr>
              <w:pStyle w:val="107"/>
            </w:pPr>
            <w:r>
              <w:t>2.50</w:t>
            </w:r>
          </w:p>
        </w:tc>
        <w:tc>
          <w:tcPr>
            <w:tcW w:w="833" w:type="dxa"/>
          </w:tcPr>
          <w:p>
            <w:pPr>
              <w:pStyle w:val="107"/>
            </w:pPr>
            <w:r>
              <w:t>2.34</w:t>
            </w:r>
          </w:p>
        </w:tc>
        <w:tc>
          <w:tcPr>
            <w:tcW w:w="830" w:type="dxa"/>
          </w:tcPr>
          <w:p>
            <w:pPr>
              <w:pStyle w:val="107"/>
            </w:pPr>
            <w:r>
              <w:t>2.32</w:t>
            </w:r>
          </w:p>
        </w:tc>
        <w:tc>
          <w:tcPr>
            <w:tcW w:w="833" w:type="dxa"/>
          </w:tcPr>
          <w:p>
            <w:pPr>
              <w:pStyle w:val="107"/>
            </w:pPr>
            <w:r>
              <w:t>1.94</w:t>
            </w:r>
          </w:p>
        </w:tc>
        <w:tc>
          <w:tcPr>
            <w:tcW w:w="833" w:type="dxa"/>
          </w:tcPr>
          <w:p>
            <w:pPr>
              <w:pStyle w:val="107"/>
            </w:pPr>
            <w:r>
              <w:t>1.70</w:t>
            </w:r>
          </w:p>
        </w:tc>
        <w:tc>
          <w:tcPr>
            <w:tcW w:w="830" w:type="dxa"/>
          </w:tcPr>
          <w:p>
            <w:pPr>
              <w:pStyle w:val="107"/>
            </w:pPr>
            <w:r>
              <w:t>1.31</w:t>
            </w:r>
          </w:p>
        </w:tc>
        <w:tc>
          <w:tcPr>
            <w:tcW w:w="833" w:type="dxa"/>
          </w:tcPr>
          <w:p>
            <w:pPr>
              <w:pStyle w:val="107"/>
            </w:pPr>
            <w:r>
              <w:t>1.33</w:t>
            </w:r>
          </w:p>
        </w:tc>
        <w:tc>
          <w:tcPr>
            <w:tcW w:w="830" w:type="dxa"/>
          </w:tcPr>
          <w:p>
            <w:pPr>
              <w:pStyle w:val="107"/>
            </w:pPr>
            <w:r>
              <w:t>1.66</w:t>
            </w:r>
          </w:p>
        </w:tc>
        <w:tc>
          <w:tcPr>
            <w:tcW w:w="833" w:type="dxa"/>
          </w:tcPr>
          <w:p>
            <w:pPr>
              <w:pStyle w:val="107"/>
            </w:pPr>
            <w:r>
              <w:t>1.88</w:t>
            </w:r>
          </w:p>
        </w:tc>
        <w:tc>
          <w:tcPr>
            <w:tcW w:w="824" w:type="dxa"/>
          </w:tcPr>
          <w:p>
            <w:pPr>
              <w:pStyle w:val="107"/>
            </w:pPr>
            <w:r>
              <w:t>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春</w:t>
            </w:r>
          </w:p>
        </w:tc>
        <w:tc>
          <w:tcPr>
            <w:tcW w:w="830" w:type="dxa"/>
          </w:tcPr>
          <w:p>
            <w:pPr>
              <w:pStyle w:val="107"/>
            </w:pPr>
            <w:r>
              <w:t>1.86</w:t>
            </w:r>
          </w:p>
        </w:tc>
        <w:tc>
          <w:tcPr>
            <w:tcW w:w="833" w:type="dxa"/>
          </w:tcPr>
          <w:p>
            <w:pPr>
              <w:pStyle w:val="107"/>
            </w:pPr>
            <w:r>
              <w:t>1.84</w:t>
            </w:r>
          </w:p>
        </w:tc>
        <w:tc>
          <w:tcPr>
            <w:tcW w:w="830" w:type="dxa"/>
          </w:tcPr>
          <w:p>
            <w:pPr>
              <w:pStyle w:val="107"/>
            </w:pPr>
            <w:r>
              <w:t>1.67</w:t>
            </w:r>
          </w:p>
        </w:tc>
        <w:tc>
          <w:tcPr>
            <w:tcW w:w="833" w:type="dxa"/>
          </w:tcPr>
          <w:p>
            <w:pPr>
              <w:pStyle w:val="107"/>
            </w:pPr>
            <w:r>
              <w:t>1.87</w:t>
            </w:r>
          </w:p>
        </w:tc>
        <w:tc>
          <w:tcPr>
            <w:tcW w:w="830" w:type="dxa"/>
          </w:tcPr>
          <w:p>
            <w:pPr>
              <w:pStyle w:val="107"/>
            </w:pPr>
            <w:r>
              <w:t>2.17</w:t>
            </w:r>
          </w:p>
        </w:tc>
        <w:tc>
          <w:tcPr>
            <w:tcW w:w="833" w:type="dxa"/>
          </w:tcPr>
          <w:p>
            <w:pPr>
              <w:pStyle w:val="107"/>
            </w:pPr>
            <w:r>
              <w:t>1.87</w:t>
            </w:r>
          </w:p>
        </w:tc>
        <w:tc>
          <w:tcPr>
            <w:tcW w:w="833" w:type="dxa"/>
          </w:tcPr>
          <w:p>
            <w:pPr>
              <w:pStyle w:val="107"/>
            </w:pPr>
            <w:r>
              <w:t>2.18</w:t>
            </w:r>
          </w:p>
        </w:tc>
        <w:tc>
          <w:tcPr>
            <w:tcW w:w="830" w:type="dxa"/>
          </w:tcPr>
          <w:p>
            <w:pPr>
              <w:pStyle w:val="107"/>
            </w:pPr>
            <w:r>
              <w:t>2.75</w:t>
            </w:r>
          </w:p>
        </w:tc>
        <w:tc>
          <w:tcPr>
            <w:tcW w:w="833" w:type="dxa"/>
          </w:tcPr>
          <w:p>
            <w:pPr>
              <w:pStyle w:val="107"/>
            </w:pPr>
            <w:r>
              <w:t>2.73</w:t>
            </w:r>
          </w:p>
        </w:tc>
        <w:tc>
          <w:tcPr>
            <w:tcW w:w="830" w:type="dxa"/>
          </w:tcPr>
          <w:p>
            <w:pPr>
              <w:pStyle w:val="107"/>
            </w:pPr>
            <w:r>
              <w:t>2.74</w:t>
            </w:r>
          </w:p>
        </w:tc>
        <w:tc>
          <w:tcPr>
            <w:tcW w:w="833" w:type="dxa"/>
          </w:tcPr>
          <w:p>
            <w:pPr>
              <w:pStyle w:val="107"/>
            </w:pPr>
            <w:r>
              <w:t>1.88</w:t>
            </w:r>
          </w:p>
        </w:tc>
        <w:tc>
          <w:tcPr>
            <w:tcW w:w="833" w:type="dxa"/>
          </w:tcPr>
          <w:p>
            <w:pPr>
              <w:pStyle w:val="107"/>
            </w:pPr>
            <w:r>
              <w:t>1.40</w:t>
            </w:r>
          </w:p>
        </w:tc>
        <w:tc>
          <w:tcPr>
            <w:tcW w:w="830" w:type="dxa"/>
          </w:tcPr>
          <w:p>
            <w:pPr>
              <w:pStyle w:val="107"/>
            </w:pPr>
            <w:r>
              <w:t>1.24</w:t>
            </w:r>
          </w:p>
        </w:tc>
        <w:tc>
          <w:tcPr>
            <w:tcW w:w="833" w:type="dxa"/>
          </w:tcPr>
          <w:p>
            <w:pPr>
              <w:pStyle w:val="107"/>
            </w:pPr>
            <w:r>
              <w:t>1.08</w:t>
            </w:r>
          </w:p>
        </w:tc>
        <w:tc>
          <w:tcPr>
            <w:tcW w:w="830" w:type="dxa"/>
          </w:tcPr>
          <w:p>
            <w:pPr>
              <w:pStyle w:val="107"/>
            </w:pPr>
            <w:r>
              <w:t>1.40</w:t>
            </w:r>
          </w:p>
        </w:tc>
        <w:tc>
          <w:tcPr>
            <w:tcW w:w="833" w:type="dxa"/>
          </w:tcPr>
          <w:p>
            <w:pPr>
              <w:pStyle w:val="107"/>
            </w:pPr>
            <w:r>
              <w:t>1.74</w:t>
            </w:r>
          </w:p>
        </w:tc>
        <w:tc>
          <w:tcPr>
            <w:tcW w:w="824" w:type="dxa"/>
          </w:tcPr>
          <w:p>
            <w:pPr>
              <w:pStyle w:val="107"/>
            </w:pPr>
            <w: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夏</w:t>
            </w:r>
          </w:p>
        </w:tc>
        <w:tc>
          <w:tcPr>
            <w:tcW w:w="830" w:type="dxa"/>
          </w:tcPr>
          <w:p>
            <w:pPr>
              <w:pStyle w:val="107"/>
            </w:pPr>
            <w:r>
              <w:t>1.39</w:t>
            </w:r>
          </w:p>
        </w:tc>
        <w:tc>
          <w:tcPr>
            <w:tcW w:w="833" w:type="dxa"/>
          </w:tcPr>
          <w:p>
            <w:pPr>
              <w:pStyle w:val="107"/>
            </w:pPr>
            <w:r>
              <w:t>1.97</w:t>
            </w:r>
          </w:p>
        </w:tc>
        <w:tc>
          <w:tcPr>
            <w:tcW w:w="830" w:type="dxa"/>
          </w:tcPr>
          <w:p>
            <w:pPr>
              <w:pStyle w:val="107"/>
            </w:pPr>
            <w:r>
              <w:t>1.82</w:t>
            </w:r>
          </w:p>
        </w:tc>
        <w:tc>
          <w:tcPr>
            <w:tcW w:w="833" w:type="dxa"/>
          </w:tcPr>
          <w:p>
            <w:pPr>
              <w:pStyle w:val="107"/>
            </w:pPr>
            <w:r>
              <w:t>2.21</w:t>
            </w:r>
          </w:p>
        </w:tc>
        <w:tc>
          <w:tcPr>
            <w:tcW w:w="830" w:type="dxa"/>
          </w:tcPr>
          <w:p>
            <w:pPr>
              <w:pStyle w:val="107"/>
            </w:pPr>
            <w:r>
              <w:t>2.27</w:t>
            </w:r>
          </w:p>
        </w:tc>
        <w:tc>
          <w:tcPr>
            <w:tcW w:w="833" w:type="dxa"/>
          </w:tcPr>
          <w:p>
            <w:pPr>
              <w:pStyle w:val="107"/>
            </w:pPr>
            <w:r>
              <w:t>2.00</w:t>
            </w:r>
          </w:p>
        </w:tc>
        <w:tc>
          <w:tcPr>
            <w:tcW w:w="833" w:type="dxa"/>
          </w:tcPr>
          <w:p>
            <w:pPr>
              <w:pStyle w:val="107"/>
            </w:pPr>
            <w:r>
              <w:t>2.28</w:t>
            </w:r>
          </w:p>
        </w:tc>
        <w:tc>
          <w:tcPr>
            <w:tcW w:w="830" w:type="dxa"/>
          </w:tcPr>
          <w:p>
            <w:pPr>
              <w:pStyle w:val="107"/>
            </w:pPr>
            <w:r>
              <w:t>2.33</w:t>
            </w:r>
          </w:p>
        </w:tc>
        <w:tc>
          <w:tcPr>
            <w:tcW w:w="833" w:type="dxa"/>
          </w:tcPr>
          <w:p>
            <w:pPr>
              <w:pStyle w:val="107"/>
            </w:pPr>
            <w:r>
              <w:t>2.29</w:t>
            </w:r>
          </w:p>
        </w:tc>
        <w:tc>
          <w:tcPr>
            <w:tcW w:w="830" w:type="dxa"/>
          </w:tcPr>
          <w:p>
            <w:pPr>
              <w:pStyle w:val="107"/>
            </w:pPr>
            <w:r>
              <w:t>2.31</w:t>
            </w:r>
          </w:p>
        </w:tc>
        <w:tc>
          <w:tcPr>
            <w:tcW w:w="833" w:type="dxa"/>
          </w:tcPr>
          <w:p>
            <w:pPr>
              <w:pStyle w:val="107"/>
            </w:pPr>
            <w:r>
              <w:t>2.34</w:t>
            </w:r>
          </w:p>
        </w:tc>
        <w:tc>
          <w:tcPr>
            <w:tcW w:w="833" w:type="dxa"/>
          </w:tcPr>
          <w:p>
            <w:pPr>
              <w:pStyle w:val="107"/>
            </w:pPr>
            <w:r>
              <w:t>2.07</w:t>
            </w:r>
          </w:p>
        </w:tc>
        <w:tc>
          <w:tcPr>
            <w:tcW w:w="830" w:type="dxa"/>
          </w:tcPr>
          <w:p>
            <w:pPr>
              <w:pStyle w:val="107"/>
            </w:pPr>
            <w:r>
              <w:t>1.57</w:t>
            </w:r>
          </w:p>
        </w:tc>
        <w:tc>
          <w:tcPr>
            <w:tcW w:w="833" w:type="dxa"/>
          </w:tcPr>
          <w:p>
            <w:pPr>
              <w:pStyle w:val="107"/>
            </w:pPr>
            <w:r>
              <w:t>1.45</w:t>
            </w:r>
          </w:p>
        </w:tc>
        <w:tc>
          <w:tcPr>
            <w:tcW w:w="830" w:type="dxa"/>
          </w:tcPr>
          <w:p>
            <w:pPr>
              <w:pStyle w:val="107"/>
            </w:pPr>
            <w:r>
              <w:t>1.58</w:t>
            </w:r>
          </w:p>
        </w:tc>
        <w:tc>
          <w:tcPr>
            <w:tcW w:w="833" w:type="dxa"/>
          </w:tcPr>
          <w:p>
            <w:pPr>
              <w:pStyle w:val="107"/>
            </w:pPr>
            <w:r>
              <w:t>1.32</w:t>
            </w:r>
          </w:p>
        </w:tc>
        <w:tc>
          <w:tcPr>
            <w:tcW w:w="824" w:type="dxa"/>
          </w:tcPr>
          <w:p>
            <w:pPr>
              <w:pStyle w:val="107"/>
            </w:pPr>
            <w:r>
              <w:t>2.03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秋</w:t>
            </w:r>
          </w:p>
        </w:tc>
        <w:tc>
          <w:tcPr>
            <w:tcW w:w="830" w:type="dxa"/>
          </w:tcPr>
          <w:p>
            <w:pPr>
              <w:pStyle w:val="107"/>
            </w:pPr>
            <w:r>
              <w:t>2.14</w:t>
            </w:r>
          </w:p>
        </w:tc>
        <w:tc>
          <w:tcPr>
            <w:tcW w:w="833" w:type="dxa"/>
          </w:tcPr>
          <w:p>
            <w:pPr>
              <w:pStyle w:val="107"/>
            </w:pPr>
            <w:r>
              <w:t>2.42</w:t>
            </w:r>
          </w:p>
        </w:tc>
        <w:tc>
          <w:tcPr>
            <w:tcW w:w="830" w:type="dxa"/>
          </w:tcPr>
          <w:p>
            <w:pPr>
              <w:pStyle w:val="107"/>
            </w:pPr>
            <w:r>
              <w:t>2.08</w:t>
            </w:r>
          </w:p>
        </w:tc>
        <w:tc>
          <w:tcPr>
            <w:tcW w:w="833" w:type="dxa"/>
          </w:tcPr>
          <w:p>
            <w:pPr>
              <w:pStyle w:val="107"/>
            </w:pPr>
            <w:r>
              <w:t>2.49</w:t>
            </w:r>
          </w:p>
        </w:tc>
        <w:tc>
          <w:tcPr>
            <w:tcW w:w="830" w:type="dxa"/>
          </w:tcPr>
          <w:p>
            <w:pPr>
              <w:pStyle w:val="107"/>
            </w:pPr>
            <w:r>
              <w:t>2.07</w:t>
            </w:r>
          </w:p>
        </w:tc>
        <w:tc>
          <w:tcPr>
            <w:tcW w:w="833" w:type="dxa"/>
          </w:tcPr>
          <w:p>
            <w:pPr>
              <w:pStyle w:val="107"/>
            </w:pPr>
            <w:r>
              <w:t>1.77</w:t>
            </w:r>
          </w:p>
        </w:tc>
        <w:tc>
          <w:tcPr>
            <w:tcW w:w="833" w:type="dxa"/>
          </w:tcPr>
          <w:p>
            <w:pPr>
              <w:pStyle w:val="107"/>
            </w:pPr>
            <w:r>
              <w:t>2.13</w:t>
            </w:r>
          </w:p>
        </w:tc>
        <w:tc>
          <w:tcPr>
            <w:tcW w:w="830" w:type="dxa"/>
          </w:tcPr>
          <w:p>
            <w:pPr>
              <w:pStyle w:val="107"/>
            </w:pPr>
            <w:r>
              <w:t>2.04</w:t>
            </w:r>
          </w:p>
        </w:tc>
        <w:tc>
          <w:tcPr>
            <w:tcW w:w="833" w:type="dxa"/>
          </w:tcPr>
          <w:p>
            <w:pPr>
              <w:pStyle w:val="107"/>
            </w:pPr>
            <w:r>
              <w:t>1.52</w:t>
            </w:r>
          </w:p>
        </w:tc>
        <w:tc>
          <w:tcPr>
            <w:tcW w:w="830" w:type="dxa"/>
          </w:tcPr>
          <w:p>
            <w:pPr>
              <w:pStyle w:val="107"/>
            </w:pPr>
            <w:r>
              <w:t>1.41</w:t>
            </w:r>
          </w:p>
        </w:tc>
        <w:tc>
          <w:tcPr>
            <w:tcW w:w="833" w:type="dxa"/>
          </w:tcPr>
          <w:p>
            <w:pPr>
              <w:pStyle w:val="107"/>
            </w:pPr>
            <w:r>
              <w:t>1.39</w:t>
            </w:r>
          </w:p>
        </w:tc>
        <w:tc>
          <w:tcPr>
            <w:tcW w:w="833" w:type="dxa"/>
          </w:tcPr>
          <w:p>
            <w:pPr>
              <w:pStyle w:val="107"/>
            </w:pPr>
            <w:r>
              <w:t>1.52</w:t>
            </w:r>
          </w:p>
        </w:tc>
        <w:tc>
          <w:tcPr>
            <w:tcW w:w="830" w:type="dxa"/>
          </w:tcPr>
          <w:p>
            <w:pPr>
              <w:pStyle w:val="107"/>
            </w:pPr>
            <w:r>
              <w:t>1.13</w:t>
            </w:r>
          </w:p>
        </w:tc>
        <w:tc>
          <w:tcPr>
            <w:tcW w:w="833" w:type="dxa"/>
          </w:tcPr>
          <w:p>
            <w:pPr>
              <w:pStyle w:val="107"/>
            </w:pPr>
            <w:r>
              <w:t>1.50</w:t>
            </w:r>
          </w:p>
        </w:tc>
        <w:tc>
          <w:tcPr>
            <w:tcW w:w="830" w:type="dxa"/>
          </w:tcPr>
          <w:p>
            <w:pPr>
              <w:pStyle w:val="107"/>
            </w:pPr>
            <w:r>
              <w:t>1.87</w:t>
            </w:r>
          </w:p>
        </w:tc>
        <w:tc>
          <w:tcPr>
            <w:tcW w:w="833" w:type="dxa"/>
          </w:tcPr>
          <w:p>
            <w:pPr>
              <w:pStyle w:val="107"/>
            </w:pPr>
            <w:r>
              <w:t>2.08</w:t>
            </w:r>
          </w:p>
        </w:tc>
        <w:tc>
          <w:tcPr>
            <w:tcW w:w="824" w:type="dxa"/>
          </w:tcPr>
          <w:p>
            <w:pPr>
              <w:pStyle w:val="107"/>
            </w:pPr>
            <w:r>
              <w:t>2.05</w:t>
            </w:r>
          </w:p>
        </w:tc>
      </w:tr>
      <w:tr>
        <w:tblPrEx>
          <w:tblLayout w:type="fixed"/>
          <w:tblCellMar>
            <w:top w:w="0" w:type="dxa"/>
            <w:left w:w="0" w:type="dxa"/>
            <w:bottom w:w="0" w:type="dxa"/>
            <w:right w:w="0" w:type="dxa"/>
          </w:tblCellMar>
        </w:tblPrEx>
        <w:trPr>
          <w:trHeight w:val="369" w:hRule="atLeast"/>
          <w:jc w:val="center"/>
        </w:trPr>
        <w:tc>
          <w:tcPr>
            <w:tcW w:w="1015" w:type="dxa"/>
            <w:vAlign w:val="center"/>
          </w:tcPr>
          <w:p>
            <w:pPr>
              <w:pStyle w:val="107"/>
              <w:rPr>
                <w:b/>
              </w:rPr>
            </w:pPr>
            <w:r>
              <w:rPr>
                <w:b/>
              </w:rPr>
              <w:t>冬</w:t>
            </w:r>
          </w:p>
        </w:tc>
        <w:tc>
          <w:tcPr>
            <w:tcW w:w="830" w:type="dxa"/>
          </w:tcPr>
          <w:p>
            <w:pPr>
              <w:pStyle w:val="107"/>
            </w:pPr>
            <w:r>
              <w:t>2.36</w:t>
            </w:r>
          </w:p>
        </w:tc>
        <w:tc>
          <w:tcPr>
            <w:tcW w:w="833" w:type="dxa"/>
          </w:tcPr>
          <w:p>
            <w:pPr>
              <w:pStyle w:val="107"/>
            </w:pPr>
            <w:r>
              <w:t>2.49</w:t>
            </w:r>
          </w:p>
        </w:tc>
        <w:tc>
          <w:tcPr>
            <w:tcW w:w="830" w:type="dxa"/>
          </w:tcPr>
          <w:p>
            <w:pPr>
              <w:pStyle w:val="107"/>
            </w:pPr>
            <w:r>
              <w:t>2.19</w:t>
            </w:r>
          </w:p>
        </w:tc>
        <w:tc>
          <w:tcPr>
            <w:tcW w:w="833" w:type="dxa"/>
          </w:tcPr>
          <w:p>
            <w:pPr>
              <w:pStyle w:val="107"/>
            </w:pPr>
            <w:r>
              <w:t>1.95</w:t>
            </w:r>
          </w:p>
        </w:tc>
        <w:tc>
          <w:tcPr>
            <w:tcW w:w="830" w:type="dxa"/>
          </w:tcPr>
          <w:p>
            <w:pPr>
              <w:pStyle w:val="107"/>
            </w:pPr>
            <w:r>
              <w:t>2.09</w:t>
            </w:r>
          </w:p>
        </w:tc>
        <w:tc>
          <w:tcPr>
            <w:tcW w:w="833" w:type="dxa"/>
          </w:tcPr>
          <w:p>
            <w:pPr>
              <w:pStyle w:val="107"/>
            </w:pPr>
            <w:r>
              <w:t>1.59</w:t>
            </w:r>
          </w:p>
        </w:tc>
        <w:tc>
          <w:tcPr>
            <w:tcW w:w="833" w:type="dxa"/>
          </w:tcPr>
          <w:p>
            <w:pPr>
              <w:pStyle w:val="107"/>
            </w:pPr>
            <w:r>
              <w:t>1.61</w:t>
            </w:r>
          </w:p>
        </w:tc>
        <w:tc>
          <w:tcPr>
            <w:tcW w:w="830" w:type="dxa"/>
          </w:tcPr>
          <w:p>
            <w:pPr>
              <w:pStyle w:val="107"/>
            </w:pPr>
            <w:r>
              <w:t>1.69</w:t>
            </w:r>
          </w:p>
        </w:tc>
        <w:tc>
          <w:tcPr>
            <w:tcW w:w="833" w:type="dxa"/>
          </w:tcPr>
          <w:p>
            <w:pPr>
              <w:pStyle w:val="107"/>
            </w:pPr>
            <w:r>
              <w:t>1.81</w:t>
            </w:r>
          </w:p>
        </w:tc>
        <w:tc>
          <w:tcPr>
            <w:tcW w:w="830" w:type="dxa"/>
          </w:tcPr>
          <w:p>
            <w:pPr>
              <w:pStyle w:val="107"/>
            </w:pPr>
            <w:r>
              <w:t>2.04</w:t>
            </w:r>
          </w:p>
        </w:tc>
        <w:tc>
          <w:tcPr>
            <w:tcW w:w="833" w:type="dxa"/>
          </w:tcPr>
          <w:p>
            <w:pPr>
              <w:pStyle w:val="107"/>
            </w:pPr>
            <w:r>
              <w:t>1.23</w:t>
            </w:r>
          </w:p>
        </w:tc>
        <w:tc>
          <w:tcPr>
            <w:tcW w:w="833" w:type="dxa"/>
          </w:tcPr>
          <w:p>
            <w:pPr>
              <w:pStyle w:val="107"/>
            </w:pPr>
            <w:r>
              <w:t>1.09</w:t>
            </w:r>
          </w:p>
        </w:tc>
        <w:tc>
          <w:tcPr>
            <w:tcW w:w="830" w:type="dxa"/>
          </w:tcPr>
          <w:p>
            <w:pPr>
              <w:pStyle w:val="107"/>
            </w:pPr>
            <w:r>
              <w:t>1.07</w:t>
            </w:r>
          </w:p>
        </w:tc>
        <w:tc>
          <w:tcPr>
            <w:tcW w:w="833" w:type="dxa"/>
          </w:tcPr>
          <w:p>
            <w:pPr>
              <w:pStyle w:val="107"/>
            </w:pPr>
            <w:r>
              <w:t>1.16</w:t>
            </w:r>
          </w:p>
        </w:tc>
        <w:tc>
          <w:tcPr>
            <w:tcW w:w="830" w:type="dxa"/>
          </w:tcPr>
          <w:p>
            <w:pPr>
              <w:pStyle w:val="107"/>
            </w:pPr>
            <w:r>
              <w:t>1.66</w:t>
            </w:r>
          </w:p>
        </w:tc>
        <w:tc>
          <w:tcPr>
            <w:tcW w:w="833" w:type="dxa"/>
          </w:tcPr>
          <w:p>
            <w:pPr>
              <w:pStyle w:val="107"/>
            </w:pPr>
            <w:r>
              <w:t>2.00</w:t>
            </w:r>
          </w:p>
        </w:tc>
        <w:tc>
          <w:tcPr>
            <w:tcW w:w="824" w:type="dxa"/>
          </w:tcPr>
          <w:p>
            <w:pPr>
              <w:pStyle w:val="107"/>
            </w:pPr>
            <w:r>
              <w:t>2.13</w:t>
            </w:r>
          </w:p>
        </w:tc>
      </w:tr>
      <w:bookmarkEnd w:id="445"/>
    </w:tbl>
    <w:p>
      <w:pPr>
        <w:pStyle w:val="107"/>
      </w:pPr>
    </w:p>
    <w:p>
      <w:pPr>
        <w:ind w:firstLine="480"/>
        <w:rPr>
          <w:rFonts w:cstheme="minorBidi"/>
        </w:rPr>
      </w:pPr>
      <w:r>
        <w:br w:type="page"/>
      </w:r>
    </w:p>
    <w:p>
      <w:pPr>
        <w:pStyle w:val="107"/>
      </w:pPr>
    </w:p>
    <w:p>
      <w:pPr>
        <w:pStyle w:val="18"/>
      </w:pPr>
      <w:bookmarkStart w:id="447" w:name="_Ref529976641"/>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8</w:t>
      </w:r>
      <w:r>
        <w:fldChar w:fldCharType="end"/>
      </w:r>
      <w:bookmarkEnd w:id="447"/>
      <w:r>
        <w:t xml:space="preserve"> </w:t>
      </w:r>
      <w:r>
        <w:rPr>
          <w:rFonts w:hint="eastAsia"/>
        </w:rPr>
        <w:t>201</w:t>
      </w:r>
      <w:r>
        <w:t>7</w:t>
      </w:r>
      <w:r>
        <w:rPr>
          <w:rFonts w:hint="eastAsia"/>
        </w:rPr>
        <w:t>年开平市气象站各风向年均污染系数的月、季变化及年均污染系数（m/s）</w:t>
      </w:r>
    </w:p>
    <w:tbl>
      <w:tblPr>
        <w:tblStyle w:val="56"/>
        <w:tblW w:w="1514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15"/>
        <w:gridCol w:w="830"/>
        <w:gridCol w:w="833"/>
        <w:gridCol w:w="830"/>
        <w:gridCol w:w="833"/>
        <w:gridCol w:w="830"/>
        <w:gridCol w:w="833"/>
        <w:gridCol w:w="833"/>
        <w:gridCol w:w="830"/>
        <w:gridCol w:w="833"/>
        <w:gridCol w:w="830"/>
        <w:gridCol w:w="833"/>
        <w:gridCol w:w="833"/>
        <w:gridCol w:w="830"/>
        <w:gridCol w:w="833"/>
        <w:gridCol w:w="830"/>
        <w:gridCol w:w="833"/>
        <w:gridCol w:w="8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tblHeader/>
          <w:jc w:val="center"/>
        </w:trPr>
        <w:tc>
          <w:tcPr>
            <w:tcW w:w="1015"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风向</w:t>
            </w:r>
          </w:p>
        </w:tc>
        <w:tc>
          <w:tcPr>
            <w:tcW w:w="830"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N</w:t>
            </w:r>
          </w:p>
        </w:tc>
        <w:tc>
          <w:tcPr>
            <w:tcW w:w="833"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NNE</w:t>
            </w:r>
          </w:p>
        </w:tc>
        <w:tc>
          <w:tcPr>
            <w:tcW w:w="830"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NE</w:t>
            </w:r>
          </w:p>
        </w:tc>
        <w:tc>
          <w:tcPr>
            <w:tcW w:w="833"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ENE</w:t>
            </w:r>
          </w:p>
        </w:tc>
        <w:tc>
          <w:tcPr>
            <w:tcW w:w="830"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E</w:t>
            </w:r>
          </w:p>
        </w:tc>
        <w:tc>
          <w:tcPr>
            <w:tcW w:w="833"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ESE</w:t>
            </w:r>
          </w:p>
        </w:tc>
        <w:tc>
          <w:tcPr>
            <w:tcW w:w="833"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SE</w:t>
            </w:r>
          </w:p>
        </w:tc>
        <w:tc>
          <w:tcPr>
            <w:tcW w:w="830"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SSE</w:t>
            </w:r>
          </w:p>
        </w:tc>
        <w:tc>
          <w:tcPr>
            <w:tcW w:w="833"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S</w:t>
            </w:r>
          </w:p>
        </w:tc>
        <w:tc>
          <w:tcPr>
            <w:tcW w:w="830"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SSW</w:t>
            </w:r>
          </w:p>
        </w:tc>
        <w:tc>
          <w:tcPr>
            <w:tcW w:w="833"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SW</w:t>
            </w:r>
          </w:p>
        </w:tc>
        <w:tc>
          <w:tcPr>
            <w:tcW w:w="833"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WSW</w:t>
            </w:r>
          </w:p>
        </w:tc>
        <w:tc>
          <w:tcPr>
            <w:tcW w:w="830"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W</w:t>
            </w:r>
          </w:p>
        </w:tc>
        <w:tc>
          <w:tcPr>
            <w:tcW w:w="833"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WNW</w:t>
            </w:r>
          </w:p>
        </w:tc>
        <w:tc>
          <w:tcPr>
            <w:tcW w:w="830"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NW</w:t>
            </w:r>
          </w:p>
        </w:tc>
        <w:tc>
          <w:tcPr>
            <w:tcW w:w="833"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NNW</w:t>
            </w:r>
          </w:p>
        </w:tc>
        <w:tc>
          <w:tcPr>
            <w:tcW w:w="824" w:type="dxa"/>
            <w:vAlign w:val="center"/>
          </w:tcPr>
          <w:p>
            <w:pPr>
              <w:spacing w:line="240" w:lineRule="auto"/>
              <w:ind w:firstLine="0" w:firstLineChars="0"/>
              <w:jc w:val="center"/>
              <w:rPr>
                <w:rFonts w:eastAsiaTheme="minorEastAsia"/>
                <w:b/>
                <w:sz w:val="21"/>
                <w:szCs w:val="21"/>
              </w:rPr>
            </w:pPr>
            <w:r>
              <w:rPr>
                <w:rFonts w:eastAsiaTheme="minorEastAsia"/>
                <w:b/>
                <w:sz w:val="21"/>
                <w:szCs w:val="21"/>
              </w:rPr>
              <w:t>平均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rPr>
                <w:rFonts w:hint="eastAsia"/>
              </w:rPr>
              <w:t>一月</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14.80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8.03</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2.59</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1.31</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2.78</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1.80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1.10</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0.69</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0.91</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0.54</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1.64</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0.88</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2.66</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1.57</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3.34</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4.99</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rPr>
                <w:rFonts w:hint="eastAsia"/>
              </w:rPr>
              <w:t>二月</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17.55</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5.40</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1.76</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0.91</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2.06</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2.01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1.64</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0.83</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1.64</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0.80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0.60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0.77</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1.81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1.45</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2.03</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4.29</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rPr>
                <w:rFonts w:hint="eastAsia"/>
              </w:rPr>
              <w:t>三月</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10.53</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4.55</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2.64</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2.85</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4.00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2.64</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3.91</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2.46</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3.27</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2.67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3.01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2.35</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3.40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2.55</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2.91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3.62</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3.59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rPr>
                <w:rFonts w:hint="eastAsia"/>
              </w:rPr>
              <w:t>四月</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6.50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3.35</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1.89</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2.13</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3.98</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3.62</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5.75</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6.25</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4.77</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2.27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0.64</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1.17</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1.95</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1.84</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1.85</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2.33</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rPr>
                <w:rFonts w:hint="eastAsia"/>
              </w:rPr>
              <w:t>五月</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6.57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3.73</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2.10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1.76</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4.11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2.72</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3.59</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5.43</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4.70</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1.88</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0.69</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1.36</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2.51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1.17</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1.43</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2.49</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2.89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rPr>
                <w:rFonts w:hint="eastAsia"/>
              </w:rPr>
              <w:t>六月</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7.35</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4.13</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2.93</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1.25</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3.39</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2.37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3.86</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3.83</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9.98</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4.70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1.58</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1.42</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1.67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1.49</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2.28</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3.90</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3.51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rPr>
                <w:rFonts w:hint="eastAsia"/>
              </w:rPr>
              <w:t>七月</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3.97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2.56</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1.39</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1.74</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2.82</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3.11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3.19</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4.21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7.77</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4.69</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2.40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3.02</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3.27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2.21</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2.07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2.04</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rPr>
                <w:rFonts w:hint="eastAsia"/>
              </w:rPr>
              <w:t>八月</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6.20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3.37</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1.66</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2.59</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3.69</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1.79</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1.55</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1.70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5.76</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3.90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3.01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2.84</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4.80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3.09</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3.20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2.58</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3.23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rPr>
                <w:rFonts w:hint="eastAsia"/>
              </w:rPr>
              <w:t>九月</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12.59</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7.48</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3.75</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1.73</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2.81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1.35</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1.06</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1.47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2.41</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2.33</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1.89</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1.56</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3.50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2.37</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2.51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4.12</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3.31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rPr>
                <w:rFonts w:hint="eastAsia"/>
              </w:rPr>
              <w:t>十月</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14.72</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7.15</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2.39</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1.29</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2.43</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0.68</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1.00</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1.64</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1.27</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1.24</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1.41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0.91</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1.87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2.02</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2.85</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4.44</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rPr>
                <w:rFonts w:hint="eastAsia"/>
              </w:rPr>
              <w:t>十一月</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18.03</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7.11</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4.17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1.83</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3.15</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1.26</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1.47</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0.66</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1.79</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0.97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1.01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2.48</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2.88</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0.79</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3.07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3.31</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3.37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rPr>
                <w:rFonts w:hint="eastAsia"/>
              </w:rPr>
              <w:t>十二月</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15.77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8.25</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2.22</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2.13</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2.65</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1.34</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0.79</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0.86</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1.92</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1.69</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1.19</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1.77</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2.42</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1.77</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2.60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6.09</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3.34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t>年均</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10.85</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5.22</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2.30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1.68</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3.10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2.03</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2.36</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2.41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3.59</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2.05</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1.43</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1.56</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2.61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1.80</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2.40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3.56</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3.06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t>春</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7.82</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3.82</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2.20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2.13</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3.92</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2.98</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4.39</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4.69</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4.08</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2.00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1.28</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1.55</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2.52</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1.84</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2.07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2.79</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3.13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t>夏</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5.67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3.01</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1.62</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1.70</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3.21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2.38</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2.82</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3.23</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7.52</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4.27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2.32</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2.41</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3.26</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2.19</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2.46</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2.74</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t>秋</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15.00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7.12</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3.30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1.51</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2.76</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1.08</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1.10</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1.17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1.81</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1.46</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1.35</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1.47</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2.64</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1.71</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2.57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3.94</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3.12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69" w:hRule="atLeast"/>
          <w:jc w:val="center"/>
        </w:trPr>
        <w:tc>
          <w:tcPr>
            <w:tcW w:w="1015" w:type="dxa"/>
            <w:vAlign w:val="center"/>
          </w:tcPr>
          <w:p>
            <w:pPr>
              <w:pStyle w:val="107"/>
            </w:pPr>
            <w:r>
              <w:t>冬</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16.00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7.22</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2.20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1.46</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2.50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1.70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1.17</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0.70</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1.31</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0.74</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1.11</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1.14</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2.27</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1.58</w:t>
            </w:r>
          </w:p>
        </w:tc>
        <w:tc>
          <w:tcPr>
            <w:tcW w:w="830" w:type="dxa"/>
            <w:vAlign w:val="center"/>
          </w:tcPr>
          <w:p>
            <w:pPr>
              <w:spacing w:line="240" w:lineRule="auto"/>
              <w:ind w:firstLine="0" w:firstLineChars="0"/>
              <w:jc w:val="center"/>
              <w:rPr>
                <w:rFonts w:eastAsiaTheme="minorEastAsia"/>
                <w:sz w:val="21"/>
                <w:szCs w:val="21"/>
              </w:rPr>
            </w:pPr>
            <w:r>
              <w:rPr>
                <w:rFonts w:eastAsiaTheme="minorEastAsia"/>
                <w:sz w:val="21"/>
                <w:szCs w:val="21"/>
              </w:rPr>
              <w:t>2.62</w:t>
            </w:r>
          </w:p>
        </w:tc>
        <w:tc>
          <w:tcPr>
            <w:tcW w:w="833" w:type="dxa"/>
            <w:vAlign w:val="center"/>
          </w:tcPr>
          <w:p>
            <w:pPr>
              <w:spacing w:line="240" w:lineRule="auto"/>
              <w:ind w:firstLine="0" w:firstLineChars="0"/>
              <w:jc w:val="center"/>
              <w:rPr>
                <w:rFonts w:eastAsiaTheme="minorEastAsia"/>
                <w:sz w:val="21"/>
                <w:szCs w:val="21"/>
              </w:rPr>
            </w:pPr>
            <w:r>
              <w:rPr>
                <w:rFonts w:eastAsiaTheme="minorEastAsia"/>
                <w:sz w:val="21"/>
                <w:szCs w:val="21"/>
              </w:rPr>
              <w:t>5.08</w:t>
            </w:r>
          </w:p>
        </w:tc>
        <w:tc>
          <w:tcPr>
            <w:tcW w:w="824" w:type="dxa"/>
            <w:vAlign w:val="center"/>
          </w:tcPr>
          <w:p>
            <w:pPr>
              <w:spacing w:line="240" w:lineRule="auto"/>
              <w:ind w:firstLine="0" w:firstLineChars="0"/>
              <w:jc w:val="center"/>
              <w:rPr>
                <w:rFonts w:eastAsiaTheme="minorEastAsia"/>
                <w:sz w:val="21"/>
                <w:szCs w:val="21"/>
              </w:rPr>
            </w:pPr>
            <w:r>
              <w:rPr>
                <w:rFonts w:eastAsiaTheme="minorEastAsia"/>
                <w:sz w:val="21"/>
                <w:szCs w:val="21"/>
              </w:rPr>
              <w:t>3.05</w:t>
            </w:r>
          </w:p>
        </w:tc>
      </w:tr>
    </w:tbl>
    <w:p>
      <w:pPr>
        <w:ind w:firstLine="420"/>
        <w:jc w:val="center"/>
        <w:rPr>
          <w:rFonts w:eastAsiaTheme="minorEastAsia"/>
          <w:sz w:val="21"/>
          <w:szCs w:val="21"/>
        </w:rPr>
      </w:pPr>
    </w:p>
    <w:p>
      <w:pPr>
        <w:adjustRightInd w:val="0"/>
        <w:snapToGrid w:val="0"/>
        <w:ind w:left="420" w:firstLine="480"/>
        <w:rPr>
          <w:rFonts w:eastAsiaTheme="minorEastAsia"/>
          <w:snapToGrid w:val="0"/>
        </w:rPr>
        <w:sectPr>
          <w:pgSz w:w="16838" w:h="11906" w:orient="landscape"/>
          <w:pgMar w:top="1418" w:right="1418" w:bottom="1418" w:left="1418" w:header="567" w:footer="284" w:gutter="0"/>
          <w:cols w:space="425" w:num="1"/>
          <w:docGrid w:type="lines" w:linePitch="326" w:charSpace="0"/>
        </w:sectPr>
      </w:pPr>
    </w:p>
    <w:p>
      <w:pPr>
        <w:keepNext/>
        <w:adjustRightInd w:val="0"/>
        <w:snapToGrid w:val="0"/>
        <w:ind w:firstLine="482"/>
        <w:jc w:val="center"/>
        <w:rPr>
          <w:rFonts w:eastAsiaTheme="minorEastAsia"/>
        </w:rPr>
      </w:pPr>
      <w:r>
        <w:rPr>
          <w:rFonts w:hint="eastAsia" w:eastAsiaTheme="minorEastAsia"/>
          <w:b/>
        </w:rPr>
        <w:drawing>
          <wp:inline distT="0" distB="0" distL="0" distR="0">
            <wp:extent cx="5067300" cy="7229475"/>
            <wp:effectExtent l="0" t="0" r="0"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78"/>
                    <a:srcRect/>
                    <a:stretch>
                      <a:fillRect/>
                    </a:stretch>
                  </pic:blipFill>
                  <pic:spPr>
                    <a:xfrm>
                      <a:off x="0" y="0"/>
                      <a:ext cx="5067300" cy="7229475"/>
                    </a:xfrm>
                    <a:prstGeom prst="rect">
                      <a:avLst/>
                    </a:prstGeom>
                    <a:noFill/>
                    <a:ln>
                      <a:noFill/>
                    </a:ln>
                  </pic:spPr>
                </pic:pic>
              </a:graphicData>
            </a:graphic>
          </wp:inline>
        </w:drawing>
      </w:r>
    </w:p>
    <w:p>
      <w:pPr>
        <w:pStyle w:val="18"/>
      </w:pPr>
      <w:bookmarkStart w:id="448" w:name="_Ref528530481"/>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5</w:t>
      </w:r>
      <w:r>
        <w:fldChar w:fldCharType="end"/>
      </w:r>
      <w:bookmarkEnd w:id="448"/>
      <w:r>
        <w:t xml:space="preserve"> </w:t>
      </w:r>
      <w:r>
        <w:rPr>
          <w:rFonts w:hint="eastAsia"/>
        </w:rPr>
        <w:t>201</w:t>
      </w:r>
      <w:r>
        <w:t>7</w:t>
      </w:r>
      <w:r>
        <w:rPr>
          <w:rFonts w:hint="eastAsia"/>
        </w:rPr>
        <w:t>年风向玫瑰图</w:t>
      </w:r>
    </w:p>
    <w:p>
      <w:pPr>
        <w:adjustRightInd w:val="0"/>
        <w:snapToGrid w:val="0"/>
        <w:ind w:firstLine="0" w:firstLineChars="0"/>
        <w:jc w:val="center"/>
        <w:rPr>
          <w:rFonts w:eastAsiaTheme="minorEastAsia"/>
        </w:rPr>
      </w:pPr>
      <w:r>
        <w:rPr>
          <w:rFonts w:eastAsiaTheme="minorEastAsia"/>
        </w:rPr>
        <w:drawing>
          <wp:inline distT="0" distB="0" distL="0" distR="0">
            <wp:extent cx="5067300" cy="7229475"/>
            <wp:effectExtent l="0" t="0" r="0"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79"/>
                    <a:srcRect/>
                    <a:stretch>
                      <a:fillRect/>
                    </a:stretch>
                  </pic:blipFill>
                  <pic:spPr>
                    <a:xfrm>
                      <a:off x="0" y="0"/>
                      <a:ext cx="5067300" cy="7229475"/>
                    </a:xfrm>
                    <a:prstGeom prst="rect">
                      <a:avLst/>
                    </a:prstGeom>
                    <a:noFill/>
                    <a:ln>
                      <a:noFill/>
                    </a:ln>
                  </pic:spPr>
                </pic:pic>
              </a:graphicData>
            </a:graphic>
          </wp:inline>
        </w:drawing>
      </w:r>
    </w:p>
    <w:p>
      <w:pPr>
        <w:pStyle w:val="18"/>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6</w:t>
      </w:r>
      <w:r>
        <w:fldChar w:fldCharType="end"/>
      </w:r>
      <w:r>
        <w:t xml:space="preserve"> </w:t>
      </w:r>
      <w:r>
        <w:rPr>
          <w:rFonts w:hint="eastAsia"/>
        </w:rPr>
        <w:t>201</w:t>
      </w:r>
      <w:r>
        <w:t>7</w:t>
      </w:r>
      <w:r>
        <w:rPr>
          <w:rFonts w:hint="eastAsia"/>
        </w:rPr>
        <w:t>年风速玫瑰图</w:t>
      </w:r>
    </w:p>
    <w:p>
      <w:pPr>
        <w:numPr>
          <w:ilvl w:val="0"/>
          <w:numId w:val="52"/>
        </w:numPr>
        <w:wordWrap w:val="0"/>
        <w:ind w:firstLine="482" w:firstLineChars="0"/>
        <w:rPr>
          <w:rFonts w:cs="Times New Roman" w:eastAsiaTheme="minorEastAsia"/>
          <w:b/>
        </w:rPr>
      </w:pPr>
      <w:bookmarkStart w:id="449" w:name="_Ref528530888"/>
      <w:r>
        <w:rPr>
          <w:rFonts w:cs="Times New Roman" w:eastAsiaTheme="minorEastAsia"/>
          <w:b/>
        </w:rPr>
        <w:t>污染系数</w:t>
      </w:r>
    </w:p>
    <w:p>
      <w:pPr>
        <w:ind w:firstLine="480"/>
        <w:rPr>
          <w:rFonts w:eastAsiaTheme="minorEastAsia"/>
          <w:b/>
        </w:rPr>
      </w:pPr>
      <w:r>
        <w:rPr>
          <w:rFonts w:eastAsiaTheme="minorEastAsia"/>
        </w:rPr>
        <w:t>评价区域各风向年均污染系数的季变化及年均污染系数见</w:t>
      </w:r>
      <w:r>
        <w:rPr>
          <w:rFonts w:eastAsiaTheme="minorEastAsia"/>
        </w:rPr>
        <w:fldChar w:fldCharType="begin"/>
      </w:r>
      <w:r>
        <w:rPr>
          <w:rFonts w:eastAsiaTheme="minorEastAsia"/>
        </w:rPr>
        <w:instrText xml:space="preserve"> REF _Ref529976641 \h  \* MERGEFORMAT </w:instrText>
      </w:r>
      <w:r>
        <w:rPr>
          <w:rFonts w:eastAsiaTheme="minorEastAsia"/>
        </w:rPr>
        <w:fldChar w:fldCharType="separate"/>
      </w:r>
      <w:r>
        <w:rPr>
          <w:rFonts w:hint="eastAsia" w:eastAsiaTheme="minorEastAsia"/>
        </w:rPr>
        <w:t xml:space="preserve">表 </w:t>
      </w:r>
      <w:r>
        <w:rPr>
          <w:rFonts w:eastAsiaTheme="minorEastAsia"/>
        </w:rPr>
        <w:t>4.4</w:t>
      </w:r>
      <w:r>
        <w:rPr>
          <w:rFonts w:eastAsiaTheme="minorEastAsia"/>
        </w:rPr>
        <w:noBreakHyphen/>
      </w:r>
      <w:r>
        <w:rPr>
          <w:rFonts w:eastAsiaTheme="minorEastAsia"/>
        </w:rPr>
        <w:t>8</w:t>
      </w:r>
      <w:r>
        <w:rPr>
          <w:rFonts w:eastAsiaTheme="minorEastAsia"/>
        </w:rPr>
        <w:fldChar w:fldCharType="end"/>
      </w:r>
      <w:r>
        <w:rPr>
          <w:rFonts w:eastAsiaTheme="minorEastAsia"/>
        </w:rPr>
        <w:t>和</w:t>
      </w:r>
      <w:r>
        <w:rPr>
          <w:rFonts w:eastAsiaTheme="minorEastAsia"/>
        </w:rPr>
        <w:fldChar w:fldCharType="begin"/>
      </w:r>
      <w:r>
        <w:rPr>
          <w:rFonts w:eastAsiaTheme="minorEastAsia"/>
        </w:rPr>
        <w:instrText xml:space="preserve"> REF _Ref529976659 \h  \* MERGEFORMAT </w:instrText>
      </w:r>
      <w:r>
        <w:rPr>
          <w:rFonts w:eastAsiaTheme="minorEastAsia"/>
        </w:rPr>
        <w:fldChar w:fldCharType="separate"/>
      </w:r>
      <w:r>
        <w:rPr>
          <w:rFonts w:hint="eastAsia" w:eastAsiaTheme="minorEastAsia"/>
        </w:rPr>
        <w:t xml:space="preserve">图 </w:t>
      </w:r>
      <w:r>
        <w:rPr>
          <w:rFonts w:eastAsiaTheme="minorEastAsia"/>
        </w:rPr>
        <w:t>4.4</w:t>
      </w:r>
      <w:r>
        <w:rPr>
          <w:rFonts w:eastAsiaTheme="minorEastAsia"/>
        </w:rPr>
        <w:noBreakHyphen/>
      </w:r>
      <w:r>
        <w:rPr>
          <w:rFonts w:eastAsiaTheme="minorEastAsia"/>
        </w:rPr>
        <w:t>7</w:t>
      </w:r>
      <w:r>
        <w:rPr>
          <w:rFonts w:eastAsiaTheme="minorEastAsia"/>
        </w:rPr>
        <w:fldChar w:fldCharType="end"/>
      </w:r>
      <w:r>
        <w:rPr>
          <w:rFonts w:eastAsiaTheme="minorEastAsia"/>
        </w:rPr>
        <w:t>。全年平均污染系数为3.06m/s，吹北风和东北偏北风时污染源南部区域的污染系数最高，分别达到10.85和5.22，其余下风向区域的平均污染系数在1.43～3.59之间。秋、冬季污染源南部区域的平均污染系数较高，夏季污染源北部区域的平均污染系数较高。因此，从宏观上，本项目污染源北、南部区域可能受影响的程度相对较高，年内春、秋、冬季污染源南部区域可能受影响的程度相对较高，主要是向偏南方向输送，夏季污染源北部区域可能受影响的程度相对较高。</w:t>
      </w:r>
    </w:p>
    <w:p>
      <w:pPr>
        <w:numPr>
          <w:ilvl w:val="0"/>
          <w:numId w:val="52"/>
        </w:numPr>
        <w:wordWrap w:val="0"/>
        <w:ind w:firstLine="482"/>
        <w:rPr>
          <w:rFonts w:cs="Times New Roman" w:eastAsiaTheme="minorEastAsia"/>
          <w:b/>
        </w:rPr>
      </w:pPr>
      <w:r>
        <w:rPr>
          <w:rFonts w:cs="Times New Roman" w:eastAsiaTheme="minorEastAsia"/>
          <w:b/>
        </w:rPr>
        <w:t>大气稳定度</w:t>
      </w:r>
    </w:p>
    <w:p>
      <w:pPr>
        <w:ind w:firstLine="480"/>
        <w:rPr>
          <w:rFonts w:eastAsiaTheme="minorEastAsia"/>
        </w:rPr>
      </w:pPr>
      <w:r>
        <w:rPr>
          <w:rFonts w:eastAsiaTheme="minorEastAsia"/>
        </w:rPr>
        <w:t>大气稳定度大致上反映环境空气混合作用的强弱。统计结果</w:t>
      </w:r>
      <w:r>
        <w:rPr>
          <w:rFonts w:hint="eastAsia" w:eastAsiaTheme="minorEastAsia"/>
        </w:rPr>
        <w:t>见</w:t>
      </w:r>
      <w:r>
        <w:rPr>
          <w:rFonts w:eastAsiaTheme="minorEastAsia"/>
        </w:rPr>
        <w:fldChar w:fldCharType="begin"/>
      </w:r>
      <w:r>
        <w:rPr>
          <w:rFonts w:eastAsiaTheme="minorEastAsia"/>
        </w:rPr>
        <w:instrText xml:space="preserve"> </w:instrText>
      </w:r>
      <w:r>
        <w:rPr>
          <w:rFonts w:hint="eastAsia" w:eastAsiaTheme="minorEastAsia"/>
        </w:rPr>
        <w:instrText xml:space="preserve">REF _Ref529744532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4.4</w:t>
      </w:r>
      <w:r>
        <w:rPr>
          <w:rFonts w:eastAsiaTheme="minorEastAsia"/>
        </w:rPr>
        <w:noBreakHyphen/>
      </w:r>
      <w:r>
        <w:rPr>
          <w:rFonts w:eastAsiaTheme="minorEastAsia"/>
        </w:rPr>
        <w:t>9</w:t>
      </w:r>
      <w:r>
        <w:rPr>
          <w:rFonts w:eastAsiaTheme="minorEastAsia"/>
        </w:rPr>
        <w:fldChar w:fldCharType="end"/>
      </w:r>
      <w:r>
        <w:rPr>
          <w:rFonts w:eastAsiaTheme="minorEastAsia"/>
        </w:rPr>
        <w:t>，全年A类～C类稳定度合计为15.58%，E类～F类稳定度合计为26.85%，中性稳定度合计为57.58%。中性稳定情况所占比例较高。</w:t>
      </w:r>
    </w:p>
    <w:p>
      <w:pPr>
        <w:pStyle w:val="18"/>
      </w:pPr>
      <w:bookmarkStart w:id="450" w:name="_Ref529744532"/>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9</w:t>
      </w:r>
      <w:r>
        <w:fldChar w:fldCharType="end"/>
      </w:r>
      <w:bookmarkEnd w:id="450"/>
      <w:r>
        <w:t xml:space="preserve"> </w:t>
      </w:r>
      <w:r>
        <w:rPr>
          <w:rFonts w:hint="eastAsia"/>
        </w:rPr>
        <w:t>201</w:t>
      </w:r>
      <w:r>
        <w:t>7</w:t>
      </w:r>
      <w:r>
        <w:rPr>
          <w:rFonts w:hint="eastAsia"/>
        </w:rPr>
        <w:t>年开平市气象站各季及全年大气稳定度出现频率</w:t>
      </w:r>
    </w:p>
    <w:tbl>
      <w:tblPr>
        <w:tblStyle w:val="56"/>
        <w:tblW w:w="894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7"/>
        <w:gridCol w:w="841"/>
        <w:gridCol w:w="841"/>
        <w:gridCol w:w="841"/>
        <w:gridCol w:w="841"/>
        <w:gridCol w:w="849"/>
        <w:gridCol w:w="992"/>
        <w:gridCol w:w="841"/>
        <w:gridCol w:w="992"/>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17" w:type="dxa"/>
            <w:shd w:val="clear" w:color="auto" w:fill="auto"/>
            <w:vAlign w:val="center"/>
          </w:tcPr>
          <w:p>
            <w:pPr>
              <w:pStyle w:val="107"/>
              <w:rPr>
                <w:b/>
              </w:rPr>
            </w:pPr>
            <w:bookmarkStart w:id="451" w:name="_Hlk441181958"/>
            <w:bookmarkStart w:id="452" w:name="_Hlk441182566"/>
            <w:r>
              <w:rPr>
                <w:b/>
              </w:rPr>
              <w:t>时段</w:t>
            </w:r>
          </w:p>
        </w:tc>
        <w:tc>
          <w:tcPr>
            <w:tcW w:w="841" w:type="dxa"/>
            <w:shd w:val="clear" w:color="auto" w:fill="auto"/>
            <w:vAlign w:val="center"/>
          </w:tcPr>
          <w:p>
            <w:pPr>
              <w:pStyle w:val="107"/>
              <w:rPr>
                <w:b/>
              </w:rPr>
            </w:pPr>
            <w:r>
              <w:rPr>
                <w:b/>
              </w:rPr>
              <w:t>A</w:t>
            </w:r>
          </w:p>
        </w:tc>
        <w:tc>
          <w:tcPr>
            <w:tcW w:w="841" w:type="dxa"/>
            <w:shd w:val="clear" w:color="auto" w:fill="auto"/>
            <w:vAlign w:val="center"/>
          </w:tcPr>
          <w:p>
            <w:pPr>
              <w:pStyle w:val="107"/>
              <w:rPr>
                <w:b/>
              </w:rPr>
            </w:pPr>
            <w:r>
              <w:rPr>
                <w:b/>
              </w:rPr>
              <w:t>B</w:t>
            </w:r>
          </w:p>
        </w:tc>
        <w:tc>
          <w:tcPr>
            <w:tcW w:w="841" w:type="dxa"/>
            <w:shd w:val="clear" w:color="auto" w:fill="auto"/>
            <w:vAlign w:val="center"/>
          </w:tcPr>
          <w:p>
            <w:pPr>
              <w:pStyle w:val="107"/>
              <w:rPr>
                <w:b/>
              </w:rPr>
            </w:pPr>
            <w:r>
              <w:rPr>
                <w:b/>
              </w:rPr>
              <w:t>B-C</w:t>
            </w:r>
          </w:p>
        </w:tc>
        <w:tc>
          <w:tcPr>
            <w:tcW w:w="841" w:type="dxa"/>
            <w:shd w:val="clear" w:color="auto" w:fill="auto"/>
            <w:vAlign w:val="center"/>
          </w:tcPr>
          <w:p>
            <w:pPr>
              <w:pStyle w:val="107"/>
              <w:rPr>
                <w:b/>
              </w:rPr>
            </w:pPr>
            <w:r>
              <w:rPr>
                <w:b/>
              </w:rPr>
              <w:t>C</w:t>
            </w:r>
          </w:p>
        </w:tc>
        <w:tc>
          <w:tcPr>
            <w:tcW w:w="849" w:type="dxa"/>
            <w:shd w:val="clear" w:color="auto" w:fill="auto"/>
            <w:vAlign w:val="center"/>
          </w:tcPr>
          <w:p>
            <w:pPr>
              <w:pStyle w:val="107"/>
              <w:rPr>
                <w:b/>
              </w:rPr>
            </w:pPr>
            <w:r>
              <w:rPr>
                <w:b/>
              </w:rPr>
              <w:t>C-D</w:t>
            </w:r>
          </w:p>
        </w:tc>
        <w:tc>
          <w:tcPr>
            <w:tcW w:w="992" w:type="dxa"/>
            <w:shd w:val="clear" w:color="auto" w:fill="auto"/>
            <w:vAlign w:val="center"/>
          </w:tcPr>
          <w:p>
            <w:pPr>
              <w:pStyle w:val="107"/>
              <w:rPr>
                <w:b/>
              </w:rPr>
            </w:pPr>
            <w:r>
              <w:rPr>
                <w:b/>
              </w:rPr>
              <w:t>D</w:t>
            </w:r>
          </w:p>
        </w:tc>
        <w:tc>
          <w:tcPr>
            <w:tcW w:w="841" w:type="dxa"/>
            <w:shd w:val="clear" w:color="auto" w:fill="auto"/>
            <w:vAlign w:val="center"/>
          </w:tcPr>
          <w:p>
            <w:pPr>
              <w:pStyle w:val="107"/>
              <w:rPr>
                <w:b/>
              </w:rPr>
            </w:pPr>
            <w:r>
              <w:rPr>
                <w:b/>
              </w:rPr>
              <w:t>D-E</w:t>
            </w:r>
          </w:p>
        </w:tc>
        <w:tc>
          <w:tcPr>
            <w:tcW w:w="992" w:type="dxa"/>
            <w:shd w:val="clear" w:color="auto" w:fill="auto"/>
            <w:vAlign w:val="center"/>
          </w:tcPr>
          <w:p>
            <w:pPr>
              <w:pStyle w:val="107"/>
              <w:rPr>
                <w:b/>
              </w:rPr>
            </w:pPr>
            <w:r>
              <w:rPr>
                <w:b/>
              </w:rPr>
              <w:t>E</w:t>
            </w:r>
          </w:p>
        </w:tc>
        <w:tc>
          <w:tcPr>
            <w:tcW w:w="992" w:type="dxa"/>
            <w:shd w:val="clear" w:color="auto" w:fill="auto"/>
            <w:vAlign w:val="center"/>
          </w:tcPr>
          <w:p>
            <w:pPr>
              <w:pStyle w:val="107"/>
              <w:rPr>
                <w:b/>
              </w:rPr>
            </w:pPr>
            <w:r>
              <w:rPr>
                <w:b/>
              </w:rPr>
              <w:t>F</w:t>
            </w:r>
          </w:p>
        </w:tc>
      </w:tr>
      <w:bookmarkEnd w:id="451"/>
      <w:bookmarkEnd w:id="452"/>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17" w:type="dxa"/>
            <w:shd w:val="clear" w:color="auto" w:fill="auto"/>
            <w:vAlign w:val="center"/>
          </w:tcPr>
          <w:p>
            <w:pPr>
              <w:pStyle w:val="107"/>
            </w:pPr>
            <w:r>
              <w:t>全年</w:t>
            </w:r>
          </w:p>
        </w:tc>
        <w:tc>
          <w:tcPr>
            <w:tcW w:w="841" w:type="dxa"/>
            <w:shd w:val="clear" w:color="auto" w:fill="auto"/>
          </w:tcPr>
          <w:p>
            <w:pPr>
              <w:pStyle w:val="107"/>
            </w:pPr>
            <w:r>
              <w:t>0.81</w:t>
            </w:r>
          </w:p>
        </w:tc>
        <w:tc>
          <w:tcPr>
            <w:tcW w:w="841" w:type="dxa"/>
            <w:shd w:val="clear" w:color="auto" w:fill="auto"/>
          </w:tcPr>
          <w:p>
            <w:pPr>
              <w:pStyle w:val="107"/>
            </w:pPr>
            <w:r>
              <w:t>8.69</w:t>
            </w:r>
          </w:p>
        </w:tc>
        <w:tc>
          <w:tcPr>
            <w:tcW w:w="841" w:type="dxa"/>
            <w:shd w:val="clear" w:color="auto" w:fill="auto"/>
          </w:tcPr>
          <w:p>
            <w:pPr>
              <w:pStyle w:val="107"/>
            </w:pPr>
            <w:r>
              <w:t>2.80</w:t>
            </w:r>
          </w:p>
        </w:tc>
        <w:tc>
          <w:tcPr>
            <w:tcW w:w="841" w:type="dxa"/>
            <w:shd w:val="clear" w:color="auto" w:fill="auto"/>
          </w:tcPr>
          <w:p>
            <w:pPr>
              <w:pStyle w:val="107"/>
            </w:pPr>
            <w:r>
              <w:t>2.89</w:t>
            </w:r>
          </w:p>
        </w:tc>
        <w:tc>
          <w:tcPr>
            <w:tcW w:w="849" w:type="dxa"/>
            <w:shd w:val="clear" w:color="auto" w:fill="auto"/>
          </w:tcPr>
          <w:p>
            <w:pPr>
              <w:pStyle w:val="107"/>
            </w:pPr>
            <w:r>
              <w:t>0.39</w:t>
            </w:r>
          </w:p>
        </w:tc>
        <w:tc>
          <w:tcPr>
            <w:tcW w:w="992" w:type="dxa"/>
            <w:shd w:val="clear" w:color="auto" w:fill="auto"/>
          </w:tcPr>
          <w:p>
            <w:pPr>
              <w:pStyle w:val="107"/>
            </w:pPr>
            <w:r>
              <w:t>57.58</w:t>
            </w:r>
          </w:p>
        </w:tc>
        <w:tc>
          <w:tcPr>
            <w:tcW w:w="841" w:type="dxa"/>
            <w:shd w:val="clear" w:color="auto" w:fill="auto"/>
          </w:tcPr>
          <w:p>
            <w:pPr>
              <w:pStyle w:val="107"/>
            </w:pPr>
            <w:r>
              <w:t>0.00</w:t>
            </w:r>
          </w:p>
        </w:tc>
        <w:tc>
          <w:tcPr>
            <w:tcW w:w="992" w:type="dxa"/>
            <w:shd w:val="clear" w:color="auto" w:fill="auto"/>
          </w:tcPr>
          <w:p>
            <w:pPr>
              <w:pStyle w:val="107"/>
            </w:pPr>
            <w:r>
              <w:t>5.97</w:t>
            </w:r>
          </w:p>
        </w:tc>
        <w:tc>
          <w:tcPr>
            <w:tcW w:w="992" w:type="dxa"/>
            <w:shd w:val="clear" w:color="auto" w:fill="auto"/>
          </w:tcPr>
          <w:p>
            <w:pPr>
              <w:pStyle w:val="107"/>
            </w:pPr>
            <w:r>
              <w:t>20.88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17" w:type="dxa"/>
            <w:shd w:val="clear" w:color="auto" w:fill="auto"/>
            <w:vAlign w:val="center"/>
          </w:tcPr>
          <w:p>
            <w:pPr>
              <w:pStyle w:val="107"/>
            </w:pPr>
            <w:r>
              <w:t>春季</w:t>
            </w:r>
          </w:p>
        </w:tc>
        <w:tc>
          <w:tcPr>
            <w:tcW w:w="841" w:type="dxa"/>
            <w:shd w:val="clear" w:color="auto" w:fill="auto"/>
          </w:tcPr>
          <w:p>
            <w:pPr>
              <w:pStyle w:val="107"/>
            </w:pPr>
            <w:r>
              <w:t>1.04</w:t>
            </w:r>
          </w:p>
        </w:tc>
        <w:tc>
          <w:tcPr>
            <w:tcW w:w="841" w:type="dxa"/>
            <w:shd w:val="clear" w:color="auto" w:fill="auto"/>
          </w:tcPr>
          <w:p>
            <w:pPr>
              <w:pStyle w:val="107"/>
            </w:pPr>
            <w:r>
              <w:t>9.15</w:t>
            </w:r>
          </w:p>
        </w:tc>
        <w:tc>
          <w:tcPr>
            <w:tcW w:w="841" w:type="dxa"/>
            <w:shd w:val="clear" w:color="auto" w:fill="auto"/>
          </w:tcPr>
          <w:p>
            <w:pPr>
              <w:pStyle w:val="107"/>
            </w:pPr>
            <w:r>
              <w:t>2.17</w:t>
            </w:r>
          </w:p>
        </w:tc>
        <w:tc>
          <w:tcPr>
            <w:tcW w:w="841" w:type="dxa"/>
            <w:shd w:val="clear" w:color="auto" w:fill="auto"/>
          </w:tcPr>
          <w:p>
            <w:pPr>
              <w:pStyle w:val="107"/>
            </w:pPr>
            <w:r>
              <w:t>2.81</w:t>
            </w:r>
          </w:p>
        </w:tc>
        <w:tc>
          <w:tcPr>
            <w:tcW w:w="849" w:type="dxa"/>
            <w:shd w:val="clear" w:color="auto" w:fill="auto"/>
          </w:tcPr>
          <w:p>
            <w:pPr>
              <w:pStyle w:val="107"/>
            </w:pPr>
            <w:r>
              <w:t>0.63</w:t>
            </w:r>
          </w:p>
        </w:tc>
        <w:tc>
          <w:tcPr>
            <w:tcW w:w="992" w:type="dxa"/>
            <w:shd w:val="clear" w:color="auto" w:fill="auto"/>
          </w:tcPr>
          <w:p>
            <w:pPr>
              <w:pStyle w:val="107"/>
            </w:pPr>
            <w:r>
              <w:t>54.71</w:t>
            </w:r>
          </w:p>
        </w:tc>
        <w:tc>
          <w:tcPr>
            <w:tcW w:w="841" w:type="dxa"/>
            <w:shd w:val="clear" w:color="auto" w:fill="auto"/>
          </w:tcPr>
          <w:p>
            <w:pPr>
              <w:pStyle w:val="107"/>
            </w:pPr>
            <w:r>
              <w:t>0.00</w:t>
            </w:r>
          </w:p>
        </w:tc>
        <w:tc>
          <w:tcPr>
            <w:tcW w:w="992" w:type="dxa"/>
            <w:shd w:val="clear" w:color="auto" w:fill="auto"/>
          </w:tcPr>
          <w:p>
            <w:pPr>
              <w:pStyle w:val="107"/>
            </w:pPr>
            <w:r>
              <w:t>7.07</w:t>
            </w:r>
          </w:p>
        </w:tc>
        <w:tc>
          <w:tcPr>
            <w:tcW w:w="992" w:type="dxa"/>
            <w:shd w:val="clear" w:color="auto" w:fill="auto"/>
          </w:tcPr>
          <w:p>
            <w:pPr>
              <w:pStyle w:val="107"/>
            </w:pPr>
            <w:r>
              <w:t>22.42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17" w:type="dxa"/>
            <w:shd w:val="clear" w:color="auto" w:fill="auto"/>
            <w:vAlign w:val="center"/>
          </w:tcPr>
          <w:p>
            <w:pPr>
              <w:pStyle w:val="107"/>
            </w:pPr>
            <w:r>
              <w:t>夏季</w:t>
            </w:r>
          </w:p>
        </w:tc>
        <w:tc>
          <w:tcPr>
            <w:tcW w:w="841" w:type="dxa"/>
            <w:shd w:val="clear" w:color="auto" w:fill="auto"/>
          </w:tcPr>
          <w:p>
            <w:pPr>
              <w:pStyle w:val="107"/>
            </w:pPr>
            <w:r>
              <w:t>1.95</w:t>
            </w:r>
          </w:p>
        </w:tc>
        <w:tc>
          <w:tcPr>
            <w:tcW w:w="841" w:type="dxa"/>
            <w:shd w:val="clear" w:color="auto" w:fill="auto"/>
          </w:tcPr>
          <w:p>
            <w:pPr>
              <w:pStyle w:val="107"/>
            </w:pPr>
            <w:r>
              <w:t>10.05</w:t>
            </w:r>
          </w:p>
        </w:tc>
        <w:tc>
          <w:tcPr>
            <w:tcW w:w="841" w:type="dxa"/>
            <w:shd w:val="clear" w:color="auto" w:fill="auto"/>
          </w:tcPr>
          <w:p>
            <w:pPr>
              <w:pStyle w:val="107"/>
            </w:pPr>
            <w:r>
              <w:t>1.49</w:t>
            </w:r>
          </w:p>
        </w:tc>
        <w:tc>
          <w:tcPr>
            <w:tcW w:w="841" w:type="dxa"/>
            <w:shd w:val="clear" w:color="auto" w:fill="auto"/>
          </w:tcPr>
          <w:p>
            <w:pPr>
              <w:pStyle w:val="107"/>
            </w:pPr>
            <w:r>
              <w:t>1.81</w:t>
            </w:r>
          </w:p>
        </w:tc>
        <w:tc>
          <w:tcPr>
            <w:tcW w:w="849" w:type="dxa"/>
            <w:shd w:val="clear" w:color="auto" w:fill="auto"/>
          </w:tcPr>
          <w:p>
            <w:pPr>
              <w:pStyle w:val="107"/>
            </w:pPr>
            <w:r>
              <w:t>0.18</w:t>
            </w:r>
          </w:p>
        </w:tc>
        <w:tc>
          <w:tcPr>
            <w:tcW w:w="992" w:type="dxa"/>
            <w:shd w:val="clear" w:color="auto" w:fill="auto"/>
          </w:tcPr>
          <w:p>
            <w:pPr>
              <w:pStyle w:val="107"/>
            </w:pPr>
            <w:r>
              <w:t>63.04</w:t>
            </w:r>
          </w:p>
        </w:tc>
        <w:tc>
          <w:tcPr>
            <w:tcW w:w="841" w:type="dxa"/>
            <w:shd w:val="clear" w:color="auto" w:fill="auto"/>
          </w:tcPr>
          <w:p>
            <w:pPr>
              <w:pStyle w:val="107"/>
            </w:pPr>
            <w:r>
              <w:t>0.00</w:t>
            </w:r>
          </w:p>
        </w:tc>
        <w:tc>
          <w:tcPr>
            <w:tcW w:w="992" w:type="dxa"/>
            <w:shd w:val="clear" w:color="auto" w:fill="auto"/>
          </w:tcPr>
          <w:p>
            <w:pPr>
              <w:pStyle w:val="107"/>
            </w:pPr>
            <w:r>
              <w:t>4.57</w:t>
            </w:r>
          </w:p>
        </w:tc>
        <w:tc>
          <w:tcPr>
            <w:tcW w:w="992" w:type="dxa"/>
            <w:shd w:val="clear" w:color="auto" w:fill="auto"/>
          </w:tcPr>
          <w:p>
            <w:pPr>
              <w:pStyle w:val="107"/>
            </w:pPr>
            <w:r>
              <w:t>16.89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17" w:type="dxa"/>
            <w:shd w:val="clear" w:color="auto" w:fill="auto"/>
            <w:vAlign w:val="center"/>
          </w:tcPr>
          <w:p>
            <w:pPr>
              <w:pStyle w:val="107"/>
            </w:pPr>
            <w:r>
              <w:t>秋季</w:t>
            </w:r>
          </w:p>
        </w:tc>
        <w:tc>
          <w:tcPr>
            <w:tcW w:w="841" w:type="dxa"/>
            <w:shd w:val="clear" w:color="auto" w:fill="auto"/>
          </w:tcPr>
          <w:p>
            <w:pPr>
              <w:pStyle w:val="107"/>
            </w:pPr>
            <w:r>
              <w:t>0.23</w:t>
            </w:r>
          </w:p>
        </w:tc>
        <w:tc>
          <w:tcPr>
            <w:tcW w:w="841" w:type="dxa"/>
            <w:shd w:val="clear" w:color="auto" w:fill="auto"/>
          </w:tcPr>
          <w:p>
            <w:pPr>
              <w:pStyle w:val="107"/>
            </w:pPr>
            <w:r>
              <w:t>9.39</w:t>
            </w:r>
          </w:p>
        </w:tc>
        <w:tc>
          <w:tcPr>
            <w:tcW w:w="841" w:type="dxa"/>
            <w:shd w:val="clear" w:color="auto" w:fill="auto"/>
          </w:tcPr>
          <w:p>
            <w:pPr>
              <w:pStyle w:val="107"/>
            </w:pPr>
            <w:r>
              <w:t>3.75</w:t>
            </w:r>
          </w:p>
        </w:tc>
        <w:tc>
          <w:tcPr>
            <w:tcW w:w="841" w:type="dxa"/>
            <w:shd w:val="clear" w:color="auto" w:fill="auto"/>
          </w:tcPr>
          <w:p>
            <w:pPr>
              <w:pStyle w:val="107"/>
            </w:pPr>
            <w:r>
              <w:t>2.93</w:t>
            </w:r>
          </w:p>
        </w:tc>
        <w:tc>
          <w:tcPr>
            <w:tcW w:w="849" w:type="dxa"/>
            <w:shd w:val="clear" w:color="auto" w:fill="auto"/>
          </w:tcPr>
          <w:p>
            <w:pPr>
              <w:pStyle w:val="107"/>
            </w:pPr>
            <w:r>
              <w:t>0.09</w:t>
            </w:r>
          </w:p>
        </w:tc>
        <w:tc>
          <w:tcPr>
            <w:tcW w:w="992" w:type="dxa"/>
            <w:shd w:val="clear" w:color="auto" w:fill="auto"/>
          </w:tcPr>
          <w:p>
            <w:pPr>
              <w:pStyle w:val="107"/>
            </w:pPr>
            <w:r>
              <w:t>56.14</w:t>
            </w:r>
          </w:p>
        </w:tc>
        <w:tc>
          <w:tcPr>
            <w:tcW w:w="841" w:type="dxa"/>
            <w:shd w:val="clear" w:color="auto" w:fill="auto"/>
          </w:tcPr>
          <w:p>
            <w:pPr>
              <w:pStyle w:val="107"/>
            </w:pPr>
            <w:r>
              <w:t>0.00</w:t>
            </w:r>
          </w:p>
        </w:tc>
        <w:tc>
          <w:tcPr>
            <w:tcW w:w="992" w:type="dxa"/>
            <w:shd w:val="clear" w:color="auto" w:fill="auto"/>
          </w:tcPr>
          <w:p>
            <w:pPr>
              <w:pStyle w:val="107"/>
            </w:pPr>
            <w:r>
              <w:t>5.63</w:t>
            </w:r>
          </w:p>
        </w:tc>
        <w:tc>
          <w:tcPr>
            <w:tcW w:w="992" w:type="dxa"/>
            <w:shd w:val="clear" w:color="auto" w:fill="auto"/>
          </w:tcPr>
          <w:p>
            <w:pPr>
              <w:pStyle w:val="107"/>
            </w:pPr>
            <w:r>
              <w:t>21.84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17" w:type="dxa"/>
            <w:shd w:val="clear" w:color="auto" w:fill="auto"/>
            <w:vAlign w:val="center"/>
          </w:tcPr>
          <w:p>
            <w:pPr>
              <w:pStyle w:val="107"/>
            </w:pPr>
            <w:r>
              <w:t>冬季</w:t>
            </w:r>
          </w:p>
        </w:tc>
        <w:tc>
          <w:tcPr>
            <w:tcW w:w="841" w:type="dxa"/>
            <w:shd w:val="clear" w:color="auto" w:fill="auto"/>
          </w:tcPr>
          <w:p>
            <w:pPr>
              <w:pStyle w:val="107"/>
            </w:pPr>
            <w:r>
              <w:t>0.00</w:t>
            </w:r>
          </w:p>
        </w:tc>
        <w:tc>
          <w:tcPr>
            <w:tcW w:w="841" w:type="dxa"/>
            <w:shd w:val="clear" w:color="auto" w:fill="auto"/>
          </w:tcPr>
          <w:p>
            <w:pPr>
              <w:pStyle w:val="107"/>
            </w:pPr>
            <w:r>
              <w:t>6.14</w:t>
            </w:r>
          </w:p>
        </w:tc>
        <w:tc>
          <w:tcPr>
            <w:tcW w:w="841" w:type="dxa"/>
            <w:shd w:val="clear" w:color="auto" w:fill="auto"/>
          </w:tcPr>
          <w:p>
            <w:pPr>
              <w:pStyle w:val="107"/>
            </w:pPr>
            <w:r>
              <w:t>3.80</w:t>
            </w:r>
          </w:p>
        </w:tc>
        <w:tc>
          <w:tcPr>
            <w:tcW w:w="841" w:type="dxa"/>
            <w:shd w:val="clear" w:color="auto" w:fill="auto"/>
          </w:tcPr>
          <w:p>
            <w:pPr>
              <w:pStyle w:val="107"/>
            </w:pPr>
            <w:r>
              <w:t>4.03</w:t>
            </w:r>
          </w:p>
        </w:tc>
        <w:tc>
          <w:tcPr>
            <w:tcW w:w="849" w:type="dxa"/>
            <w:shd w:val="clear" w:color="auto" w:fill="auto"/>
          </w:tcPr>
          <w:p>
            <w:pPr>
              <w:pStyle w:val="107"/>
            </w:pPr>
            <w:r>
              <w:t>0.64</w:t>
            </w:r>
          </w:p>
        </w:tc>
        <w:tc>
          <w:tcPr>
            <w:tcW w:w="992" w:type="dxa"/>
            <w:shd w:val="clear" w:color="auto" w:fill="auto"/>
          </w:tcPr>
          <w:p>
            <w:pPr>
              <w:pStyle w:val="107"/>
            </w:pPr>
            <w:r>
              <w:t>56.41</w:t>
            </w:r>
          </w:p>
        </w:tc>
        <w:tc>
          <w:tcPr>
            <w:tcW w:w="841" w:type="dxa"/>
            <w:shd w:val="clear" w:color="auto" w:fill="auto"/>
          </w:tcPr>
          <w:p>
            <w:pPr>
              <w:pStyle w:val="107"/>
            </w:pPr>
            <w:r>
              <w:t>0.00</w:t>
            </w:r>
          </w:p>
        </w:tc>
        <w:tc>
          <w:tcPr>
            <w:tcW w:w="992" w:type="dxa"/>
            <w:shd w:val="clear" w:color="auto" w:fill="auto"/>
          </w:tcPr>
          <w:p>
            <w:pPr>
              <w:pStyle w:val="107"/>
            </w:pPr>
            <w:r>
              <w:t>6.59</w:t>
            </w:r>
          </w:p>
        </w:tc>
        <w:tc>
          <w:tcPr>
            <w:tcW w:w="992" w:type="dxa"/>
            <w:shd w:val="clear" w:color="auto" w:fill="auto"/>
          </w:tcPr>
          <w:p>
            <w:pPr>
              <w:pStyle w:val="107"/>
            </w:pPr>
            <w:r>
              <w:t>22.39</w:t>
            </w:r>
          </w:p>
        </w:tc>
      </w:tr>
    </w:tbl>
    <w:p>
      <w:pPr>
        <w:numPr>
          <w:ilvl w:val="0"/>
          <w:numId w:val="52"/>
        </w:numPr>
        <w:wordWrap w:val="0"/>
        <w:ind w:firstLine="482"/>
        <w:rPr>
          <w:rFonts w:cs="Times New Roman" w:eastAsiaTheme="minorEastAsia"/>
          <w:b/>
        </w:rPr>
      </w:pPr>
      <w:r>
        <w:rPr>
          <w:rFonts w:cs="Times New Roman" w:eastAsiaTheme="minorEastAsia"/>
          <w:b/>
        </w:rPr>
        <w:t>混合层高度及逆温</w:t>
      </w:r>
    </w:p>
    <w:p>
      <w:pPr>
        <w:ind w:firstLine="480"/>
        <w:rPr>
          <w:rFonts w:eastAsiaTheme="minorEastAsia"/>
          <w:b/>
        </w:rPr>
      </w:pPr>
      <w:r>
        <w:rPr>
          <w:rFonts w:eastAsiaTheme="minorEastAsia"/>
        </w:rPr>
        <w:t>2017年各稳定度的混合层平均高度及平均风速见</w:t>
      </w:r>
      <w:r>
        <w:rPr>
          <w:rFonts w:eastAsiaTheme="minorEastAsia"/>
        </w:rPr>
        <w:fldChar w:fldCharType="begin"/>
      </w:r>
      <w:r>
        <w:rPr>
          <w:rFonts w:eastAsiaTheme="minorEastAsia"/>
        </w:rPr>
        <w:instrText xml:space="preserve"> REF _Ref528530898 \h  \* MERGEFORMAT </w:instrText>
      </w:r>
      <w:r>
        <w:rPr>
          <w:rFonts w:eastAsiaTheme="minorEastAsia"/>
        </w:rPr>
        <w:fldChar w:fldCharType="separate"/>
      </w:r>
      <w:r>
        <w:rPr>
          <w:rFonts w:hint="eastAsia"/>
        </w:rPr>
        <w:t xml:space="preserve">表 </w:t>
      </w:r>
      <w:r>
        <w:t>4.4</w:t>
      </w:r>
      <w:r>
        <w:noBreakHyphen/>
      </w:r>
      <w:r>
        <w:t>10</w:t>
      </w:r>
      <w:r>
        <w:rPr>
          <w:rFonts w:eastAsiaTheme="minorEastAsia"/>
        </w:rPr>
        <w:fldChar w:fldCharType="end"/>
      </w:r>
      <w:r>
        <w:rPr>
          <w:rFonts w:eastAsiaTheme="minorEastAsia"/>
        </w:rPr>
        <w:t>。由表可知，夏季混合层高度最高，为509m；春季逆温出现概率最高，为29.48%。</w:t>
      </w:r>
    </w:p>
    <w:bookmarkEnd w:id="449"/>
    <w:p>
      <w:pPr>
        <w:pStyle w:val="18"/>
      </w:pPr>
      <w:bookmarkStart w:id="453" w:name="_Ref528530898"/>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10</w:t>
      </w:r>
      <w:r>
        <w:fldChar w:fldCharType="end"/>
      </w:r>
      <w:bookmarkEnd w:id="453"/>
      <w:r>
        <w:t xml:space="preserve"> </w:t>
      </w:r>
      <w:r>
        <w:rPr>
          <w:rFonts w:hint="eastAsia"/>
        </w:rPr>
        <w:t>201</w:t>
      </w:r>
      <w:r>
        <w:t>7</w:t>
      </w:r>
      <w:r>
        <w:rPr>
          <w:rFonts w:hint="eastAsia"/>
        </w:rPr>
        <w:t>年开平市气象站各稳定度的混合层平均高度及平均风速</w:t>
      </w:r>
    </w:p>
    <w:tbl>
      <w:tblPr>
        <w:tblStyle w:val="56"/>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1789"/>
        <w:gridCol w:w="1790"/>
        <w:gridCol w:w="1789"/>
        <w:gridCol w:w="17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89" w:type="dxa"/>
            <w:vAlign w:val="center"/>
          </w:tcPr>
          <w:p>
            <w:pPr>
              <w:adjustRightInd w:val="0"/>
              <w:snapToGrid w:val="0"/>
              <w:spacing w:line="240" w:lineRule="auto"/>
              <w:ind w:firstLine="0" w:firstLineChars="0"/>
              <w:jc w:val="center"/>
              <w:rPr>
                <w:rFonts w:eastAsiaTheme="minorEastAsia"/>
                <w:b/>
                <w:sz w:val="21"/>
                <w:szCs w:val="21"/>
              </w:rPr>
            </w:pPr>
            <w:r>
              <w:rPr>
                <w:rFonts w:hint="eastAsia" w:eastAsiaTheme="minorEastAsia"/>
                <w:b/>
                <w:sz w:val="21"/>
                <w:szCs w:val="21"/>
              </w:rPr>
              <w:t>季节</w:t>
            </w:r>
          </w:p>
        </w:tc>
        <w:tc>
          <w:tcPr>
            <w:tcW w:w="1789" w:type="dxa"/>
            <w:vAlign w:val="center"/>
          </w:tcPr>
          <w:p>
            <w:pPr>
              <w:adjustRightInd w:val="0"/>
              <w:snapToGrid w:val="0"/>
              <w:spacing w:line="240" w:lineRule="auto"/>
              <w:ind w:firstLine="0" w:firstLineChars="0"/>
              <w:jc w:val="center"/>
              <w:rPr>
                <w:rFonts w:eastAsiaTheme="minorEastAsia"/>
                <w:b/>
                <w:sz w:val="21"/>
                <w:szCs w:val="21"/>
              </w:rPr>
            </w:pPr>
            <w:r>
              <w:rPr>
                <w:rFonts w:hint="eastAsia" w:eastAsiaTheme="minorEastAsia"/>
                <w:b/>
                <w:sz w:val="21"/>
                <w:szCs w:val="21"/>
              </w:rPr>
              <w:t>春季</w:t>
            </w:r>
          </w:p>
        </w:tc>
        <w:tc>
          <w:tcPr>
            <w:tcW w:w="1790" w:type="dxa"/>
            <w:vAlign w:val="center"/>
          </w:tcPr>
          <w:p>
            <w:pPr>
              <w:adjustRightInd w:val="0"/>
              <w:snapToGrid w:val="0"/>
              <w:spacing w:line="240" w:lineRule="auto"/>
              <w:ind w:firstLine="0" w:firstLineChars="0"/>
              <w:jc w:val="center"/>
              <w:rPr>
                <w:rFonts w:eastAsiaTheme="minorEastAsia"/>
                <w:b/>
                <w:sz w:val="21"/>
                <w:szCs w:val="21"/>
              </w:rPr>
            </w:pPr>
            <w:r>
              <w:rPr>
                <w:rFonts w:hint="eastAsia" w:eastAsiaTheme="minorEastAsia"/>
                <w:b/>
                <w:sz w:val="21"/>
                <w:szCs w:val="21"/>
              </w:rPr>
              <w:t>夏季</w:t>
            </w:r>
          </w:p>
        </w:tc>
        <w:tc>
          <w:tcPr>
            <w:tcW w:w="1789" w:type="dxa"/>
            <w:vAlign w:val="center"/>
          </w:tcPr>
          <w:p>
            <w:pPr>
              <w:adjustRightInd w:val="0"/>
              <w:snapToGrid w:val="0"/>
              <w:spacing w:line="240" w:lineRule="auto"/>
              <w:ind w:firstLine="0" w:firstLineChars="0"/>
              <w:jc w:val="center"/>
              <w:rPr>
                <w:rFonts w:eastAsiaTheme="minorEastAsia"/>
                <w:b/>
                <w:sz w:val="21"/>
                <w:szCs w:val="21"/>
              </w:rPr>
            </w:pPr>
            <w:r>
              <w:rPr>
                <w:rFonts w:hint="eastAsia" w:eastAsiaTheme="minorEastAsia"/>
                <w:b/>
                <w:sz w:val="21"/>
                <w:szCs w:val="21"/>
              </w:rPr>
              <w:t>秋季</w:t>
            </w:r>
          </w:p>
        </w:tc>
        <w:tc>
          <w:tcPr>
            <w:tcW w:w="1789" w:type="dxa"/>
            <w:vAlign w:val="center"/>
          </w:tcPr>
          <w:p>
            <w:pPr>
              <w:adjustRightInd w:val="0"/>
              <w:snapToGrid w:val="0"/>
              <w:spacing w:line="240" w:lineRule="auto"/>
              <w:ind w:firstLine="0" w:firstLineChars="0"/>
              <w:jc w:val="center"/>
              <w:rPr>
                <w:rFonts w:eastAsiaTheme="minorEastAsia"/>
                <w:b/>
                <w:sz w:val="21"/>
                <w:szCs w:val="21"/>
              </w:rPr>
            </w:pPr>
            <w:r>
              <w:rPr>
                <w:rFonts w:hint="eastAsia" w:eastAsiaTheme="minorEastAsia"/>
                <w:b/>
                <w:sz w:val="21"/>
                <w:szCs w:val="21"/>
              </w:rPr>
              <w:t>冬季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89" w:type="dxa"/>
            <w:vAlign w:val="center"/>
          </w:tcPr>
          <w:p>
            <w:pPr>
              <w:adjustRightInd w:val="0"/>
              <w:snapToGrid w:val="0"/>
              <w:spacing w:line="240" w:lineRule="auto"/>
              <w:ind w:firstLine="0" w:firstLineChars="0"/>
              <w:jc w:val="center"/>
              <w:rPr>
                <w:rFonts w:eastAsiaTheme="minorEastAsia"/>
                <w:sz w:val="21"/>
                <w:szCs w:val="21"/>
              </w:rPr>
            </w:pPr>
            <w:r>
              <w:rPr>
                <w:rFonts w:hint="eastAsia" w:eastAsiaTheme="minorEastAsia"/>
                <w:sz w:val="21"/>
                <w:szCs w:val="21"/>
              </w:rPr>
              <w:t>混合层平均高,m</w:t>
            </w:r>
          </w:p>
        </w:tc>
        <w:tc>
          <w:tcPr>
            <w:tcW w:w="1789" w:type="dxa"/>
            <w:vAlign w:val="center"/>
          </w:tcPr>
          <w:p>
            <w:pPr>
              <w:adjustRightInd w:val="0"/>
              <w:snapToGrid w:val="0"/>
              <w:spacing w:line="240" w:lineRule="auto"/>
              <w:ind w:firstLine="0" w:firstLineChars="0"/>
              <w:jc w:val="center"/>
              <w:rPr>
                <w:rFonts w:eastAsiaTheme="minorEastAsia"/>
                <w:sz w:val="21"/>
                <w:szCs w:val="21"/>
              </w:rPr>
            </w:pPr>
            <w:r>
              <w:rPr>
                <w:rFonts w:eastAsiaTheme="minorEastAsia"/>
                <w:sz w:val="21"/>
                <w:szCs w:val="21"/>
              </w:rPr>
              <w:t>496</w:t>
            </w:r>
          </w:p>
        </w:tc>
        <w:tc>
          <w:tcPr>
            <w:tcW w:w="1790" w:type="dxa"/>
            <w:vAlign w:val="center"/>
          </w:tcPr>
          <w:p>
            <w:pPr>
              <w:adjustRightInd w:val="0"/>
              <w:snapToGrid w:val="0"/>
              <w:spacing w:line="240" w:lineRule="auto"/>
              <w:ind w:firstLine="0" w:firstLineChars="0"/>
              <w:jc w:val="center"/>
              <w:rPr>
                <w:rFonts w:eastAsiaTheme="minorEastAsia"/>
                <w:sz w:val="21"/>
                <w:szCs w:val="21"/>
              </w:rPr>
            </w:pPr>
            <w:r>
              <w:rPr>
                <w:rFonts w:eastAsiaTheme="minorEastAsia"/>
                <w:sz w:val="21"/>
                <w:szCs w:val="21"/>
              </w:rPr>
              <w:t>509</w:t>
            </w:r>
          </w:p>
        </w:tc>
        <w:tc>
          <w:tcPr>
            <w:tcW w:w="1789" w:type="dxa"/>
            <w:vAlign w:val="center"/>
          </w:tcPr>
          <w:p>
            <w:pPr>
              <w:adjustRightInd w:val="0"/>
              <w:snapToGrid w:val="0"/>
              <w:spacing w:line="240" w:lineRule="auto"/>
              <w:ind w:firstLine="0" w:firstLineChars="0"/>
              <w:jc w:val="center"/>
              <w:rPr>
                <w:rFonts w:eastAsiaTheme="minorEastAsia"/>
                <w:sz w:val="21"/>
                <w:szCs w:val="21"/>
              </w:rPr>
            </w:pPr>
            <w:r>
              <w:rPr>
                <w:rFonts w:eastAsiaTheme="minorEastAsia"/>
                <w:sz w:val="21"/>
                <w:szCs w:val="21"/>
              </w:rPr>
              <w:t>497</w:t>
            </w:r>
          </w:p>
        </w:tc>
        <w:tc>
          <w:tcPr>
            <w:tcW w:w="1789" w:type="dxa"/>
            <w:vAlign w:val="center"/>
          </w:tcPr>
          <w:p>
            <w:pPr>
              <w:adjustRightInd w:val="0"/>
              <w:snapToGrid w:val="0"/>
              <w:spacing w:line="240" w:lineRule="auto"/>
              <w:ind w:firstLine="0" w:firstLineChars="0"/>
              <w:jc w:val="center"/>
              <w:rPr>
                <w:rFonts w:eastAsiaTheme="minorEastAsia"/>
                <w:sz w:val="21"/>
                <w:szCs w:val="21"/>
              </w:rPr>
            </w:pPr>
            <w:r>
              <w:rPr>
                <w:rFonts w:eastAsiaTheme="minorEastAsia"/>
                <w:sz w:val="21"/>
                <w:szCs w:val="21"/>
              </w:rPr>
              <w:t>486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789" w:type="dxa"/>
            <w:vAlign w:val="center"/>
          </w:tcPr>
          <w:p>
            <w:pPr>
              <w:adjustRightInd w:val="0"/>
              <w:snapToGrid w:val="0"/>
              <w:spacing w:line="240" w:lineRule="auto"/>
              <w:ind w:firstLine="0" w:firstLineChars="0"/>
              <w:jc w:val="center"/>
              <w:rPr>
                <w:rFonts w:eastAsiaTheme="minorEastAsia"/>
                <w:sz w:val="21"/>
                <w:szCs w:val="21"/>
              </w:rPr>
            </w:pPr>
            <w:r>
              <w:rPr>
                <w:rFonts w:hint="eastAsia" w:eastAsiaTheme="minorEastAsia"/>
                <w:sz w:val="21"/>
                <w:szCs w:val="21"/>
              </w:rPr>
              <w:t>逆温出现概率,%</w:t>
            </w:r>
          </w:p>
        </w:tc>
        <w:tc>
          <w:tcPr>
            <w:tcW w:w="1789" w:type="dxa"/>
            <w:vAlign w:val="center"/>
          </w:tcPr>
          <w:p>
            <w:pPr>
              <w:adjustRightInd w:val="0"/>
              <w:snapToGrid w:val="0"/>
              <w:spacing w:line="240" w:lineRule="auto"/>
              <w:ind w:firstLine="0" w:firstLineChars="0"/>
              <w:jc w:val="center"/>
              <w:rPr>
                <w:rFonts w:eastAsiaTheme="minorEastAsia"/>
                <w:sz w:val="21"/>
                <w:szCs w:val="21"/>
              </w:rPr>
            </w:pPr>
            <w:r>
              <w:rPr>
                <w:rFonts w:eastAsiaTheme="minorEastAsia"/>
                <w:sz w:val="21"/>
                <w:szCs w:val="21"/>
              </w:rPr>
              <w:t>29.48</w:t>
            </w:r>
          </w:p>
        </w:tc>
        <w:tc>
          <w:tcPr>
            <w:tcW w:w="1790" w:type="dxa"/>
            <w:vAlign w:val="center"/>
          </w:tcPr>
          <w:p>
            <w:pPr>
              <w:adjustRightInd w:val="0"/>
              <w:snapToGrid w:val="0"/>
              <w:spacing w:line="240" w:lineRule="auto"/>
              <w:ind w:firstLine="0" w:firstLineChars="0"/>
              <w:jc w:val="center"/>
              <w:rPr>
                <w:rFonts w:eastAsiaTheme="minorEastAsia"/>
                <w:sz w:val="21"/>
                <w:szCs w:val="21"/>
              </w:rPr>
            </w:pPr>
            <w:r>
              <w:rPr>
                <w:rFonts w:eastAsiaTheme="minorEastAsia"/>
                <w:sz w:val="21"/>
                <w:szCs w:val="21"/>
              </w:rPr>
              <w:t>21.47</w:t>
            </w:r>
          </w:p>
        </w:tc>
        <w:tc>
          <w:tcPr>
            <w:tcW w:w="1789" w:type="dxa"/>
            <w:vAlign w:val="center"/>
          </w:tcPr>
          <w:p>
            <w:pPr>
              <w:adjustRightInd w:val="0"/>
              <w:snapToGrid w:val="0"/>
              <w:spacing w:line="240" w:lineRule="auto"/>
              <w:ind w:firstLine="0" w:firstLineChars="0"/>
              <w:jc w:val="center"/>
              <w:rPr>
                <w:rFonts w:eastAsiaTheme="minorEastAsia"/>
                <w:sz w:val="21"/>
                <w:szCs w:val="21"/>
              </w:rPr>
            </w:pPr>
            <w:r>
              <w:rPr>
                <w:rFonts w:eastAsiaTheme="minorEastAsia"/>
                <w:sz w:val="21"/>
                <w:szCs w:val="21"/>
              </w:rPr>
              <w:t>27.47</w:t>
            </w:r>
          </w:p>
        </w:tc>
        <w:tc>
          <w:tcPr>
            <w:tcW w:w="1789" w:type="dxa"/>
            <w:vAlign w:val="center"/>
          </w:tcPr>
          <w:p>
            <w:pPr>
              <w:adjustRightInd w:val="0"/>
              <w:snapToGrid w:val="0"/>
              <w:spacing w:line="240" w:lineRule="auto"/>
              <w:ind w:firstLine="0" w:firstLineChars="0"/>
              <w:jc w:val="center"/>
              <w:rPr>
                <w:rFonts w:eastAsiaTheme="minorEastAsia"/>
                <w:sz w:val="21"/>
                <w:szCs w:val="21"/>
              </w:rPr>
            </w:pPr>
            <w:r>
              <w:rPr>
                <w:rFonts w:eastAsiaTheme="minorEastAsia"/>
                <w:sz w:val="21"/>
                <w:szCs w:val="21"/>
              </w:rPr>
              <w:t>28.98</w:t>
            </w:r>
          </w:p>
        </w:tc>
      </w:tr>
    </w:tbl>
    <w:p>
      <w:pPr>
        <w:ind w:firstLine="422"/>
        <w:jc w:val="center"/>
        <w:rPr>
          <w:rFonts w:cs="Times New Roman" w:eastAsiaTheme="minorEastAsia"/>
          <w:b/>
          <w:sz w:val="21"/>
          <w:szCs w:val="21"/>
        </w:rPr>
      </w:pPr>
    </w:p>
    <w:p>
      <w:pPr>
        <w:adjustRightInd w:val="0"/>
        <w:snapToGrid w:val="0"/>
        <w:ind w:firstLine="0" w:firstLineChars="0"/>
        <w:jc w:val="center"/>
        <w:rPr>
          <w:rFonts w:eastAsiaTheme="minorEastAsia"/>
        </w:rPr>
      </w:pPr>
      <w:r>
        <w:rPr>
          <w:rFonts w:eastAsiaTheme="minorEastAsia"/>
        </w:rPr>
        <w:drawing>
          <wp:inline distT="0" distB="0" distL="0" distR="0">
            <wp:extent cx="5067300" cy="7229475"/>
            <wp:effectExtent l="0" t="0" r="0"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80"/>
                    <a:srcRect/>
                    <a:stretch>
                      <a:fillRect/>
                    </a:stretch>
                  </pic:blipFill>
                  <pic:spPr>
                    <a:xfrm>
                      <a:off x="0" y="0"/>
                      <a:ext cx="5067300" cy="7229475"/>
                    </a:xfrm>
                    <a:prstGeom prst="rect">
                      <a:avLst/>
                    </a:prstGeom>
                    <a:noFill/>
                    <a:ln>
                      <a:noFill/>
                    </a:ln>
                  </pic:spPr>
                </pic:pic>
              </a:graphicData>
            </a:graphic>
          </wp:inline>
        </w:drawing>
      </w:r>
    </w:p>
    <w:p>
      <w:pPr>
        <w:pStyle w:val="18"/>
      </w:pPr>
      <w:bookmarkStart w:id="454" w:name="_Ref529976659"/>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7</w:t>
      </w:r>
      <w:r>
        <w:fldChar w:fldCharType="end"/>
      </w:r>
      <w:bookmarkEnd w:id="454"/>
      <w:r>
        <w:t xml:space="preserve"> </w:t>
      </w:r>
      <w:r>
        <w:rPr>
          <w:rFonts w:hint="eastAsia"/>
        </w:rPr>
        <w:t>201</w:t>
      </w:r>
      <w:r>
        <w:t>7</w:t>
      </w:r>
      <w:r>
        <w:rPr>
          <w:rFonts w:hint="eastAsia"/>
        </w:rPr>
        <w:t>年污染系数玫瑰图</w:t>
      </w:r>
    </w:p>
    <w:p>
      <w:pPr>
        <w:pStyle w:val="5"/>
      </w:pPr>
      <w:bookmarkStart w:id="455" w:name="_Ref532412388"/>
      <w:bookmarkStart w:id="456" w:name="_Hlk3525909"/>
      <w:r>
        <w:rPr>
          <w:rFonts w:hint="eastAsia"/>
        </w:rPr>
        <w:t>大气环境影响分析</w:t>
      </w:r>
      <w:bookmarkEnd w:id="455"/>
    </w:p>
    <w:bookmarkEnd w:id="456"/>
    <w:p>
      <w:pPr>
        <w:ind w:firstLine="480"/>
      </w:pPr>
      <w:r>
        <w:rPr>
          <w:rFonts w:eastAsiaTheme="minorEastAsia"/>
        </w:rPr>
        <w:t>本项目</w:t>
      </w:r>
      <w:r>
        <w:rPr>
          <w:rFonts w:hint="eastAsia" w:eastAsiaTheme="minorEastAsia"/>
        </w:rPr>
        <w:t>营运期大气污染源主要是</w:t>
      </w:r>
      <w:r>
        <w:rPr>
          <w:rStyle w:val="63"/>
          <w:rFonts w:hint="eastAsia"/>
          <w:color w:val="auto"/>
        </w:rPr>
        <w:t>配料、投料工序产生的颗粒物</w:t>
      </w:r>
      <w:r>
        <w:rPr>
          <w:rStyle w:val="63"/>
          <w:rFonts w:hint="eastAsia"/>
        </w:rPr>
        <w:t>，</w:t>
      </w:r>
      <w:r>
        <w:rPr>
          <w:rFonts w:hint="eastAsia" w:eastAsiaTheme="minorEastAsia"/>
        </w:rPr>
        <w:t>密炼工序产生的非甲烷总烃、颗粒物、硫化氢；开炼工序产生的非甲烷总烃和硫化氢；硫化成型工序产生的非甲烷总烃和硫化氢。</w:t>
      </w:r>
    </w:p>
    <w:p>
      <w:pPr>
        <w:ind w:firstLine="480"/>
      </w:pPr>
      <w:r>
        <w:rPr>
          <w:rFonts w:hint="eastAsia"/>
        </w:rPr>
        <w:t>采用</w:t>
      </w:r>
      <w:r>
        <w:t>《环境影响评价技术导则 大气环境》（HJ 2.2-2018）推荐模式中的</w:t>
      </w:r>
      <w:r>
        <w:rPr>
          <w:rFonts w:hint="eastAsia"/>
        </w:rPr>
        <w:t>AER</w:t>
      </w:r>
      <w:r>
        <w:t>SCREEN估算模式</w:t>
      </w:r>
      <w:r>
        <w:rPr>
          <w:rFonts w:hint="eastAsia"/>
        </w:rPr>
        <w:t>（估算</w:t>
      </w:r>
      <w:r>
        <w:t>时输入地形参数</w:t>
      </w:r>
      <w:r>
        <w:rPr>
          <w:rFonts w:hint="eastAsia"/>
        </w:rPr>
        <w:t>，考虑最不利气象条件）</w:t>
      </w:r>
      <w:r>
        <w:t>计算</w:t>
      </w:r>
      <w:r>
        <w:rPr>
          <w:rFonts w:hint="eastAsia"/>
        </w:rPr>
        <w:t>正常工况下</w:t>
      </w:r>
      <w:r>
        <w:t>项目</w:t>
      </w:r>
      <w:r>
        <w:rPr>
          <w:rFonts w:hint="eastAsia"/>
        </w:rPr>
        <w:t>排放主要污染物的最大地面空气质量浓度。估算模式选用参数详见</w:t>
      </w:r>
      <w:r>
        <w:fldChar w:fldCharType="begin"/>
      </w:r>
      <w:r>
        <w:instrText xml:space="preserve"> </w:instrText>
      </w:r>
      <w:r>
        <w:rPr>
          <w:rFonts w:hint="eastAsia"/>
        </w:rPr>
        <w:instrText xml:space="preserve">REF _Ref532394969 \r \h</w:instrText>
      </w:r>
      <w:r>
        <w:instrText xml:space="preserve"> </w:instrText>
      </w:r>
      <w:r>
        <w:fldChar w:fldCharType="separate"/>
      </w:r>
      <w:r>
        <w:t>1.5.3</w:t>
      </w:r>
      <w:r>
        <w:fldChar w:fldCharType="end"/>
      </w:r>
      <w:r>
        <w:rPr>
          <w:rFonts w:hint="eastAsia"/>
        </w:rPr>
        <w:t>节</w:t>
      </w:r>
      <w:r>
        <w:fldChar w:fldCharType="begin"/>
      </w:r>
      <w:r>
        <w:instrText xml:space="preserve"> REF _Ref532394969 \h </w:instrText>
      </w:r>
      <w:r>
        <w:fldChar w:fldCharType="separate"/>
      </w:r>
      <w:r>
        <w:rPr>
          <w:rFonts w:hint="eastAsia"/>
        </w:rPr>
        <w:t>大气环境影响评价等级和范围</w:t>
      </w:r>
      <w:r>
        <w:fldChar w:fldCharType="end"/>
      </w:r>
      <w:r>
        <w:rPr>
          <w:rFonts w:hint="eastAsia"/>
        </w:rPr>
        <w:t>的</w:t>
      </w:r>
      <w:r>
        <w:fldChar w:fldCharType="begin"/>
      </w:r>
      <w:r>
        <w:instrText xml:space="preserve"> </w:instrText>
      </w:r>
      <w:r>
        <w:rPr>
          <w:rFonts w:hint="eastAsia"/>
        </w:rPr>
        <w:instrText xml:space="preserve">REF _Ref529782321 \h</w:instrText>
      </w:r>
      <w:r>
        <w:instrText xml:space="preserve"> </w:instrText>
      </w:r>
      <w:r>
        <w:fldChar w:fldCharType="separate"/>
      </w:r>
      <w:r>
        <w:rPr>
          <w:rFonts w:hint="eastAsia"/>
        </w:rPr>
        <w:t xml:space="preserve">表 </w:t>
      </w:r>
      <w:r>
        <w:t>1.5</w:t>
      </w:r>
      <w:r>
        <w:noBreakHyphen/>
      </w:r>
      <w:r>
        <w:t>4</w:t>
      </w:r>
      <w:r>
        <w:fldChar w:fldCharType="end"/>
      </w:r>
      <w:r>
        <w:rPr>
          <w:rFonts w:hint="eastAsia"/>
        </w:rPr>
        <w:t>~</w:t>
      </w:r>
      <w:r>
        <w:fldChar w:fldCharType="begin"/>
      </w:r>
      <w:r>
        <w:instrText xml:space="preserve"> </w:instrText>
      </w:r>
      <w:r>
        <w:rPr>
          <w:rFonts w:hint="eastAsia"/>
        </w:rPr>
        <w:instrText xml:space="preserve">REF _Ref532393754 \h</w:instrText>
      </w:r>
      <w:r>
        <w:instrText xml:space="preserve"> </w:instrText>
      </w:r>
      <w:r>
        <w:fldChar w:fldCharType="separate"/>
      </w:r>
      <w:r>
        <w:rPr>
          <w:rFonts w:hint="eastAsia"/>
        </w:rPr>
        <w:t xml:space="preserve">表 </w:t>
      </w:r>
      <w:r>
        <w:t>1.5</w:t>
      </w:r>
      <w:r>
        <w:noBreakHyphen/>
      </w:r>
      <w:r>
        <w:t>6</w:t>
      </w:r>
      <w:r>
        <w:fldChar w:fldCharType="end"/>
      </w:r>
      <w:r>
        <w:rPr>
          <w:rFonts w:hint="eastAsia"/>
        </w:rPr>
        <w:t>。</w:t>
      </w:r>
    </w:p>
    <w:p>
      <w:pPr>
        <w:ind w:firstLine="480"/>
      </w:pPr>
      <w:r>
        <w:rPr>
          <w:rFonts w:hint="eastAsia" w:eastAsiaTheme="minorEastAsia"/>
        </w:rPr>
        <w:t>本项目</w:t>
      </w:r>
      <w:r>
        <w:rPr>
          <w:rFonts w:eastAsiaTheme="minorEastAsia"/>
        </w:rPr>
        <w:t>估算模式项目排放源（点源）参数取值见</w:t>
      </w:r>
      <w:r>
        <w:rPr>
          <w:rFonts w:eastAsiaTheme="minorEastAsia"/>
        </w:rPr>
        <w:fldChar w:fldCharType="begin"/>
      </w:r>
      <w:r>
        <w:rPr>
          <w:rFonts w:eastAsiaTheme="minorEastAsia"/>
        </w:rPr>
        <w:instrText xml:space="preserve"> REF _Ref529782321 \h  \* MERGEFORMAT </w:instrText>
      </w:r>
      <w:r>
        <w:rPr>
          <w:rFonts w:eastAsiaTheme="minorEastAsia"/>
        </w:rPr>
        <w:fldChar w:fldCharType="separate"/>
      </w:r>
      <w:r>
        <w:rPr>
          <w:rFonts w:hint="eastAsia"/>
        </w:rPr>
        <w:t xml:space="preserve">表 </w:t>
      </w:r>
      <w:r>
        <w:t>4.4</w:t>
      </w:r>
      <w:r>
        <w:noBreakHyphen/>
      </w:r>
      <w:r>
        <w:t>11</w:t>
      </w:r>
      <w:r>
        <w:rPr>
          <w:rFonts w:eastAsiaTheme="minorEastAsia"/>
        </w:rPr>
        <w:fldChar w:fldCharType="end"/>
      </w:r>
      <w:r>
        <w:rPr>
          <w:rFonts w:eastAsiaTheme="minorEastAsia"/>
        </w:rPr>
        <w:t>；估算模式项目排放源（面源）参数取值见</w:t>
      </w:r>
      <w:r>
        <w:rPr>
          <w:rFonts w:eastAsiaTheme="minorEastAsia"/>
        </w:rPr>
        <w:fldChar w:fldCharType="begin"/>
      </w:r>
      <w:r>
        <w:rPr>
          <w:rFonts w:eastAsiaTheme="minorEastAsia"/>
        </w:rPr>
        <w:instrText xml:space="preserve"> REF _Ref529782331 \h  \* MERGEFORMAT </w:instrText>
      </w:r>
      <w:r>
        <w:rPr>
          <w:rFonts w:eastAsiaTheme="minorEastAsia"/>
        </w:rPr>
        <w:fldChar w:fldCharType="separate"/>
      </w:r>
      <w:r>
        <w:rPr>
          <w:rFonts w:hint="eastAsia"/>
        </w:rPr>
        <w:t xml:space="preserve">表 </w:t>
      </w:r>
      <w:r>
        <w:t>4.4</w:t>
      </w:r>
      <w:r>
        <w:noBreakHyphen/>
      </w:r>
      <w:r>
        <w:t>12</w:t>
      </w:r>
      <w:r>
        <w:rPr>
          <w:rFonts w:eastAsiaTheme="minorEastAsia"/>
        </w:rPr>
        <w:fldChar w:fldCharType="end"/>
      </w:r>
      <w:r>
        <w:rPr>
          <w:rFonts w:hint="eastAsia" w:eastAsiaTheme="minorEastAsia"/>
        </w:rPr>
        <w:t>；其他参数见</w:t>
      </w:r>
      <w:r>
        <w:rPr>
          <w:rFonts w:eastAsiaTheme="minorEastAsia"/>
        </w:rPr>
        <w:fldChar w:fldCharType="begin"/>
      </w:r>
      <w:r>
        <w:rPr>
          <w:rFonts w:eastAsiaTheme="minorEastAsia"/>
        </w:rPr>
        <w:instrText xml:space="preserve"> </w:instrText>
      </w:r>
      <w:r>
        <w:rPr>
          <w:rFonts w:hint="eastAsia" w:eastAsiaTheme="minorEastAsia"/>
        </w:rPr>
        <w:instrText xml:space="preserve">REF _Ref532393754 \h</w:instrText>
      </w:r>
      <w:r>
        <w:rPr>
          <w:rFonts w:eastAsiaTheme="minorEastAsia"/>
        </w:rPr>
        <w:instrText xml:space="preserve"> </w:instrText>
      </w:r>
      <w:r>
        <w:rPr>
          <w:rFonts w:eastAsiaTheme="minorEastAsia"/>
        </w:rPr>
        <w:fldChar w:fldCharType="separate"/>
      </w:r>
      <w:r>
        <w:rPr>
          <w:rFonts w:hint="eastAsia"/>
        </w:rPr>
        <w:t xml:space="preserve">表 </w:t>
      </w:r>
      <w:r>
        <w:t>4.4</w:t>
      </w:r>
      <w:r>
        <w:noBreakHyphen/>
      </w:r>
      <w:r>
        <w:t>13</w:t>
      </w:r>
      <w:r>
        <w:rPr>
          <w:rFonts w:eastAsiaTheme="minorEastAsia"/>
        </w:rPr>
        <w:fldChar w:fldCharType="end"/>
      </w:r>
      <w:r>
        <w:rPr>
          <w:rFonts w:hint="eastAsia" w:eastAsiaTheme="minorEastAsia"/>
        </w:rPr>
        <w:t>。</w:t>
      </w:r>
    </w:p>
    <w:p>
      <w:pPr>
        <w:pStyle w:val="18"/>
      </w:pPr>
      <w:r>
        <w:rPr>
          <w:rFonts w:hint="eastAsia"/>
        </w:rPr>
        <w:t xml:space="preserve">表 </w:t>
      </w:r>
      <w:r>
        <w:t>4.4</w:t>
      </w:r>
      <w:r>
        <w:noBreakHyphen/>
      </w:r>
      <w:r>
        <w:t>11</w:t>
      </w:r>
      <w:r>
        <w:rPr>
          <w:rFonts w:hint="eastAsia"/>
        </w:rPr>
        <w:t>正常工况下主要大气污染物排放预测参数（点源）</w:t>
      </w:r>
    </w:p>
    <w:tbl>
      <w:tblPr>
        <w:tblStyle w:val="57"/>
        <w:tblW w:w="9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750"/>
        <w:gridCol w:w="1166"/>
        <w:gridCol w:w="1049"/>
        <w:gridCol w:w="583"/>
        <w:gridCol w:w="622"/>
        <w:gridCol w:w="730"/>
        <w:gridCol w:w="933"/>
        <w:gridCol w:w="805"/>
        <w:gridCol w:w="902"/>
        <w:gridCol w:w="763"/>
        <w:gridCol w:w="75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c>
          <w:tcPr>
            <w:tcW w:w="750"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cstheme="minorBidi"/>
              </w:rPr>
            </w:pPr>
            <w:r>
              <w:rPr>
                <w:rFonts w:hint="eastAsia" w:ascii="微软雅黑" w:hAnsi="微软雅黑" w:eastAsia="微软雅黑" w:cs="微软雅黑"/>
              </w:rPr>
              <w:t>污染源名称</w:t>
            </w:r>
          </w:p>
        </w:tc>
        <w:tc>
          <w:tcPr>
            <w:tcW w:w="2215" w:type="dxa"/>
            <w:gridSpan w:val="2"/>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cs="Times New Roman"/>
              </w:rPr>
            </w:pPr>
            <w:r>
              <w:rPr>
                <w:rFonts w:hint="eastAsia" w:ascii="宋体" w:hAnsi="宋体"/>
              </w:rPr>
              <w:t>排气筒底部中心坐标</w:t>
            </w:r>
            <w:r>
              <w:rPr>
                <w:rFonts w:ascii="Times New Roman" w:hAnsi="Times New Roman" w:cs="Times New Roman"/>
              </w:rPr>
              <w:t>(</w:t>
            </w:r>
            <w:r>
              <w:rPr>
                <w:rFonts w:ascii="Times New Roman" w:hAnsi="Times New Roman" w:cs="Times New Roman"/>
                <w:vertAlign w:val="superscript"/>
              </w:rPr>
              <w:t>o</w:t>
            </w:r>
            <w:r>
              <w:rPr>
                <w:rFonts w:ascii="Times New Roman" w:hAnsi="Times New Roman" w:cs="Times New Roman"/>
              </w:rPr>
              <w:t>)</w:t>
            </w:r>
          </w:p>
        </w:tc>
        <w:tc>
          <w:tcPr>
            <w:tcW w:w="583"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cs="Times New Roman"/>
              </w:rPr>
            </w:pPr>
            <w:r>
              <w:rPr>
                <w:rFonts w:hint="eastAsia" w:ascii="宋体" w:hAnsi="宋体"/>
              </w:rPr>
              <w:t>排气筒底部海拔高度</w:t>
            </w:r>
            <w:r>
              <w:rPr>
                <w:rFonts w:ascii="Times New Roman" w:hAnsi="Times New Roman" w:cs="Times New Roman"/>
              </w:rPr>
              <w:t>(m)</w:t>
            </w:r>
          </w:p>
        </w:tc>
        <w:tc>
          <w:tcPr>
            <w:tcW w:w="3090" w:type="dxa"/>
            <w:gridSpan w:val="4"/>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cs="Times New Roman"/>
              </w:rPr>
            </w:pPr>
            <w:r>
              <w:rPr>
                <w:rFonts w:hint="eastAsia" w:ascii="宋体" w:hAnsi="宋体"/>
              </w:rPr>
              <w:t>排气筒参数</w:t>
            </w:r>
          </w:p>
        </w:tc>
        <w:tc>
          <w:tcPr>
            <w:tcW w:w="902"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cs="Times New Roman"/>
              </w:rPr>
            </w:pPr>
            <w:r>
              <w:rPr>
                <w:rFonts w:hint="eastAsia" w:ascii="宋体" w:hAnsi="宋体"/>
              </w:rPr>
              <w:t>污染物名称</w:t>
            </w:r>
          </w:p>
        </w:tc>
        <w:tc>
          <w:tcPr>
            <w:tcW w:w="763"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cs="Times New Roman"/>
              </w:rPr>
            </w:pPr>
            <w:r>
              <w:rPr>
                <w:rFonts w:hint="eastAsia" w:ascii="宋体" w:hAnsi="宋体"/>
              </w:rPr>
              <w:t>排放速率</w:t>
            </w:r>
          </w:p>
        </w:tc>
        <w:tc>
          <w:tcPr>
            <w:tcW w:w="757" w:type="dxa"/>
            <w:vMerge w:val="restart"/>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cs="Times New Roman"/>
                <w:b/>
              </w:rPr>
            </w:pPr>
            <w:r>
              <w:rPr>
                <w:rFonts w:hint="eastAsia" w:ascii="宋体" w:hAnsi="宋体"/>
                <w:b/>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c>
          <w:tcPr>
            <w:tcW w:w="750" w:type="dxa"/>
            <w:vMerge w:val="continue"/>
            <w:tcBorders>
              <w:top w:val="single" w:color="auto" w:sz="4" w:space="0"/>
              <w:left w:val="single" w:color="auto" w:sz="4" w:space="0"/>
              <w:bottom w:val="single" w:color="auto" w:sz="4" w:space="0"/>
              <w:right w:val="single" w:color="auto" w:sz="4" w:space="0"/>
            </w:tcBorders>
            <w:vAlign w:val="center"/>
          </w:tcPr>
          <w:p>
            <w:pPr>
              <w:pStyle w:val="107"/>
              <w:rPr>
                <w:kern w:val="2"/>
              </w:rPr>
            </w:pPr>
          </w:p>
        </w:tc>
        <w:tc>
          <w:tcPr>
            <w:tcW w:w="1166"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cs="Times New Roman"/>
              </w:rPr>
            </w:pPr>
            <w:r>
              <w:rPr>
                <w:rFonts w:hint="eastAsia" w:ascii="宋体" w:hAnsi="宋体"/>
              </w:rPr>
              <w:t>经度</w:t>
            </w:r>
          </w:p>
        </w:tc>
        <w:tc>
          <w:tcPr>
            <w:tcW w:w="1049"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cs="Times New Roman"/>
              </w:rPr>
            </w:pPr>
            <w:r>
              <w:rPr>
                <w:rFonts w:hint="eastAsia" w:ascii="宋体" w:hAnsi="宋体"/>
              </w:rPr>
              <w:t>纬度</w:t>
            </w:r>
          </w:p>
        </w:tc>
        <w:tc>
          <w:tcPr>
            <w:tcW w:w="583"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cs="Times New Roman"/>
                <w:kern w:val="2"/>
              </w:rPr>
            </w:pPr>
          </w:p>
        </w:tc>
        <w:tc>
          <w:tcPr>
            <w:tcW w:w="622"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cs="Times New Roman"/>
              </w:rPr>
            </w:pPr>
            <w:r>
              <w:rPr>
                <w:rFonts w:hint="eastAsia" w:ascii="宋体" w:hAnsi="宋体"/>
              </w:rPr>
              <w:t>高度</w:t>
            </w:r>
          </w:p>
          <w:p>
            <w:pPr>
              <w:pStyle w:val="107"/>
              <w:rPr>
                <w:rFonts w:ascii="Times New Roman" w:hAnsi="Times New Roman" w:cs="Times New Roman"/>
              </w:rPr>
            </w:pPr>
            <w:r>
              <w:rPr>
                <w:rFonts w:ascii="Times New Roman" w:hAnsi="Times New Roman" w:cs="Times New Roman"/>
              </w:rPr>
              <w:t>(m)</w:t>
            </w:r>
          </w:p>
        </w:tc>
        <w:tc>
          <w:tcPr>
            <w:tcW w:w="730"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cs="Times New Roman"/>
              </w:rPr>
            </w:pPr>
            <w:r>
              <w:rPr>
                <w:rFonts w:hint="eastAsia" w:ascii="宋体" w:hAnsi="宋体"/>
              </w:rPr>
              <w:t>内径</w:t>
            </w:r>
          </w:p>
          <w:p>
            <w:pPr>
              <w:pStyle w:val="107"/>
              <w:rPr>
                <w:rFonts w:ascii="Times New Roman" w:hAnsi="Times New Roman" w:cs="Times New Roman"/>
              </w:rPr>
            </w:pPr>
            <w:r>
              <w:rPr>
                <w:rFonts w:ascii="Times New Roman" w:hAnsi="Times New Roman" w:cs="Times New Roman"/>
              </w:rPr>
              <w:t>(m)</w:t>
            </w:r>
          </w:p>
        </w:tc>
        <w:tc>
          <w:tcPr>
            <w:tcW w:w="933"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cs="Times New Roman"/>
              </w:rPr>
            </w:pPr>
            <w:r>
              <w:rPr>
                <w:rFonts w:hint="eastAsia" w:ascii="宋体" w:hAnsi="宋体"/>
              </w:rPr>
              <w:t>温度</w:t>
            </w:r>
          </w:p>
          <w:p>
            <w:pPr>
              <w:pStyle w:val="107"/>
              <w:rPr>
                <w:rFonts w:ascii="Times New Roman" w:hAnsi="Times New Roman" w:cs="Times New Roman"/>
              </w:rPr>
            </w:pPr>
            <w:r>
              <w:rPr>
                <w:rFonts w:ascii="Times New Roman" w:hAnsi="Times New Roman" w:cs="Times New Roman"/>
              </w:rPr>
              <w:t>(</w:t>
            </w:r>
            <w:r>
              <w:rPr>
                <w:rFonts w:hint="eastAsia" w:ascii="宋体" w:hAnsi="宋体"/>
              </w:rPr>
              <w:t>℃</w:t>
            </w:r>
            <w:r>
              <w:rPr>
                <w:rFonts w:ascii="Times New Roman" w:hAnsi="Times New Roman" w:cs="Times New Roman"/>
              </w:rPr>
              <w:t>)</w:t>
            </w:r>
          </w:p>
        </w:tc>
        <w:tc>
          <w:tcPr>
            <w:tcW w:w="805" w:type="dxa"/>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cs="Times New Roman"/>
              </w:rPr>
            </w:pPr>
            <w:r>
              <w:rPr>
                <w:rFonts w:hint="eastAsia" w:ascii="宋体" w:hAnsi="宋体"/>
              </w:rPr>
              <w:t>流速</w:t>
            </w:r>
          </w:p>
          <w:p>
            <w:pPr>
              <w:pStyle w:val="107"/>
              <w:rPr>
                <w:rFonts w:ascii="Times New Roman" w:hAnsi="Times New Roman" w:cs="Times New Roman"/>
              </w:rPr>
            </w:pPr>
            <w:r>
              <w:rPr>
                <w:rFonts w:ascii="Times New Roman" w:hAnsi="Times New Roman" w:cs="Times New Roman"/>
              </w:rPr>
              <w:t>(m/s)</w:t>
            </w:r>
          </w:p>
        </w:tc>
        <w:tc>
          <w:tcPr>
            <w:tcW w:w="902"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cs="Times New Roman"/>
                <w:kern w:val="2"/>
              </w:rPr>
            </w:pPr>
          </w:p>
        </w:tc>
        <w:tc>
          <w:tcPr>
            <w:tcW w:w="763"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cs="Times New Roman"/>
                <w:kern w:val="2"/>
              </w:rPr>
            </w:pPr>
          </w:p>
        </w:tc>
        <w:tc>
          <w:tcPr>
            <w:tcW w:w="757" w:type="dxa"/>
            <w:vMerge w:val="continue"/>
            <w:tcBorders>
              <w:top w:val="single" w:color="auto" w:sz="4" w:space="0"/>
              <w:left w:val="single" w:color="auto" w:sz="4" w:space="0"/>
              <w:bottom w:val="single" w:color="auto" w:sz="4" w:space="0"/>
              <w:right w:val="single" w:color="auto" w:sz="4" w:space="0"/>
            </w:tcBorders>
            <w:vAlign w:val="center"/>
          </w:tcPr>
          <w:p>
            <w:pPr>
              <w:pStyle w:val="107"/>
              <w:rPr>
                <w:rFonts w:ascii="Times New Roman" w:hAnsi="Times New Roman" w:cs="Times New Roman"/>
                <w:kern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30" w:hRule="atLeast"/>
        </w:trPr>
        <w:tc>
          <w:tcPr>
            <w:tcW w:w="750" w:type="dxa"/>
            <w:vMerge w:val="restart"/>
            <w:tcBorders>
              <w:left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排气筒P1</w:t>
            </w:r>
          </w:p>
        </w:tc>
        <w:tc>
          <w:tcPr>
            <w:tcW w:w="1166" w:type="dxa"/>
            <w:vMerge w:val="restart"/>
            <w:tcBorders>
              <w:left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112.547008</w:t>
            </w:r>
          </w:p>
        </w:tc>
        <w:tc>
          <w:tcPr>
            <w:tcW w:w="1049" w:type="dxa"/>
            <w:vMerge w:val="restart"/>
            <w:tcBorders>
              <w:left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22.478190</w:t>
            </w:r>
          </w:p>
        </w:tc>
        <w:tc>
          <w:tcPr>
            <w:tcW w:w="583"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w:t>
            </w:r>
          </w:p>
        </w:tc>
        <w:tc>
          <w:tcPr>
            <w:tcW w:w="622"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15.0</w:t>
            </w:r>
          </w:p>
        </w:tc>
        <w:tc>
          <w:tcPr>
            <w:tcW w:w="730"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0.8</w:t>
            </w:r>
          </w:p>
        </w:tc>
        <w:tc>
          <w:tcPr>
            <w:tcW w:w="933"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25.0</w:t>
            </w:r>
          </w:p>
        </w:tc>
        <w:tc>
          <w:tcPr>
            <w:tcW w:w="805" w:type="dxa"/>
            <w:vMerge w:val="restart"/>
            <w:tcBorders>
              <w:left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18.25</w:t>
            </w: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 xml:space="preserve">S  </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0.00034   </w:t>
            </w:r>
          </w:p>
        </w:tc>
        <w:tc>
          <w:tcPr>
            <w:tcW w:w="757" w:type="dxa"/>
            <w:vMerge w:val="restart"/>
            <w:tcBorders>
              <w:left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90" w:hRule="atLeast"/>
        </w:trPr>
        <w:tc>
          <w:tcPr>
            <w:tcW w:w="750" w:type="dxa"/>
            <w:vMerge w:val="continue"/>
            <w:tcBorders>
              <w:left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166" w:type="dxa"/>
            <w:vMerge w:val="continue"/>
            <w:tcBorders>
              <w:left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049" w:type="dxa"/>
            <w:vMerge w:val="continue"/>
            <w:tcBorders>
              <w:left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583" w:type="dxa"/>
            <w:vMerge w:val="continue"/>
            <w:vAlign w:val="center"/>
          </w:tcPr>
          <w:p>
            <w:pPr>
              <w:pStyle w:val="107"/>
              <w:rPr>
                <w:rStyle w:val="63"/>
                <w:color w:val="000000" w:themeColor="text1"/>
                <w14:textFill>
                  <w14:solidFill>
                    <w14:schemeClr w14:val="tx1"/>
                  </w14:solidFill>
                </w14:textFill>
              </w:rPr>
            </w:pPr>
          </w:p>
        </w:tc>
        <w:tc>
          <w:tcPr>
            <w:tcW w:w="622" w:type="dxa"/>
            <w:vMerge w:val="continue"/>
            <w:vAlign w:val="center"/>
          </w:tcPr>
          <w:p>
            <w:pPr>
              <w:pStyle w:val="107"/>
              <w:rPr>
                <w:rStyle w:val="63"/>
                <w:color w:val="000000" w:themeColor="text1"/>
                <w14:textFill>
                  <w14:solidFill>
                    <w14:schemeClr w14:val="tx1"/>
                  </w14:solidFill>
                </w14:textFill>
              </w:rPr>
            </w:pPr>
          </w:p>
        </w:tc>
        <w:tc>
          <w:tcPr>
            <w:tcW w:w="730" w:type="dxa"/>
            <w:vMerge w:val="continue"/>
            <w:vAlign w:val="center"/>
          </w:tcPr>
          <w:p>
            <w:pPr>
              <w:pStyle w:val="107"/>
              <w:rPr>
                <w:rStyle w:val="63"/>
                <w:color w:val="000000" w:themeColor="text1"/>
                <w14:textFill>
                  <w14:solidFill>
                    <w14:schemeClr w14:val="tx1"/>
                  </w14:solidFill>
                </w14:textFill>
              </w:rPr>
            </w:pPr>
          </w:p>
        </w:tc>
        <w:tc>
          <w:tcPr>
            <w:tcW w:w="933" w:type="dxa"/>
            <w:vMerge w:val="continue"/>
            <w:vAlign w:val="center"/>
          </w:tcPr>
          <w:p>
            <w:pPr>
              <w:pStyle w:val="107"/>
              <w:rPr>
                <w:rStyle w:val="63"/>
                <w:color w:val="000000" w:themeColor="text1"/>
                <w14:textFill>
                  <w14:solidFill>
                    <w14:schemeClr w14:val="tx1"/>
                  </w14:solidFill>
                </w14:textFill>
              </w:rPr>
            </w:pPr>
          </w:p>
        </w:tc>
        <w:tc>
          <w:tcPr>
            <w:tcW w:w="805" w:type="dxa"/>
            <w:vMerge w:val="continue"/>
            <w:tcBorders>
              <w:left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 NMHC</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0.00914</w:t>
            </w:r>
          </w:p>
        </w:tc>
        <w:tc>
          <w:tcPr>
            <w:tcW w:w="757" w:type="dxa"/>
            <w:vMerge w:val="continue"/>
            <w:tcBorders>
              <w:left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40" w:hRule="atLeast"/>
        </w:trPr>
        <w:tc>
          <w:tcPr>
            <w:tcW w:w="750" w:type="dxa"/>
            <w:vMerge w:val="continue"/>
            <w:tcBorders>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166" w:type="dxa"/>
            <w:vMerge w:val="continue"/>
            <w:tcBorders>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1049" w:type="dxa"/>
            <w:vMerge w:val="continue"/>
            <w:tcBorders>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583" w:type="dxa"/>
            <w:vMerge w:val="continue"/>
            <w:vAlign w:val="center"/>
          </w:tcPr>
          <w:p>
            <w:pPr>
              <w:pStyle w:val="107"/>
              <w:rPr>
                <w:rStyle w:val="63"/>
                <w:color w:val="000000" w:themeColor="text1"/>
                <w14:textFill>
                  <w14:solidFill>
                    <w14:schemeClr w14:val="tx1"/>
                  </w14:solidFill>
                </w14:textFill>
              </w:rPr>
            </w:pPr>
          </w:p>
        </w:tc>
        <w:tc>
          <w:tcPr>
            <w:tcW w:w="622" w:type="dxa"/>
            <w:vMerge w:val="continue"/>
            <w:vAlign w:val="center"/>
          </w:tcPr>
          <w:p>
            <w:pPr>
              <w:pStyle w:val="107"/>
              <w:rPr>
                <w:rStyle w:val="63"/>
                <w:color w:val="000000" w:themeColor="text1"/>
                <w14:textFill>
                  <w14:solidFill>
                    <w14:schemeClr w14:val="tx1"/>
                  </w14:solidFill>
                </w14:textFill>
              </w:rPr>
            </w:pPr>
          </w:p>
        </w:tc>
        <w:tc>
          <w:tcPr>
            <w:tcW w:w="730" w:type="dxa"/>
            <w:vMerge w:val="continue"/>
            <w:vAlign w:val="center"/>
          </w:tcPr>
          <w:p>
            <w:pPr>
              <w:pStyle w:val="107"/>
              <w:rPr>
                <w:rStyle w:val="63"/>
                <w:color w:val="000000" w:themeColor="text1"/>
                <w14:textFill>
                  <w14:solidFill>
                    <w14:schemeClr w14:val="tx1"/>
                  </w14:solidFill>
                </w14:textFill>
              </w:rPr>
            </w:pPr>
          </w:p>
        </w:tc>
        <w:tc>
          <w:tcPr>
            <w:tcW w:w="933" w:type="dxa"/>
            <w:vMerge w:val="continue"/>
            <w:vAlign w:val="center"/>
          </w:tcPr>
          <w:p>
            <w:pPr>
              <w:pStyle w:val="107"/>
              <w:rPr>
                <w:rStyle w:val="63"/>
                <w:color w:val="000000" w:themeColor="text1"/>
                <w14:textFill>
                  <w14:solidFill>
                    <w14:schemeClr w14:val="tx1"/>
                  </w14:solidFill>
                </w14:textFill>
              </w:rPr>
            </w:pPr>
          </w:p>
        </w:tc>
        <w:tc>
          <w:tcPr>
            <w:tcW w:w="805" w:type="dxa"/>
            <w:vMerge w:val="continue"/>
            <w:tcBorders>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 TSP</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0.001695</w:t>
            </w:r>
          </w:p>
        </w:tc>
        <w:tc>
          <w:tcPr>
            <w:tcW w:w="757" w:type="dxa"/>
            <w:vMerge w:val="continue"/>
            <w:tcBorders>
              <w:left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440" w:hRule="atLeast"/>
        </w:trPr>
        <w:tc>
          <w:tcPr>
            <w:tcW w:w="750" w:type="dxa"/>
            <w:tcBorders>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排气筒P2</w:t>
            </w:r>
          </w:p>
        </w:tc>
        <w:tc>
          <w:tcPr>
            <w:tcW w:w="1166" w:type="dxa"/>
            <w:tcBorders>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112.546837</w:t>
            </w:r>
          </w:p>
        </w:tc>
        <w:tc>
          <w:tcPr>
            <w:tcW w:w="1049" w:type="dxa"/>
            <w:tcBorders>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22.478413</w:t>
            </w:r>
          </w:p>
        </w:tc>
        <w:tc>
          <w:tcPr>
            <w:tcW w:w="583"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w:t>
            </w:r>
          </w:p>
        </w:tc>
        <w:tc>
          <w:tcPr>
            <w:tcW w:w="62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15.0</w:t>
            </w:r>
          </w:p>
        </w:tc>
        <w:tc>
          <w:tcPr>
            <w:tcW w:w="730"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0.5</w:t>
            </w:r>
          </w:p>
        </w:tc>
        <w:tc>
          <w:tcPr>
            <w:tcW w:w="933"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25.0</w:t>
            </w:r>
          </w:p>
        </w:tc>
        <w:tc>
          <w:tcPr>
            <w:tcW w:w="805" w:type="dxa"/>
            <w:tcBorders>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8</w:t>
            </w:r>
            <w:r>
              <w:rPr>
                <w:rStyle w:val="63"/>
                <w:color w:val="000000" w:themeColor="text1"/>
                <w14:textFill>
                  <w14:solidFill>
                    <w14:schemeClr w14:val="tx1"/>
                  </w14:solidFill>
                </w14:textFill>
              </w:rPr>
              <w:t>.49</w:t>
            </w:r>
          </w:p>
        </w:tc>
        <w:tc>
          <w:tcPr>
            <w:tcW w:w="902" w:type="dxa"/>
            <w:tcBorders>
              <w:top w:val="single" w:color="auto" w:sz="4" w:space="0"/>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TSP</w:t>
            </w:r>
          </w:p>
        </w:tc>
        <w:tc>
          <w:tcPr>
            <w:tcW w:w="763" w:type="dxa"/>
            <w:tcBorders>
              <w:top w:val="single" w:color="auto" w:sz="4" w:space="0"/>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.1667</w:t>
            </w:r>
          </w:p>
        </w:tc>
        <w:tc>
          <w:tcPr>
            <w:tcW w:w="757" w:type="dxa"/>
            <w:vMerge w:val="continue"/>
            <w:tcBorders>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Ex>
        <w:trPr>
          <w:trHeight w:val="300" w:hRule="atLeast"/>
        </w:trPr>
        <w:tc>
          <w:tcPr>
            <w:tcW w:w="9060" w:type="dxa"/>
            <w:gridSpan w:val="11"/>
            <w:tcBorders>
              <w:top w:val="single" w:color="auto" w:sz="4" w:space="0"/>
              <w:left w:val="single" w:color="auto" w:sz="4" w:space="0"/>
              <w:bottom w:val="single" w:color="auto" w:sz="4" w:space="0"/>
              <w:right w:val="single" w:color="auto" w:sz="4" w:space="0"/>
            </w:tcBorders>
            <w:vAlign w:val="center"/>
          </w:tcPr>
          <w:p>
            <w:pPr>
              <w:pStyle w:val="107"/>
              <w:jc w:val="left"/>
            </w:pPr>
            <w:r>
              <w:rPr>
                <w:rFonts w:hint="eastAsia"/>
              </w:rPr>
              <w:t>注：颗粒物质量标准取</w:t>
            </w:r>
            <w:r>
              <w:t>TSP</w:t>
            </w:r>
            <w:r>
              <w:rPr>
                <w:rFonts w:hint="eastAsia"/>
              </w:rPr>
              <w:t>环境质量标准二级标准日均值的3倍，</w:t>
            </w:r>
            <w:r>
              <w:t>900</w:t>
            </w:r>
            <w:r>
              <w:rPr>
                <w:rFonts w:cs="Arial"/>
              </w:rPr>
              <w:t>μg</w:t>
            </w:r>
            <w:r>
              <w:rPr>
                <w:rFonts w:hint="eastAsia"/>
              </w:rPr>
              <w:t>/m³；</w:t>
            </w:r>
          </w:p>
          <w:p>
            <w:pPr>
              <w:pStyle w:val="107"/>
              <w:ind w:firstLine="420" w:firstLineChars="200"/>
              <w:jc w:val="left"/>
            </w:pPr>
            <w:r>
              <w:rPr>
                <w:rFonts w:hint="eastAsia" w:cs="微软雅黑"/>
              </w:rPr>
              <w:t>非甲烷总烃质量标准采用《大气污染物综合排放标准详解》中推荐值</w:t>
            </w:r>
            <w:r>
              <w:rPr>
                <w:rFonts w:hint="eastAsia"/>
              </w:rPr>
              <w:t>2.0mg/m</w:t>
            </w:r>
            <w:r>
              <w:rPr>
                <w:rFonts w:cs="Arial"/>
              </w:rPr>
              <w:t>³</w:t>
            </w:r>
            <w:r>
              <w:rPr>
                <w:rFonts w:hint="eastAsia" w:cs="微软雅黑"/>
              </w:rPr>
              <w:t>；</w:t>
            </w:r>
          </w:p>
          <w:p>
            <w:pPr>
              <w:pStyle w:val="107"/>
              <w:ind w:firstLine="420" w:firstLineChars="200"/>
              <w:jc w:val="left"/>
            </w:pPr>
            <w:r>
              <w:rPr>
                <w:rFonts w:hint="eastAsia"/>
              </w:rPr>
              <w:t>硫化氢质量标准采用</w:t>
            </w:r>
            <w:r>
              <w:t>《环境影响评价技术导则</w:t>
            </w:r>
            <w:r>
              <w:rPr>
                <w:rFonts w:hint="eastAsia"/>
              </w:rPr>
              <w:t xml:space="preserve"> </w:t>
            </w:r>
            <w:r>
              <w:t>大气环境》</w:t>
            </w:r>
            <w:r>
              <w:rPr>
                <w:rFonts w:hint="eastAsia"/>
              </w:rPr>
              <w:t>（</w:t>
            </w:r>
            <w:r>
              <w:t>HJ 2.2-2018</w:t>
            </w:r>
            <w:r>
              <w:rPr>
                <w:rFonts w:hint="eastAsia"/>
              </w:rPr>
              <w:t>）附录D有关标准1</w:t>
            </w:r>
            <w:r>
              <w:t>0</w:t>
            </w:r>
            <w:r>
              <w:rPr>
                <w:rFonts w:cs="Arial"/>
              </w:rPr>
              <w:t>μ</w:t>
            </w:r>
            <w:r>
              <w:rPr>
                <w:rFonts w:hint="eastAsia"/>
              </w:rPr>
              <w:t>g/m</w:t>
            </w:r>
            <w:r>
              <w:rPr>
                <w:rFonts w:cs="Arial"/>
              </w:rPr>
              <w:t>³</w:t>
            </w:r>
            <w:r>
              <w:rPr>
                <w:rFonts w:hint="eastAsia" w:cs="微软雅黑"/>
              </w:rPr>
              <w:t>。</w:t>
            </w:r>
          </w:p>
        </w:tc>
      </w:tr>
    </w:tbl>
    <w:p>
      <w:pPr>
        <w:pStyle w:val="18"/>
      </w:pPr>
      <w:r>
        <w:rPr>
          <w:rFonts w:hint="eastAsia"/>
        </w:rPr>
        <w:t xml:space="preserve">表 </w:t>
      </w:r>
      <w:r>
        <w:t>4.4</w:t>
      </w:r>
      <w:r>
        <w:noBreakHyphen/>
      </w:r>
      <w:r>
        <w:t>12</w:t>
      </w:r>
      <w:r>
        <w:rPr>
          <w:rFonts w:hint="eastAsia"/>
        </w:rPr>
        <w:t>正常工况下主要大气污染物排放预测参数（面源）</w:t>
      </w:r>
    </w:p>
    <w:tbl>
      <w:tblPr>
        <w:tblStyle w:val="57"/>
        <w:tblW w:w="9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14"/>
        <w:gridCol w:w="1326"/>
        <w:gridCol w:w="1209"/>
        <w:gridCol w:w="625"/>
        <w:gridCol w:w="728"/>
        <w:gridCol w:w="712"/>
        <w:gridCol w:w="730"/>
        <w:gridCol w:w="868"/>
        <w:gridCol w:w="859"/>
        <w:gridCol w:w="68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314" w:type="dxa"/>
            <w:vMerge w:val="restart"/>
            <w:tcBorders>
              <w:top w:val="single" w:color="auto" w:sz="4" w:space="0"/>
              <w:left w:val="single" w:color="auto" w:sz="4" w:space="0"/>
              <w:bottom w:val="single" w:color="auto" w:sz="4" w:space="0"/>
              <w:right w:val="single" w:color="auto" w:sz="4" w:space="0"/>
            </w:tcBorders>
            <w:vAlign w:val="center"/>
          </w:tcPr>
          <w:p>
            <w:pPr>
              <w:pStyle w:val="107"/>
            </w:pPr>
            <w:r>
              <w:rPr>
                <w:rFonts w:hint="eastAsia" w:cs="微软雅黑"/>
              </w:rPr>
              <w:t>污染源名称</w:t>
            </w:r>
          </w:p>
        </w:tc>
        <w:tc>
          <w:tcPr>
            <w:tcW w:w="2535" w:type="dxa"/>
            <w:gridSpan w:val="2"/>
            <w:tcBorders>
              <w:top w:val="single" w:color="auto" w:sz="4" w:space="0"/>
              <w:left w:val="single" w:color="auto" w:sz="4" w:space="0"/>
              <w:bottom w:val="single" w:color="auto" w:sz="4" w:space="0"/>
              <w:right w:val="single" w:color="auto" w:sz="4" w:space="0"/>
            </w:tcBorders>
            <w:vAlign w:val="center"/>
          </w:tcPr>
          <w:p>
            <w:pPr>
              <w:pStyle w:val="107"/>
            </w:pPr>
            <w:r>
              <w:rPr>
                <w:rFonts w:hint="eastAsia" w:cs="微软雅黑"/>
              </w:rPr>
              <w:t>坐标</w:t>
            </w:r>
          </w:p>
        </w:tc>
        <w:tc>
          <w:tcPr>
            <w:tcW w:w="625" w:type="dxa"/>
            <w:vMerge w:val="restart"/>
            <w:tcBorders>
              <w:top w:val="single" w:color="auto" w:sz="4" w:space="0"/>
              <w:left w:val="single" w:color="auto" w:sz="4" w:space="0"/>
              <w:bottom w:val="single" w:color="auto" w:sz="4" w:space="0"/>
              <w:right w:val="single" w:color="auto" w:sz="4" w:space="0"/>
            </w:tcBorders>
            <w:vAlign w:val="center"/>
          </w:tcPr>
          <w:p>
            <w:pPr>
              <w:pStyle w:val="107"/>
            </w:pPr>
            <w:r>
              <w:rPr>
                <w:rFonts w:hint="eastAsia" w:cs="微软雅黑"/>
              </w:rPr>
              <w:t>海拔高度</w:t>
            </w:r>
            <w:r>
              <w:t>/m</w:t>
            </w:r>
          </w:p>
        </w:tc>
        <w:tc>
          <w:tcPr>
            <w:tcW w:w="2170" w:type="dxa"/>
            <w:gridSpan w:val="3"/>
            <w:tcBorders>
              <w:top w:val="single" w:color="auto" w:sz="4" w:space="0"/>
              <w:left w:val="single" w:color="auto" w:sz="4" w:space="0"/>
              <w:bottom w:val="single" w:color="auto" w:sz="4" w:space="0"/>
              <w:right w:val="single" w:color="auto" w:sz="4" w:space="0"/>
            </w:tcBorders>
            <w:vAlign w:val="center"/>
          </w:tcPr>
          <w:p>
            <w:pPr>
              <w:pStyle w:val="107"/>
            </w:pPr>
            <w:r>
              <w:rPr>
                <w:rFonts w:hint="eastAsia" w:cs="微软雅黑"/>
              </w:rPr>
              <w:t>矩形面源</w:t>
            </w:r>
          </w:p>
        </w:tc>
        <w:tc>
          <w:tcPr>
            <w:tcW w:w="868" w:type="dxa"/>
            <w:vMerge w:val="restart"/>
            <w:tcBorders>
              <w:top w:val="single" w:color="auto" w:sz="4" w:space="0"/>
              <w:left w:val="single" w:color="auto" w:sz="4" w:space="0"/>
              <w:bottom w:val="single" w:color="auto" w:sz="4" w:space="0"/>
              <w:right w:val="single" w:color="auto" w:sz="4" w:space="0"/>
            </w:tcBorders>
            <w:vAlign w:val="center"/>
          </w:tcPr>
          <w:p>
            <w:pPr>
              <w:pStyle w:val="107"/>
            </w:pPr>
            <w:r>
              <w:rPr>
                <w:rFonts w:hint="eastAsia" w:cs="微软雅黑"/>
              </w:rPr>
              <w:t>污染物</w:t>
            </w:r>
          </w:p>
        </w:tc>
        <w:tc>
          <w:tcPr>
            <w:tcW w:w="859" w:type="dxa"/>
            <w:vMerge w:val="restart"/>
            <w:tcBorders>
              <w:top w:val="single" w:color="auto" w:sz="4" w:space="0"/>
              <w:left w:val="single" w:color="auto" w:sz="4" w:space="0"/>
              <w:bottom w:val="single" w:color="auto" w:sz="4" w:space="0"/>
              <w:right w:val="single" w:color="auto" w:sz="4" w:space="0"/>
            </w:tcBorders>
            <w:vAlign w:val="center"/>
          </w:tcPr>
          <w:p>
            <w:pPr>
              <w:pStyle w:val="107"/>
            </w:pPr>
            <w:r>
              <w:rPr>
                <w:rFonts w:hint="eastAsia" w:cs="微软雅黑"/>
              </w:rPr>
              <w:t>排放速率</w:t>
            </w:r>
          </w:p>
        </w:tc>
        <w:tc>
          <w:tcPr>
            <w:tcW w:w="689" w:type="dxa"/>
            <w:vMerge w:val="restart"/>
            <w:tcBorders>
              <w:top w:val="single" w:color="auto" w:sz="4" w:space="0"/>
              <w:left w:val="single" w:color="auto" w:sz="4" w:space="0"/>
              <w:bottom w:val="single" w:color="auto" w:sz="4" w:space="0"/>
              <w:right w:val="single" w:color="auto" w:sz="4" w:space="0"/>
            </w:tcBorders>
            <w:vAlign w:val="center"/>
          </w:tcPr>
          <w:p>
            <w:pPr>
              <w:pStyle w:val="107"/>
            </w:pPr>
            <w:r>
              <w:rPr>
                <w:rFonts w:hint="eastAsia" w:cs="微软雅黑"/>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072" w:hRule="atLeast"/>
        </w:trPr>
        <w:tc>
          <w:tcPr>
            <w:tcW w:w="1314"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326" w:type="dxa"/>
            <w:tcBorders>
              <w:top w:val="single" w:color="auto" w:sz="4" w:space="0"/>
              <w:left w:val="single" w:color="auto" w:sz="4" w:space="0"/>
              <w:bottom w:val="single" w:color="auto" w:sz="4" w:space="0"/>
              <w:right w:val="single" w:color="auto" w:sz="4" w:space="0"/>
            </w:tcBorders>
            <w:vAlign w:val="center"/>
          </w:tcPr>
          <w:p>
            <w:pPr>
              <w:pStyle w:val="107"/>
            </w:pPr>
            <w:r>
              <w:t>X</w:t>
            </w:r>
          </w:p>
        </w:tc>
        <w:tc>
          <w:tcPr>
            <w:tcW w:w="1209" w:type="dxa"/>
            <w:tcBorders>
              <w:top w:val="single" w:color="auto" w:sz="4" w:space="0"/>
              <w:left w:val="single" w:color="auto" w:sz="4" w:space="0"/>
              <w:bottom w:val="single" w:color="auto" w:sz="4" w:space="0"/>
              <w:right w:val="single" w:color="auto" w:sz="4" w:space="0"/>
            </w:tcBorders>
            <w:vAlign w:val="center"/>
          </w:tcPr>
          <w:p>
            <w:pPr>
              <w:pStyle w:val="107"/>
            </w:pPr>
            <w:r>
              <w:t>Y</w:t>
            </w:r>
          </w:p>
        </w:tc>
        <w:tc>
          <w:tcPr>
            <w:tcW w:w="625"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728"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cs="微软雅黑"/>
              </w:rPr>
              <w:t>长度</w:t>
            </w:r>
          </w:p>
        </w:tc>
        <w:tc>
          <w:tcPr>
            <w:tcW w:w="712"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cs="微软雅黑"/>
              </w:rPr>
              <w:t>宽度</w:t>
            </w:r>
          </w:p>
        </w:tc>
        <w:tc>
          <w:tcPr>
            <w:tcW w:w="730" w:type="dxa"/>
            <w:tcBorders>
              <w:top w:val="single" w:color="auto" w:sz="4" w:space="0"/>
              <w:left w:val="single" w:color="auto" w:sz="4" w:space="0"/>
              <w:bottom w:val="single" w:color="auto" w:sz="4" w:space="0"/>
              <w:right w:val="single" w:color="auto" w:sz="4" w:space="0"/>
            </w:tcBorders>
            <w:vAlign w:val="center"/>
          </w:tcPr>
          <w:p>
            <w:pPr>
              <w:pStyle w:val="107"/>
            </w:pPr>
            <w:r>
              <w:rPr>
                <w:rFonts w:hint="eastAsia" w:cs="微软雅黑"/>
              </w:rPr>
              <w:t>有效高度</w:t>
            </w:r>
          </w:p>
        </w:tc>
        <w:tc>
          <w:tcPr>
            <w:tcW w:w="868"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859"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689"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0" w:hRule="atLeast"/>
        </w:trPr>
        <w:tc>
          <w:tcPr>
            <w:tcW w:w="1314"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面源_混炼车间</w:t>
            </w:r>
          </w:p>
        </w:tc>
        <w:tc>
          <w:tcPr>
            <w:tcW w:w="1326"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112.546834</w:t>
            </w:r>
          </w:p>
        </w:tc>
        <w:tc>
          <w:tcPr>
            <w:tcW w:w="1209"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22.478265</w:t>
            </w:r>
          </w:p>
        </w:tc>
        <w:tc>
          <w:tcPr>
            <w:tcW w:w="625"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w:t>
            </w:r>
          </w:p>
        </w:tc>
        <w:tc>
          <w:tcPr>
            <w:tcW w:w="728"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14</w:t>
            </w:r>
          </w:p>
        </w:tc>
        <w:tc>
          <w:tcPr>
            <w:tcW w:w="712"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w:t>
            </w:r>
          </w:p>
        </w:tc>
        <w:tc>
          <w:tcPr>
            <w:tcW w:w="730"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w:t>
            </w:r>
          </w:p>
        </w:tc>
        <w:tc>
          <w:tcPr>
            <w:tcW w:w="868" w:type="dxa"/>
            <w:tcBorders>
              <w:bottom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NMHC</w:t>
            </w:r>
          </w:p>
        </w:tc>
        <w:tc>
          <w:tcPr>
            <w:tcW w:w="859" w:type="dxa"/>
            <w:tcBorders>
              <w:bottom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0.00258  </w:t>
            </w:r>
          </w:p>
        </w:tc>
        <w:tc>
          <w:tcPr>
            <w:tcW w:w="689" w:type="dxa"/>
            <w:vMerge w:val="restart"/>
            <w:vAlign w:val="center"/>
          </w:tcPr>
          <w:p>
            <w:pPr>
              <w:pStyle w:val="107"/>
            </w:pPr>
            <w: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30" w:hRule="atLeast"/>
        </w:trPr>
        <w:tc>
          <w:tcPr>
            <w:tcW w:w="1314" w:type="dxa"/>
            <w:vMerge w:val="continue"/>
            <w:vAlign w:val="center"/>
          </w:tcPr>
          <w:p>
            <w:pPr>
              <w:pStyle w:val="107"/>
              <w:rPr>
                <w:rStyle w:val="63"/>
                <w:color w:val="000000" w:themeColor="text1"/>
                <w14:textFill>
                  <w14:solidFill>
                    <w14:schemeClr w14:val="tx1"/>
                  </w14:solidFill>
                </w14:textFill>
              </w:rPr>
            </w:pPr>
          </w:p>
        </w:tc>
        <w:tc>
          <w:tcPr>
            <w:tcW w:w="1326" w:type="dxa"/>
            <w:vMerge w:val="continue"/>
            <w:vAlign w:val="center"/>
          </w:tcPr>
          <w:p>
            <w:pPr>
              <w:pStyle w:val="107"/>
              <w:rPr>
                <w:rStyle w:val="63"/>
                <w:color w:val="000000" w:themeColor="text1"/>
                <w14:textFill>
                  <w14:solidFill>
                    <w14:schemeClr w14:val="tx1"/>
                  </w14:solidFill>
                </w14:textFill>
              </w:rPr>
            </w:pPr>
          </w:p>
        </w:tc>
        <w:tc>
          <w:tcPr>
            <w:tcW w:w="1209" w:type="dxa"/>
            <w:vMerge w:val="continue"/>
            <w:vAlign w:val="center"/>
          </w:tcPr>
          <w:p>
            <w:pPr>
              <w:pStyle w:val="107"/>
              <w:rPr>
                <w:rStyle w:val="63"/>
                <w:color w:val="000000" w:themeColor="text1"/>
                <w14:textFill>
                  <w14:solidFill>
                    <w14:schemeClr w14:val="tx1"/>
                  </w14:solidFill>
                </w14:textFill>
              </w:rPr>
            </w:pPr>
          </w:p>
        </w:tc>
        <w:tc>
          <w:tcPr>
            <w:tcW w:w="625" w:type="dxa"/>
            <w:vMerge w:val="continue"/>
            <w:vAlign w:val="center"/>
          </w:tcPr>
          <w:p>
            <w:pPr>
              <w:pStyle w:val="107"/>
              <w:rPr>
                <w:rStyle w:val="63"/>
                <w:color w:val="000000" w:themeColor="text1"/>
                <w14:textFill>
                  <w14:solidFill>
                    <w14:schemeClr w14:val="tx1"/>
                  </w14:solidFill>
                </w14:textFill>
              </w:rPr>
            </w:pPr>
          </w:p>
        </w:tc>
        <w:tc>
          <w:tcPr>
            <w:tcW w:w="728" w:type="dxa"/>
            <w:vMerge w:val="continue"/>
            <w:vAlign w:val="center"/>
          </w:tcPr>
          <w:p>
            <w:pPr>
              <w:pStyle w:val="107"/>
              <w:rPr>
                <w:rStyle w:val="63"/>
                <w:color w:val="000000" w:themeColor="text1"/>
                <w14:textFill>
                  <w14:solidFill>
                    <w14:schemeClr w14:val="tx1"/>
                  </w14:solidFill>
                </w14:textFill>
              </w:rPr>
            </w:pPr>
          </w:p>
        </w:tc>
        <w:tc>
          <w:tcPr>
            <w:tcW w:w="712" w:type="dxa"/>
            <w:vMerge w:val="continue"/>
            <w:vAlign w:val="center"/>
          </w:tcPr>
          <w:p>
            <w:pPr>
              <w:pStyle w:val="107"/>
              <w:rPr>
                <w:rStyle w:val="63"/>
                <w:color w:val="000000" w:themeColor="text1"/>
                <w14:textFill>
                  <w14:solidFill>
                    <w14:schemeClr w14:val="tx1"/>
                  </w14:solidFill>
                </w14:textFill>
              </w:rPr>
            </w:pPr>
          </w:p>
        </w:tc>
        <w:tc>
          <w:tcPr>
            <w:tcW w:w="730" w:type="dxa"/>
            <w:vMerge w:val="continue"/>
            <w:vAlign w:val="center"/>
          </w:tcPr>
          <w:p>
            <w:pPr>
              <w:pStyle w:val="107"/>
              <w:rPr>
                <w:rStyle w:val="63"/>
                <w:color w:val="000000" w:themeColor="text1"/>
                <w14:textFill>
                  <w14:solidFill>
                    <w14:schemeClr w14:val="tx1"/>
                  </w14:solidFill>
                </w14:textFill>
              </w:rPr>
            </w:pPr>
          </w:p>
        </w:tc>
        <w:tc>
          <w:tcPr>
            <w:tcW w:w="868" w:type="dxa"/>
            <w:tcBorders>
              <w:top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p>
        </w:tc>
        <w:tc>
          <w:tcPr>
            <w:tcW w:w="859" w:type="dxa"/>
            <w:tcBorders>
              <w:top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0.000183</w:t>
            </w:r>
          </w:p>
        </w:tc>
        <w:tc>
          <w:tcPr>
            <w:tcW w:w="689" w:type="dxa"/>
            <w:vMerge w:val="continue"/>
            <w:vAlign w:val="center"/>
          </w:tcPr>
          <w:p>
            <w:pPr>
              <w:pStyle w:val="107"/>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30" w:hRule="atLeast"/>
        </w:trPr>
        <w:tc>
          <w:tcPr>
            <w:tcW w:w="1314"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面源_硫化车间</w:t>
            </w:r>
          </w:p>
        </w:tc>
        <w:tc>
          <w:tcPr>
            <w:tcW w:w="1326"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112.547059</w:t>
            </w:r>
          </w:p>
        </w:tc>
        <w:tc>
          <w:tcPr>
            <w:tcW w:w="1209"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22.478272</w:t>
            </w:r>
          </w:p>
        </w:tc>
        <w:tc>
          <w:tcPr>
            <w:tcW w:w="625"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w:t>
            </w:r>
          </w:p>
        </w:tc>
        <w:tc>
          <w:tcPr>
            <w:tcW w:w="728"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w:t>
            </w:r>
          </w:p>
        </w:tc>
        <w:tc>
          <w:tcPr>
            <w:tcW w:w="712"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w:t>
            </w:r>
          </w:p>
        </w:tc>
        <w:tc>
          <w:tcPr>
            <w:tcW w:w="730"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w:t>
            </w:r>
          </w:p>
        </w:tc>
        <w:tc>
          <w:tcPr>
            <w:tcW w:w="868" w:type="dxa"/>
            <w:tcBorders>
              <w:bottom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 xml:space="preserve">S </w:t>
            </w:r>
          </w:p>
        </w:tc>
        <w:tc>
          <w:tcPr>
            <w:tcW w:w="859" w:type="dxa"/>
            <w:tcBorders>
              <w:bottom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0.000183</w:t>
            </w:r>
          </w:p>
        </w:tc>
        <w:tc>
          <w:tcPr>
            <w:tcW w:w="689" w:type="dxa"/>
            <w:vMerge w:val="restart"/>
            <w:vAlign w:val="center"/>
          </w:tcPr>
          <w:p>
            <w:pPr>
              <w:pStyle w:val="107"/>
            </w:pPr>
            <w: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84" w:hRule="atLeast"/>
        </w:trPr>
        <w:tc>
          <w:tcPr>
            <w:tcW w:w="1314" w:type="dxa"/>
            <w:vMerge w:val="continue"/>
            <w:vAlign w:val="center"/>
          </w:tcPr>
          <w:p>
            <w:pPr>
              <w:pStyle w:val="107"/>
              <w:rPr>
                <w:rStyle w:val="63"/>
                <w:color w:val="000000" w:themeColor="text1"/>
                <w14:textFill>
                  <w14:solidFill>
                    <w14:schemeClr w14:val="tx1"/>
                  </w14:solidFill>
                </w14:textFill>
              </w:rPr>
            </w:pPr>
          </w:p>
        </w:tc>
        <w:tc>
          <w:tcPr>
            <w:tcW w:w="1326" w:type="dxa"/>
            <w:vMerge w:val="continue"/>
            <w:vAlign w:val="center"/>
          </w:tcPr>
          <w:p>
            <w:pPr>
              <w:pStyle w:val="107"/>
              <w:rPr>
                <w:rStyle w:val="63"/>
                <w:color w:val="000000" w:themeColor="text1"/>
                <w14:textFill>
                  <w14:solidFill>
                    <w14:schemeClr w14:val="tx1"/>
                  </w14:solidFill>
                </w14:textFill>
              </w:rPr>
            </w:pPr>
          </w:p>
        </w:tc>
        <w:tc>
          <w:tcPr>
            <w:tcW w:w="1209" w:type="dxa"/>
            <w:vMerge w:val="continue"/>
            <w:vAlign w:val="center"/>
          </w:tcPr>
          <w:p>
            <w:pPr>
              <w:pStyle w:val="107"/>
              <w:rPr>
                <w:rStyle w:val="63"/>
                <w:color w:val="000000" w:themeColor="text1"/>
                <w14:textFill>
                  <w14:solidFill>
                    <w14:schemeClr w14:val="tx1"/>
                  </w14:solidFill>
                </w14:textFill>
              </w:rPr>
            </w:pPr>
          </w:p>
        </w:tc>
        <w:tc>
          <w:tcPr>
            <w:tcW w:w="625" w:type="dxa"/>
            <w:vMerge w:val="continue"/>
            <w:vAlign w:val="center"/>
          </w:tcPr>
          <w:p>
            <w:pPr>
              <w:pStyle w:val="107"/>
              <w:rPr>
                <w:rStyle w:val="63"/>
                <w:color w:val="000000" w:themeColor="text1"/>
                <w14:textFill>
                  <w14:solidFill>
                    <w14:schemeClr w14:val="tx1"/>
                  </w14:solidFill>
                </w14:textFill>
              </w:rPr>
            </w:pPr>
          </w:p>
        </w:tc>
        <w:tc>
          <w:tcPr>
            <w:tcW w:w="728" w:type="dxa"/>
            <w:vMerge w:val="continue"/>
            <w:vAlign w:val="center"/>
          </w:tcPr>
          <w:p>
            <w:pPr>
              <w:pStyle w:val="107"/>
              <w:rPr>
                <w:rStyle w:val="63"/>
                <w:color w:val="000000" w:themeColor="text1"/>
                <w14:textFill>
                  <w14:solidFill>
                    <w14:schemeClr w14:val="tx1"/>
                  </w14:solidFill>
                </w14:textFill>
              </w:rPr>
            </w:pPr>
          </w:p>
        </w:tc>
        <w:tc>
          <w:tcPr>
            <w:tcW w:w="712" w:type="dxa"/>
            <w:vMerge w:val="continue"/>
            <w:vAlign w:val="center"/>
          </w:tcPr>
          <w:p>
            <w:pPr>
              <w:pStyle w:val="107"/>
              <w:rPr>
                <w:rStyle w:val="63"/>
                <w:color w:val="000000" w:themeColor="text1"/>
                <w14:textFill>
                  <w14:solidFill>
                    <w14:schemeClr w14:val="tx1"/>
                  </w14:solidFill>
                </w14:textFill>
              </w:rPr>
            </w:pPr>
          </w:p>
        </w:tc>
        <w:tc>
          <w:tcPr>
            <w:tcW w:w="730" w:type="dxa"/>
            <w:vMerge w:val="continue"/>
            <w:vAlign w:val="center"/>
          </w:tcPr>
          <w:p>
            <w:pPr>
              <w:pStyle w:val="107"/>
              <w:rPr>
                <w:rStyle w:val="63"/>
                <w:color w:val="000000" w:themeColor="text1"/>
                <w14:textFill>
                  <w14:solidFill>
                    <w14:schemeClr w14:val="tx1"/>
                  </w14:solidFill>
                </w14:textFill>
              </w:rPr>
            </w:pPr>
          </w:p>
        </w:tc>
        <w:tc>
          <w:tcPr>
            <w:tcW w:w="868" w:type="dxa"/>
            <w:tcBorders>
              <w:top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NMHC</w:t>
            </w:r>
          </w:p>
        </w:tc>
        <w:tc>
          <w:tcPr>
            <w:tcW w:w="859" w:type="dxa"/>
            <w:tcBorders>
              <w:top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0.00485  </w:t>
            </w:r>
          </w:p>
        </w:tc>
        <w:tc>
          <w:tcPr>
            <w:tcW w:w="689" w:type="dxa"/>
            <w:vMerge w:val="continue"/>
            <w:vAlign w:val="center"/>
          </w:tcPr>
          <w:p>
            <w:pPr>
              <w:pStyle w:val="107"/>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80" w:hRule="atLeast"/>
        </w:trPr>
        <w:tc>
          <w:tcPr>
            <w:tcW w:w="1314"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面源_密炼围蔽区</w:t>
            </w:r>
          </w:p>
        </w:tc>
        <w:tc>
          <w:tcPr>
            <w:tcW w:w="1326"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112.546864</w:t>
            </w:r>
          </w:p>
        </w:tc>
        <w:tc>
          <w:tcPr>
            <w:tcW w:w="1209"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22.478384</w:t>
            </w:r>
          </w:p>
        </w:tc>
        <w:tc>
          <w:tcPr>
            <w:tcW w:w="625"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w:t>
            </w:r>
          </w:p>
        </w:tc>
        <w:tc>
          <w:tcPr>
            <w:tcW w:w="728"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w:t>
            </w:r>
          </w:p>
        </w:tc>
        <w:tc>
          <w:tcPr>
            <w:tcW w:w="712"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w:t>
            </w:r>
          </w:p>
        </w:tc>
        <w:tc>
          <w:tcPr>
            <w:tcW w:w="730"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w:t>
            </w:r>
          </w:p>
        </w:tc>
        <w:tc>
          <w:tcPr>
            <w:tcW w:w="868" w:type="dxa"/>
            <w:tcBorders>
              <w:bottom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TSP</w:t>
            </w:r>
          </w:p>
        </w:tc>
        <w:tc>
          <w:tcPr>
            <w:tcW w:w="859" w:type="dxa"/>
            <w:tcBorders>
              <w:bottom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0.0089</w:t>
            </w:r>
          </w:p>
        </w:tc>
        <w:tc>
          <w:tcPr>
            <w:tcW w:w="689" w:type="dxa"/>
            <w:vMerge w:val="restart"/>
            <w:vAlign w:val="center"/>
          </w:tcPr>
          <w:p>
            <w:pPr>
              <w:pStyle w:val="107"/>
            </w:pPr>
            <w: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90" w:hRule="atLeast"/>
        </w:trPr>
        <w:tc>
          <w:tcPr>
            <w:tcW w:w="1314" w:type="dxa"/>
            <w:vMerge w:val="continue"/>
            <w:vAlign w:val="center"/>
          </w:tcPr>
          <w:p>
            <w:pPr>
              <w:pStyle w:val="107"/>
              <w:rPr>
                <w:rStyle w:val="63"/>
                <w:color w:val="000000" w:themeColor="text1"/>
                <w14:textFill>
                  <w14:solidFill>
                    <w14:schemeClr w14:val="tx1"/>
                  </w14:solidFill>
                </w14:textFill>
              </w:rPr>
            </w:pPr>
          </w:p>
        </w:tc>
        <w:tc>
          <w:tcPr>
            <w:tcW w:w="1326" w:type="dxa"/>
            <w:vMerge w:val="continue"/>
            <w:vAlign w:val="center"/>
          </w:tcPr>
          <w:p>
            <w:pPr>
              <w:pStyle w:val="107"/>
              <w:rPr>
                <w:rStyle w:val="63"/>
                <w:color w:val="000000" w:themeColor="text1"/>
                <w14:textFill>
                  <w14:solidFill>
                    <w14:schemeClr w14:val="tx1"/>
                  </w14:solidFill>
                </w14:textFill>
              </w:rPr>
            </w:pPr>
          </w:p>
        </w:tc>
        <w:tc>
          <w:tcPr>
            <w:tcW w:w="1209" w:type="dxa"/>
            <w:vMerge w:val="continue"/>
            <w:vAlign w:val="center"/>
          </w:tcPr>
          <w:p>
            <w:pPr>
              <w:pStyle w:val="107"/>
              <w:rPr>
                <w:rStyle w:val="63"/>
                <w:color w:val="000000" w:themeColor="text1"/>
                <w14:textFill>
                  <w14:solidFill>
                    <w14:schemeClr w14:val="tx1"/>
                  </w14:solidFill>
                </w14:textFill>
              </w:rPr>
            </w:pPr>
          </w:p>
        </w:tc>
        <w:tc>
          <w:tcPr>
            <w:tcW w:w="625" w:type="dxa"/>
            <w:vMerge w:val="continue"/>
            <w:vAlign w:val="center"/>
          </w:tcPr>
          <w:p>
            <w:pPr>
              <w:pStyle w:val="107"/>
              <w:rPr>
                <w:rStyle w:val="63"/>
                <w:color w:val="000000" w:themeColor="text1"/>
                <w14:textFill>
                  <w14:solidFill>
                    <w14:schemeClr w14:val="tx1"/>
                  </w14:solidFill>
                </w14:textFill>
              </w:rPr>
            </w:pPr>
          </w:p>
        </w:tc>
        <w:tc>
          <w:tcPr>
            <w:tcW w:w="728" w:type="dxa"/>
            <w:vMerge w:val="continue"/>
            <w:vAlign w:val="center"/>
          </w:tcPr>
          <w:p>
            <w:pPr>
              <w:pStyle w:val="107"/>
              <w:rPr>
                <w:rStyle w:val="63"/>
                <w:color w:val="000000" w:themeColor="text1"/>
                <w14:textFill>
                  <w14:solidFill>
                    <w14:schemeClr w14:val="tx1"/>
                  </w14:solidFill>
                </w14:textFill>
              </w:rPr>
            </w:pPr>
          </w:p>
        </w:tc>
        <w:tc>
          <w:tcPr>
            <w:tcW w:w="712" w:type="dxa"/>
            <w:vMerge w:val="continue"/>
            <w:vAlign w:val="center"/>
          </w:tcPr>
          <w:p>
            <w:pPr>
              <w:pStyle w:val="107"/>
              <w:rPr>
                <w:rStyle w:val="63"/>
                <w:color w:val="000000" w:themeColor="text1"/>
                <w14:textFill>
                  <w14:solidFill>
                    <w14:schemeClr w14:val="tx1"/>
                  </w14:solidFill>
                </w14:textFill>
              </w:rPr>
            </w:pPr>
          </w:p>
        </w:tc>
        <w:tc>
          <w:tcPr>
            <w:tcW w:w="730" w:type="dxa"/>
            <w:vMerge w:val="continue"/>
            <w:vAlign w:val="center"/>
          </w:tcPr>
          <w:p>
            <w:pPr>
              <w:pStyle w:val="107"/>
              <w:rPr>
                <w:rStyle w:val="63"/>
                <w:color w:val="000000" w:themeColor="text1"/>
                <w14:textFill>
                  <w14:solidFill>
                    <w14:schemeClr w14:val="tx1"/>
                  </w14:solidFill>
                </w14:textFill>
              </w:rPr>
            </w:pPr>
          </w:p>
        </w:tc>
        <w:tc>
          <w:tcPr>
            <w:tcW w:w="868" w:type="dxa"/>
            <w:tcBorders>
              <w:top w:val="single" w:color="auto" w:sz="4" w:space="0"/>
              <w:bottom w:val="single" w:color="auto" w:sz="4" w:space="0"/>
            </w:tcBorders>
            <w:vAlign w:val="center"/>
          </w:tcPr>
          <w:p>
            <w:pPr>
              <w:pStyle w:val="107"/>
              <w:jc w:val="left"/>
              <w:rPr>
                <w:rStyle w:val="63"/>
                <w:color w:val="000000" w:themeColor="text1"/>
                <w14:textFill>
                  <w14:solidFill>
                    <w14:schemeClr w14:val="tx1"/>
                  </w14:solidFill>
                </w14:textFill>
              </w:rPr>
            </w:pPr>
            <w:r>
              <w:rPr>
                <w:rStyle w:val="63"/>
                <w:color w:val="000000" w:themeColor="text1"/>
                <w14:textFill>
                  <w14:solidFill>
                    <w14:schemeClr w14:val="tx1"/>
                  </w14:solidFill>
                </w14:textFill>
              </w:rPr>
              <w:t>NMHC</w:t>
            </w:r>
          </w:p>
        </w:tc>
        <w:tc>
          <w:tcPr>
            <w:tcW w:w="859" w:type="dxa"/>
            <w:tcBorders>
              <w:top w:val="single" w:color="auto" w:sz="4" w:space="0"/>
              <w:bottom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 0.00249 </w:t>
            </w:r>
          </w:p>
        </w:tc>
        <w:tc>
          <w:tcPr>
            <w:tcW w:w="689" w:type="dxa"/>
            <w:vMerge w:val="continue"/>
            <w:vAlign w:val="center"/>
          </w:tcPr>
          <w:p>
            <w:pPr>
              <w:pStyle w:val="107"/>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314" w:type="dxa"/>
            <w:vMerge w:val="continue"/>
            <w:vAlign w:val="center"/>
          </w:tcPr>
          <w:p>
            <w:pPr>
              <w:pStyle w:val="107"/>
              <w:rPr>
                <w:rStyle w:val="63"/>
                <w:color w:val="000000" w:themeColor="text1"/>
                <w14:textFill>
                  <w14:solidFill>
                    <w14:schemeClr w14:val="tx1"/>
                  </w14:solidFill>
                </w14:textFill>
              </w:rPr>
            </w:pPr>
          </w:p>
        </w:tc>
        <w:tc>
          <w:tcPr>
            <w:tcW w:w="1326" w:type="dxa"/>
            <w:vMerge w:val="continue"/>
            <w:vAlign w:val="center"/>
          </w:tcPr>
          <w:p>
            <w:pPr>
              <w:pStyle w:val="107"/>
              <w:rPr>
                <w:rStyle w:val="63"/>
                <w:color w:val="000000" w:themeColor="text1"/>
                <w14:textFill>
                  <w14:solidFill>
                    <w14:schemeClr w14:val="tx1"/>
                  </w14:solidFill>
                </w14:textFill>
              </w:rPr>
            </w:pPr>
          </w:p>
        </w:tc>
        <w:tc>
          <w:tcPr>
            <w:tcW w:w="1209" w:type="dxa"/>
            <w:vMerge w:val="continue"/>
            <w:vAlign w:val="center"/>
          </w:tcPr>
          <w:p>
            <w:pPr>
              <w:pStyle w:val="107"/>
              <w:rPr>
                <w:rStyle w:val="63"/>
                <w:color w:val="000000" w:themeColor="text1"/>
                <w14:textFill>
                  <w14:solidFill>
                    <w14:schemeClr w14:val="tx1"/>
                  </w14:solidFill>
                </w14:textFill>
              </w:rPr>
            </w:pPr>
          </w:p>
        </w:tc>
        <w:tc>
          <w:tcPr>
            <w:tcW w:w="625" w:type="dxa"/>
            <w:vMerge w:val="continue"/>
            <w:vAlign w:val="center"/>
          </w:tcPr>
          <w:p>
            <w:pPr>
              <w:pStyle w:val="107"/>
              <w:rPr>
                <w:rStyle w:val="63"/>
                <w:color w:val="000000" w:themeColor="text1"/>
                <w14:textFill>
                  <w14:solidFill>
                    <w14:schemeClr w14:val="tx1"/>
                  </w14:solidFill>
                </w14:textFill>
              </w:rPr>
            </w:pPr>
          </w:p>
        </w:tc>
        <w:tc>
          <w:tcPr>
            <w:tcW w:w="728" w:type="dxa"/>
            <w:vMerge w:val="continue"/>
            <w:vAlign w:val="center"/>
          </w:tcPr>
          <w:p>
            <w:pPr>
              <w:pStyle w:val="107"/>
              <w:rPr>
                <w:rStyle w:val="63"/>
                <w:color w:val="000000" w:themeColor="text1"/>
                <w14:textFill>
                  <w14:solidFill>
                    <w14:schemeClr w14:val="tx1"/>
                  </w14:solidFill>
                </w14:textFill>
              </w:rPr>
            </w:pPr>
          </w:p>
        </w:tc>
        <w:tc>
          <w:tcPr>
            <w:tcW w:w="712" w:type="dxa"/>
            <w:vMerge w:val="continue"/>
            <w:vAlign w:val="center"/>
          </w:tcPr>
          <w:p>
            <w:pPr>
              <w:pStyle w:val="107"/>
              <w:rPr>
                <w:rStyle w:val="63"/>
                <w:color w:val="000000" w:themeColor="text1"/>
                <w14:textFill>
                  <w14:solidFill>
                    <w14:schemeClr w14:val="tx1"/>
                  </w14:solidFill>
                </w14:textFill>
              </w:rPr>
            </w:pPr>
          </w:p>
        </w:tc>
        <w:tc>
          <w:tcPr>
            <w:tcW w:w="730" w:type="dxa"/>
            <w:vMerge w:val="continue"/>
            <w:vAlign w:val="center"/>
          </w:tcPr>
          <w:p>
            <w:pPr>
              <w:pStyle w:val="107"/>
              <w:rPr>
                <w:rStyle w:val="63"/>
                <w:color w:val="000000" w:themeColor="text1"/>
                <w14:textFill>
                  <w14:solidFill>
                    <w14:schemeClr w14:val="tx1"/>
                  </w14:solidFill>
                </w14:textFill>
              </w:rPr>
            </w:pPr>
          </w:p>
        </w:tc>
        <w:tc>
          <w:tcPr>
            <w:tcW w:w="868" w:type="dxa"/>
            <w:tcBorders>
              <w:top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 xml:space="preserve"> 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p>
        </w:tc>
        <w:tc>
          <w:tcPr>
            <w:tcW w:w="859" w:type="dxa"/>
            <w:tcBorders>
              <w:top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0.00005</w:t>
            </w:r>
          </w:p>
        </w:tc>
        <w:tc>
          <w:tcPr>
            <w:tcW w:w="689" w:type="dxa"/>
            <w:vMerge w:val="continue"/>
            <w:vAlign w:val="center"/>
          </w:tcPr>
          <w:p>
            <w:pPr>
              <w:pStyle w:val="107"/>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40" w:hRule="atLeast"/>
        </w:trPr>
        <w:tc>
          <w:tcPr>
            <w:tcW w:w="1314"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w:t>
            </w:r>
            <w:r>
              <w:rPr>
                <w:rStyle w:val="63"/>
                <w:rFonts w:hint="eastAsia"/>
                <w:color w:val="000000" w:themeColor="text1"/>
                <w14:textFill>
                  <w14:solidFill>
                    <w14:schemeClr w14:val="tx1"/>
                  </w14:solidFill>
                </w14:textFill>
              </w:rPr>
              <w:t>包装车间</w:t>
            </w:r>
          </w:p>
        </w:tc>
        <w:tc>
          <w:tcPr>
            <w:tcW w:w="1326"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112.546885</w:t>
            </w:r>
          </w:p>
        </w:tc>
        <w:tc>
          <w:tcPr>
            <w:tcW w:w="12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22.478294</w:t>
            </w:r>
          </w:p>
        </w:tc>
        <w:tc>
          <w:tcPr>
            <w:tcW w:w="625"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8</w:t>
            </w:r>
          </w:p>
        </w:tc>
        <w:tc>
          <w:tcPr>
            <w:tcW w:w="72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w:t>
            </w:r>
          </w:p>
        </w:tc>
        <w:tc>
          <w:tcPr>
            <w:tcW w:w="7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w:t>
            </w:r>
          </w:p>
        </w:tc>
        <w:tc>
          <w:tcPr>
            <w:tcW w:w="730"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w:t>
            </w:r>
          </w:p>
        </w:tc>
        <w:tc>
          <w:tcPr>
            <w:tcW w:w="868" w:type="dxa"/>
            <w:tcBorders>
              <w:top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VOCs</w:t>
            </w:r>
          </w:p>
        </w:tc>
        <w:tc>
          <w:tcPr>
            <w:tcW w:w="859" w:type="dxa"/>
            <w:tcBorders>
              <w:top w:val="single" w:color="auto" w:sz="4" w:space="0"/>
            </w:tcBorders>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.0033</w:t>
            </w:r>
          </w:p>
        </w:tc>
        <w:tc>
          <w:tcPr>
            <w:tcW w:w="689" w:type="dxa"/>
            <w:vAlign w:val="center"/>
          </w:tcPr>
          <w:p>
            <w:pPr>
              <w:pStyle w:val="107"/>
            </w:pPr>
            <w:r>
              <w:t>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9060" w:type="dxa"/>
            <w:gridSpan w:val="10"/>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both"/>
              <w:rPr>
                <w:rFonts w:ascii="宋体" w:hAnsi="宋体" w:eastAsia="宋体"/>
                <w:color w:val="000000" w:themeColor="text1"/>
                <w:sz w:val="21"/>
                <w:szCs w:val="21"/>
                <w14:textFill>
                  <w14:solidFill>
                    <w14:schemeClr w14:val="tx1"/>
                  </w14:solidFill>
                </w14:textFill>
              </w:rPr>
            </w:pPr>
            <w:r>
              <w:rPr>
                <w:rFonts w:hint="eastAsia" w:ascii="宋体" w:hAnsi="宋体" w:eastAsia="宋体"/>
                <w:color w:val="000000" w:themeColor="text1"/>
                <w:sz w:val="21"/>
                <w:szCs w:val="21"/>
                <w14:textFill>
                  <w14:solidFill>
                    <w14:schemeClr w14:val="tx1"/>
                  </w14:solidFill>
                </w14:textFill>
              </w:rPr>
              <w:t>注：</w:t>
            </w:r>
            <w:r>
              <w:rPr>
                <w:rFonts w:ascii="宋体" w:hAnsi="宋体" w:eastAsia="Times New Roman"/>
                <w:color w:val="000000" w:themeColor="text1"/>
                <w:sz w:val="21"/>
                <w:szCs w:val="21"/>
                <w14:textFill>
                  <w14:solidFill>
                    <w14:schemeClr w14:val="tx1"/>
                  </w14:solidFill>
                </w14:textFill>
              </w:rPr>
              <w:fldChar w:fldCharType="begin"/>
            </w:r>
            <w:r>
              <w:rPr>
                <w:rFonts w:ascii="宋体" w:hAnsi="宋体" w:eastAsia="宋体"/>
                <w:color w:val="000000" w:themeColor="text1"/>
                <w:sz w:val="21"/>
                <w:szCs w:val="21"/>
                <w14:textFill>
                  <w14:solidFill>
                    <w14:schemeClr w14:val="tx1"/>
                  </w14:solidFill>
                </w14:textFill>
              </w:rPr>
              <w:instrText xml:space="preserve"> </w:instrText>
            </w:r>
            <w:r>
              <w:rPr>
                <w:rFonts w:hint="eastAsia" w:ascii="宋体" w:hAnsi="宋体" w:eastAsia="宋体"/>
                <w:color w:val="000000" w:themeColor="text1"/>
                <w:sz w:val="21"/>
                <w:szCs w:val="21"/>
                <w14:textFill>
                  <w14:solidFill>
                    <w14:schemeClr w14:val="tx1"/>
                  </w14:solidFill>
                </w14:textFill>
              </w:rPr>
              <w:instrText xml:space="preserve">= 1 \* GB3</w:instrText>
            </w:r>
            <w:r>
              <w:rPr>
                <w:rFonts w:ascii="宋体" w:hAnsi="宋体" w:eastAsia="宋体"/>
                <w:color w:val="000000" w:themeColor="text1"/>
                <w:sz w:val="21"/>
                <w:szCs w:val="21"/>
                <w14:textFill>
                  <w14:solidFill>
                    <w14:schemeClr w14:val="tx1"/>
                  </w14:solidFill>
                </w14:textFill>
              </w:rPr>
              <w:instrText xml:space="preserve"> </w:instrText>
            </w:r>
            <w:r>
              <w:rPr>
                <w:rFonts w:ascii="宋体" w:hAnsi="宋体" w:eastAsia="Times New Roman"/>
                <w:color w:val="000000" w:themeColor="text1"/>
                <w:sz w:val="21"/>
                <w:szCs w:val="21"/>
                <w14:textFill>
                  <w14:solidFill>
                    <w14:schemeClr w14:val="tx1"/>
                  </w14:solidFill>
                </w14:textFill>
              </w:rPr>
              <w:fldChar w:fldCharType="separate"/>
            </w:r>
            <w:r>
              <w:rPr>
                <w:rFonts w:hint="eastAsia" w:ascii="宋体" w:hAnsi="宋体" w:eastAsia="宋体"/>
                <w:color w:val="000000" w:themeColor="text1"/>
                <w:sz w:val="21"/>
                <w:szCs w:val="21"/>
                <w14:textFill>
                  <w14:solidFill>
                    <w14:schemeClr w14:val="tx1"/>
                  </w14:solidFill>
                </w14:textFill>
              </w:rPr>
              <w:t>①</w:t>
            </w:r>
            <w:r>
              <w:rPr>
                <w:rFonts w:ascii="宋体" w:hAnsi="宋体" w:eastAsia="Times New Roman"/>
                <w:color w:val="000000" w:themeColor="text1"/>
                <w:sz w:val="21"/>
                <w:szCs w:val="21"/>
                <w14:textFill>
                  <w14:solidFill>
                    <w14:schemeClr w14:val="tx1"/>
                  </w14:solidFill>
                </w14:textFill>
              </w:rPr>
              <w:fldChar w:fldCharType="end"/>
            </w:r>
            <w:r>
              <w:rPr>
                <w:rFonts w:hint="eastAsia" w:ascii="宋体" w:hAnsi="宋体" w:eastAsia="宋体"/>
                <w:color w:val="000000" w:themeColor="text1"/>
                <w:sz w:val="21"/>
                <w:szCs w:val="21"/>
                <w14:textFill>
                  <w14:solidFill>
                    <w14:schemeClr w14:val="tx1"/>
                  </w14:solidFill>
                </w14:textFill>
              </w:rPr>
              <w:t>颗粒物质量标准取</w:t>
            </w:r>
            <w:r>
              <w:rPr>
                <w:rFonts w:ascii="宋体" w:hAnsi="宋体" w:eastAsia="宋体"/>
                <w:color w:val="000000" w:themeColor="text1"/>
                <w:sz w:val="21"/>
                <w:szCs w:val="21"/>
                <w14:textFill>
                  <w14:solidFill>
                    <w14:schemeClr w14:val="tx1"/>
                  </w14:solidFill>
                </w14:textFill>
              </w:rPr>
              <w:t>TSP</w:t>
            </w:r>
            <w:r>
              <w:rPr>
                <w:rFonts w:hint="eastAsia" w:ascii="宋体" w:hAnsi="宋体" w:eastAsia="宋体"/>
                <w:color w:val="000000" w:themeColor="text1"/>
                <w:sz w:val="21"/>
                <w:szCs w:val="21"/>
                <w14:textFill>
                  <w14:solidFill>
                    <w14:schemeClr w14:val="tx1"/>
                  </w14:solidFill>
                </w14:textFill>
              </w:rPr>
              <w:t>环境质量标准二级标准日均</w:t>
            </w:r>
            <w:r>
              <w:rPr>
                <w:rFonts w:ascii="Times New Roman" w:hAnsi="Times New Roman" w:eastAsia="宋体" w:cs="Times New Roman"/>
                <w:color w:val="000000" w:themeColor="text1"/>
                <w:sz w:val="21"/>
                <w:szCs w:val="21"/>
                <w14:textFill>
                  <w14:solidFill>
                    <w14:schemeClr w14:val="tx1"/>
                  </w14:solidFill>
                </w14:textFill>
              </w:rPr>
              <w:t>值的3倍，900μg/m³</w:t>
            </w:r>
            <w:r>
              <w:rPr>
                <w:rFonts w:hint="eastAsia" w:ascii="宋体" w:hAnsi="宋体" w:eastAsia="宋体"/>
                <w:color w:val="000000" w:themeColor="text1"/>
                <w:sz w:val="21"/>
                <w:szCs w:val="21"/>
                <w14:textFill>
                  <w14:solidFill>
                    <w14:schemeClr w14:val="tx1"/>
                  </w14:solidFill>
                </w14:textFill>
              </w:rPr>
              <w:t>；</w:t>
            </w:r>
          </w:p>
        </w:tc>
      </w:tr>
    </w:tbl>
    <w:p>
      <w:pPr>
        <w:pStyle w:val="18"/>
      </w:pPr>
      <w:r>
        <w:rPr>
          <w:rFonts w:hint="eastAsia"/>
        </w:rPr>
        <w:t xml:space="preserve">表 </w:t>
      </w:r>
      <w:r>
        <w:t>4.4</w:t>
      </w:r>
      <w:r>
        <w:noBreakHyphen/>
      </w:r>
      <w:r>
        <w:t xml:space="preserve">13 </w:t>
      </w:r>
      <w:r>
        <w:rPr>
          <w:rFonts w:hint="eastAsia"/>
        </w:rPr>
        <w:t>估算模型参数表</w:t>
      </w:r>
    </w:p>
    <w:tbl>
      <w:tblPr>
        <w:tblStyle w:val="154"/>
        <w:tblW w:w="9040" w:type="dxa"/>
        <w:jc w:val="center"/>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1998"/>
        <w:gridCol w:w="4601"/>
        <w:gridCol w:w="2441"/>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87" w:hRule="atLeast"/>
          <w:tblHeader/>
          <w:jc w:val="center"/>
        </w:trPr>
        <w:tc>
          <w:tcPr>
            <w:tcW w:w="6599" w:type="dxa"/>
            <w:gridSpan w:val="2"/>
            <w:shd w:val="clear" w:color="auto" w:fill="FFFFFF" w:themeFill="background1"/>
            <w:vAlign w:val="center"/>
          </w:tcPr>
          <w:p>
            <w:pPr>
              <w:pStyle w:val="107"/>
              <w:wordWrap/>
              <w:spacing w:before="0" w:beforeLines="0" w:beforeAutospacing="0" w:after="0" w:afterLines="0" w:afterAutospacing="0"/>
              <w:ind w:left="0" w:leftChars="0" w:right="0" w:rightChars="0"/>
              <w:rPr>
                <w:b/>
              </w:rPr>
            </w:pPr>
            <w:r>
              <w:rPr>
                <w:rFonts w:hint="eastAsia"/>
                <w:b/>
              </w:rPr>
              <w:t>参数</w:t>
            </w:r>
          </w:p>
        </w:tc>
        <w:tc>
          <w:tcPr>
            <w:tcW w:w="2441" w:type="dxa"/>
            <w:shd w:val="clear" w:color="auto" w:fill="FFFFFF" w:themeFill="background1"/>
            <w:vAlign w:val="center"/>
          </w:tcPr>
          <w:p>
            <w:pPr>
              <w:pStyle w:val="107"/>
              <w:wordWrap/>
              <w:spacing w:before="0" w:beforeLines="0" w:beforeAutospacing="0" w:after="0" w:afterLines="0" w:afterAutospacing="0"/>
              <w:ind w:left="0" w:leftChars="0" w:right="0" w:rightChars="0"/>
              <w:rPr>
                <w:b/>
              </w:rPr>
            </w:pPr>
            <w:r>
              <w:rPr>
                <w:rFonts w:hint="eastAsia"/>
                <w:b/>
              </w:rPr>
              <w:t>取值</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68" w:hRule="atLeast"/>
          <w:jc w:val="center"/>
        </w:trPr>
        <w:tc>
          <w:tcPr>
            <w:tcW w:w="1998" w:type="dxa"/>
            <w:vMerge w:val="restart"/>
            <w:shd w:val="clear" w:color="auto" w:fill="FFFFFF" w:themeFill="background1"/>
            <w:vAlign w:val="center"/>
          </w:tcPr>
          <w:p>
            <w:pPr>
              <w:pStyle w:val="107"/>
              <w:spacing w:before="74"/>
            </w:pPr>
            <w:r>
              <w:rPr>
                <w:rFonts w:hint="eastAsia"/>
              </w:rPr>
              <w:t>城市</w:t>
            </w:r>
            <w:r>
              <w:t>/</w:t>
            </w:r>
            <w:r>
              <w:rPr>
                <w:rFonts w:hint="eastAsia"/>
              </w:rPr>
              <w:t>农村选项</w:t>
            </w:r>
          </w:p>
        </w:tc>
        <w:tc>
          <w:tcPr>
            <w:tcW w:w="4601" w:type="dxa"/>
            <w:shd w:val="clear" w:color="auto" w:fill="FFFFFF" w:themeFill="background1"/>
            <w:vAlign w:val="center"/>
          </w:tcPr>
          <w:p>
            <w:pPr>
              <w:pStyle w:val="107"/>
              <w:spacing w:before="74"/>
            </w:pPr>
            <w:r>
              <w:rPr>
                <w:rFonts w:hint="eastAsia"/>
              </w:rPr>
              <w:t>城市</w:t>
            </w:r>
            <w:r>
              <w:t>/</w:t>
            </w:r>
            <w:r>
              <w:rPr>
                <w:rFonts w:hint="eastAsia"/>
              </w:rPr>
              <w:t>农村</w:t>
            </w:r>
          </w:p>
        </w:tc>
        <w:tc>
          <w:tcPr>
            <w:tcW w:w="2441" w:type="dxa"/>
            <w:shd w:val="clear" w:color="auto" w:fill="FFFFFF" w:themeFill="background1"/>
            <w:vAlign w:val="center"/>
          </w:tcPr>
          <w:p>
            <w:pPr>
              <w:pStyle w:val="107"/>
              <w:spacing w:before="74"/>
            </w:pPr>
            <w:r>
              <w:rPr>
                <w:rFonts w:hint="eastAsia"/>
              </w:rPr>
              <w:t>农村</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407" w:hRule="atLeast"/>
          <w:jc w:val="center"/>
        </w:trPr>
        <w:tc>
          <w:tcPr>
            <w:tcW w:w="1998" w:type="dxa"/>
            <w:vMerge w:val="continue"/>
            <w:shd w:val="clear" w:color="auto" w:fill="FFFFFF" w:themeFill="background1"/>
            <w:vAlign w:val="center"/>
          </w:tcPr>
          <w:p>
            <w:pPr>
              <w:pStyle w:val="107"/>
              <w:spacing w:before="74"/>
            </w:pPr>
          </w:p>
        </w:tc>
        <w:tc>
          <w:tcPr>
            <w:tcW w:w="4601" w:type="dxa"/>
            <w:shd w:val="clear" w:color="auto" w:fill="FFFFFF" w:themeFill="background1"/>
            <w:vAlign w:val="center"/>
          </w:tcPr>
          <w:p>
            <w:pPr>
              <w:pStyle w:val="107"/>
              <w:spacing w:before="74"/>
            </w:pPr>
            <w:r>
              <w:rPr>
                <w:rFonts w:hint="eastAsia"/>
              </w:rPr>
              <w:t>人口数（城市选项时）</w:t>
            </w:r>
          </w:p>
        </w:tc>
        <w:tc>
          <w:tcPr>
            <w:tcW w:w="2441" w:type="dxa"/>
            <w:shd w:val="clear" w:color="auto" w:fill="FFFFFF" w:themeFill="background1"/>
            <w:vAlign w:val="center"/>
          </w:tcPr>
          <w:p>
            <w:pPr>
              <w:pStyle w:val="107"/>
              <w:spacing w:before="74"/>
            </w:pPr>
            <w:r>
              <w:rPr>
                <w:rFonts w:hint="eastAsia"/>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87" w:hRule="atLeast"/>
          <w:jc w:val="center"/>
        </w:trPr>
        <w:tc>
          <w:tcPr>
            <w:tcW w:w="6599" w:type="dxa"/>
            <w:gridSpan w:val="2"/>
            <w:shd w:val="clear" w:color="auto" w:fill="FFFFFF" w:themeFill="background1"/>
            <w:vAlign w:val="center"/>
          </w:tcPr>
          <w:p>
            <w:pPr>
              <w:pStyle w:val="107"/>
              <w:spacing w:before="74"/>
            </w:pPr>
            <w:r>
              <w:rPr>
                <w:rFonts w:hint="eastAsia"/>
              </w:rPr>
              <w:t>最高环境温度/</w:t>
            </w:r>
            <w:r>
              <w:t xml:space="preserve"> </w:t>
            </w:r>
            <w:r>
              <w:rPr>
                <w:rFonts w:hint="eastAsia"/>
              </w:rPr>
              <w:t>℃</w:t>
            </w:r>
          </w:p>
        </w:tc>
        <w:tc>
          <w:tcPr>
            <w:tcW w:w="2441" w:type="dxa"/>
            <w:shd w:val="clear" w:color="auto" w:fill="FFFFFF" w:themeFill="background1"/>
            <w:vAlign w:val="center"/>
          </w:tcPr>
          <w:p>
            <w:pPr>
              <w:pStyle w:val="107"/>
              <w:spacing w:before="74"/>
            </w:pPr>
            <w:r>
              <w:t>39.4 °C</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68" w:hRule="atLeast"/>
          <w:jc w:val="center"/>
        </w:trPr>
        <w:tc>
          <w:tcPr>
            <w:tcW w:w="6599" w:type="dxa"/>
            <w:gridSpan w:val="2"/>
            <w:shd w:val="clear" w:color="auto" w:fill="FFFFFF" w:themeFill="background1"/>
            <w:vAlign w:val="center"/>
          </w:tcPr>
          <w:p>
            <w:pPr>
              <w:pStyle w:val="107"/>
              <w:spacing w:before="74"/>
            </w:pPr>
            <w:r>
              <w:rPr>
                <w:rFonts w:hint="eastAsia"/>
              </w:rPr>
              <w:t>最低环境温度/</w:t>
            </w:r>
            <w:r>
              <w:t xml:space="preserve"> </w:t>
            </w:r>
            <w:r>
              <w:rPr>
                <w:rFonts w:hint="eastAsia"/>
              </w:rPr>
              <w:t>℃</w:t>
            </w:r>
          </w:p>
        </w:tc>
        <w:tc>
          <w:tcPr>
            <w:tcW w:w="2441" w:type="dxa"/>
            <w:shd w:val="clear" w:color="auto" w:fill="FFFFFF" w:themeFill="background1"/>
            <w:vAlign w:val="center"/>
          </w:tcPr>
          <w:p>
            <w:pPr>
              <w:pStyle w:val="107"/>
              <w:spacing w:before="74"/>
            </w:pPr>
            <w:r>
              <w:t>1.5 °C</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87" w:hRule="atLeast"/>
          <w:jc w:val="center"/>
        </w:trPr>
        <w:tc>
          <w:tcPr>
            <w:tcW w:w="6599" w:type="dxa"/>
            <w:gridSpan w:val="2"/>
            <w:shd w:val="clear" w:color="auto" w:fill="FFFFFF" w:themeFill="background1"/>
            <w:vAlign w:val="center"/>
          </w:tcPr>
          <w:p>
            <w:pPr>
              <w:pStyle w:val="107"/>
              <w:spacing w:before="74"/>
            </w:pPr>
            <w:r>
              <w:rPr>
                <w:rFonts w:hint="eastAsia"/>
              </w:rPr>
              <w:t>土地利用类型</w:t>
            </w:r>
          </w:p>
        </w:tc>
        <w:tc>
          <w:tcPr>
            <w:tcW w:w="2441" w:type="dxa"/>
            <w:shd w:val="clear" w:color="auto" w:fill="FFFFFF" w:themeFill="background1"/>
            <w:vAlign w:val="center"/>
          </w:tcPr>
          <w:p>
            <w:pPr>
              <w:pStyle w:val="107"/>
              <w:spacing w:before="74"/>
            </w:pPr>
            <w:r>
              <w:t>阔叶林</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87" w:hRule="atLeast"/>
          <w:jc w:val="center"/>
        </w:trPr>
        <w:tc>
          <w:tcPr>
            <w:tcW w:w="6599" w:type="dxa"/>
            <w:gridSpan w:val="2"/>
            <w:shd w:val="clear" w:color="auto" w:fill="FFFFFF" w:themeFill="background1"/>
            <w:vAlign w:val="center"/>
          </w:tcPr>
          <w:p>
            <w:pPr>
              <w:pStyle w:val="107"/>
              <w:spacing w:before="74"/>
            </w:pPr>
            <w:r>
              <w:rPr>
                <w:rFonts w:hint="eastAsia"/>
              </w:rPr>
              <w:t>区域湿度条件</w:t>
            </w:r>
          </w:p>
        </w:tc>
        <w:tc>
          <w:tcPr>
            <w:tcW w:w="2441" w:type="dxa"/>
            <w:shd w:val="clear" w:color="auto" w:fill="FFFFFF" w:themeFill="background1"/>
            <w:vAlign w:val="center"/>
          </w:tcPr>
          <w:p>
            <w:pPr>
              <w:pStyle w:val="107"/>
              <w:spacing w:before="74"/>
            </w:pPr>
            <w:r>
              <w:rPr>
                <w:rFonts w:hint="eastAsia"/>
              </w:rPr>
              <w:t>潮湿</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87" w:hRule="atLeast"/>
          <w:jc w:val="center"/>
        </w:trPr>
        <w:tc>
          <w:tcPr>
            <w:tcW w:w="1998" w:type="dxa"/>
            <w:vMerge w:val="restart"/>
            <w:shd w:val="clear" w:color="auto" w:fill="FFFFFF" w:themeFill="background1"/>
            <w:vAlign w:val="center"/>
          </w:tcPr>
          <w:p>
            <w:pPr>
              <w:pStyle w:val="107"/>
              <w:spacing w:before="74"/>
            </w:pPr>
            <w:r>
              <w:rPr>
                <w:rFonts w:hint="eastAsia"/>
              </w:rPr>
              <w:t>是否考虑地形</w:t>
            </w:r>
          </w:p>
        </w:tc>
        <w:tc>
          <w:tcPr>
            <w:tcW w:w="4601" w:type="dxa"/>
            <w:shd w:val="clear" w:color="auto" w:fill="FFFFFF" w:themeFill="background1"/>
            <w:vAlign w:val="center"/>
          </w:tcPr>
          <w:p>
            <w:pPr>
              <w:pStyle w:val="107"/>
              <w:spacing w:before="74"/>
            </w:pPr>
            <w:r>
              <w:rPr>
                <w:rFonts w:hint="eastAsia"/>
              </w:rPr>
              <w:t>考虑地形</w:t>
            </w:r>
          </w:p>
        </w:tc>
        <w:tc>
          <w:tcPr>
            <w:tcW w:w="2441" w:type="dxa"/>
            <w:shd w:val="clear" w:color="auto" w:fill="FFFFFF" w:themeFill="background1"/>
            <w:vAlign w:val="center"/>
          </w:tcPr>
          <w:p>
            <w:pPr>
              <w:pStyle w:val="107"/>
              <w:spacing w:before="74"/>
            </w:pPr>
            <w:r>
              <w:rPr>
                <w:rFonts w:ascii="Segoe UI Emoji" w:hAnsi="Segoe UI Emoji" w:cs="Segoe UI Emoji"/>
              </w:rPr>
              <w:t>☑</w:t>
            </w:r>
            <w:r>
              <w:rPr>
                <w:rFonts w:hint="eastAsia"/>
              </w:rPr>
              <w:t xml:space="preserve">是 </w:t>
            </w:r>
            <w:r>
              <w:t xml:space="preserve"> </w:t>
            </w:r>
            <w:r>
              <w:rPr>
                <w:rFonts w:hint="eastAsia"/>
              </w:rPr>
              <w:t>□否</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87" w:hRule="atLeast"/>
          <w:jc w:val="center"/>
        </w:trPr>
        <w:tc>
          <w:tcPr>
            <w:tcW w:w="1998" w:type="dxa"/>
            <w:vMerge w:val="continue"/>
            <w:shd w:val="clear" w:color="auto" w:fill="FFFFFF" w:themeFill="background1"/>
            <w:vAlign w:val="center"/>
          </w:tcPr>
          <w:p>
            <w:pPr>
              <w:pStyle w:val="107"/>
              <w:spacing w:before="74"/>
            </w:pPr>
          </w:p>
        </w:tc>
        <w:tc>
          <w:tcPr>
            <w:tcW w:w="4601" w:type="dxa"/>
            <w:shd w:val="clear" w:color="auto" w:fill="FFFFFF" w:themeFill="background1"/>
            <w:vAlign w:val="center"/>
          </w:tcPr>
          <w:p>
            <w:pPr>
              <w:pStyle w:val="107"/>
              <w:spacing w:before="74"/>
            </w:pPr>
            <w:r>
              <w:rPr>
                <w:rFonts w:hint="eastAsia"/>
              </w:rPr>
              <w:t xml:space="preserve">地形数据分辨率 </w:t>
            </w:r>
            <w:r>
              <w:t>/ m</w:t>
            </w:r>
          </w:p>
        </w:tc>
        <w:tc>
          <w:tcPr>
            <w:tcW w:w="2441" w:type="dxa"/>
            <w:shd w:val="clear" w:color="auto" w:fill="FFFFFF" w:themeFill="background1"/>
            <w:vAlign w:val="center"/>
          </w:tcPr>
          <w:p>
            <w:pPr>
              <w:pStyle w:val="107"/>
              <w:spacing w:before="74"/>
            </w:pPr>
            <w:r>
              <w:rPr>
                <w:rFonts w:hint="eastAsia"/>
              </w:rPr>
              <w:t>9</w:t>
            </w:r>
            <w:r>
              <w:t>0</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87" w:hRule="atLeast"/>
          <w:jc w:val="center"/>
        </w:trPr>
        <w:tc>
          <w:tcPr>
            <w:tcW w:w="1998" w:type="dxa"/>
            <w:vMerge w:val="restart"/>
            <w:shd w:val="clear" w:color="auto" w:fill="FFFFFF" w:themeFill="background1"/>
            <w:vAlign w:val="center"/>
          </w:tcPr>
          <w:p>
            <w:pPr>
              <w:pStyle w:val="107"/>
              <w:spacing w:before="74"/>
            </w:pPr>
            <w:r>
              <w:rPr>
                <w:rFonts w:hint="eastAsia"/>
              </w:rPr>
              <w:t>是否考虑岸线熏烟</w:t>
            </w:r>
          </w:p>
        </w:tc>
        <w:tc>
          <w:tcPr>
            <w:tcW w:w="4601" w:type="dxa"/>
            <w:shd w:val="clear" w:color="auto" w:fill="FFFFFF" w:themeFill="background1"/>
            <w:vAlign w:val="center"/>
          </w:tcPr>
          <w:p>
            <w:pPr>
              <w:pStyle w:val="107"/>
              <w:spacing w:before="74"/>
            </w:pPr>
            <w:r>
              <w:rPr>
                <w:rFonts w:hint="eastAsia"/>
              </w:rPr>
              <w:t>考虑岸线熏烟</w:t>
            </w:r>
          </w:p>
        </w:tc>
        <w:tc>
          <w:tcPr>
            <w:tcW w:w="2441" w:type="dxa"/>
            <w:shd w:val="clear" w:color="auto" w:fill="FFFFFF" w:themeFill="background1"/>
            <w:vAlign w:val="center"/>
          </w:tcPr>
          <w:p>
            <w:pPr>
              <w:pStyle w:val="107"/>
              <w:spacing w:before="74"/>
            </w:pPr>
            <w:r>
              <w:rPr>
                <w:rFonts w:hint="eastAsia"/>
              </w:rPr>
              <w:t xml:space="preserve">□是 </w:t>
            </w:r>
            <w:r>
              <w:t xml:space="preserve"> </w:t>
            </w:r>
            <w:r>
              <w:rPr>
                <w:rFonts w:ascii="Segoe UI Emoji" w:hAnsi="Segoe UI Emoji" w:cs="Segoe UI Emoji"/>
              </w:rPr>
              <w:t>☑</w:t>
            </w:r>
            <w:r>
              <w:rPr>
                <w:rFonts w:hint="eastAsia"/>
              </w:rPr>
              <w:t>否</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407" w:hRule="atLeast"/>
          <w:jc w:val="center"/>
        </w:trPr>
        <w:tc>
          <w:tcPr>
            <w:tcW w:w="1998" w:type="dxa"/>
            <w:vMerge w:val="continue"/>
            <w:shd w:val="clear" w:color="auto" w:fill="FFFFFF" w:themeFill="background1"/>
            <w:vAlign w:val="center"/>
          </w:tcPr>
          <w:p>
            <w:pPr>
              <w:pStyle w:val="107"/>
              <w:spacing w:before="74"/>
            </w:pPr>
          </w:p>
        </w:tc>
        <w:tc>
          <w:tcPr>
            <w:tcW w:w="4601" w:type="dxa"/>
            <w:shd w:val="clear" w:color="auto" w:fill="FFFFFF" w:themeFill="background1"/>
            <w:vAlign w:val="center"/>
          </w:tcPr>
          <w:p>
            <w:pPr>
              <w:pStyle w:val="107"/>
              <w:spacing w:before="74"/>
            </w:pPr>
            <w:r>
              <w:rPr>
                <w:rFonts w:hint="eastAsia"/>
              </w:rPr>
              <w:t>岸线距离/</w:t>
            </w:r>
            <w:r>
              <w:t xml:space="preserve"> km</w:t>
            </w:r>
          </w:p>
        </w:tc>
        <w:tc>
          <w:tcPr>
            <w:tcW w:w="2441" w:type="dxa"/>
            <w:shd w:val="clear" w:color="auto" w:fill="FFFFFF" w:themeFill="background1"/>
            <w:vAlign w:val="center"/>
          </w:tcPr>
          <w:p>
            <w:pPr>
              <w:pStyle w:val="107"/>
              <w:spacing w:before="74"/>
            </w:pPr>
            <w:r>
              <w:rPr>
                <w:rFonts w:hint="eastAsia"/>
              </w:rPr>
              <w:t>/</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Ex>
        <w:trPr>
          <w:trHeight w:val="387" w:hRule="atLeast"/>
          <w:jc w:val="center"/>
        </w:trPr>
        <w:tc>
          <w:tcPr>
            <w:tcW w:w="1998" w:type="dxa"/>
            <w:vMerge w:val="continue"/>
            <w:shd w:val="clear" w:color="auto" w:fill="FFFFFF" w:themeFill="background1"/>
            <w:vAlign w:val="center"/>
          </w:tcPr>
          <w:p>
            <w:pPr>
              <w:pStyle w:val="107"/>
              <w:spacing w:before="74"/>
            </w:pPr>
          </w:p>
        </w:tc>
        <w:tc>
          <w:tcPr>
            <w:tcW w:w="4601" w:type="dxa"/>
            <w:shd w:val="clear" w:color="auto" w:fill="FFFFFF" w:themeFill="background1"/>
            <w:vAlign w:val="center"/>
          </w:tcPr>
          <w:p>
            <w:pPr>
              <w:pStyle w:val="107"/>
              <w:spacing w:before="74"/>
            </w:pPr>
            <w:r>
              <w:rPr>
                <w:rFonts w:hint="eastAsia"/>
              </w:rPr>
              <w:t>岸线方向/</w:t>
            </w:r>
            <w:r>
              <w:t xml:space="preserve"> °</w:t>
            </w:r>
          </w:p>
        </w:tc>
        <w:tc>
          <w:tcPr>
            <w:tcW w:w="2441" w:type="dxa"/>
            <w:shd w:val="clear" w:color="auto" w:fill="FFFFFF" w:themeFill="background1"/>
            <w:vAlign w:val="center"/>
          </w:tcPr>
          <w:p>
            <w:pPr>
              <w:pStyle w:val="107"/>
              <w:spacing w:before="74"/>
            </w:pPr>
            <w:r>
              <w:rPr>
                <w:rFonts w:hint="eastAsia"/>
              </w:rPr>
              <w:t>/</w:t>
            </w:r>
          </w:p>
        </w:tc>
      </w:tr>
    </w:tbl>
    <w:p>
      <w:pPr>
        <w:pStyle w:val="2"/>
      </w:pPr>
    </w:p>
    <w:p>
      <w:pPr>
        <w:ind w:firstLine="482"/>
        <w:jc w:val="center"/>
        <w:rPr>
          <w:b/>
        </w:rPr>
      </w:pPr>
      <w:r>
        <w:rPr>
          <w:rFonts w:hint="eastAsia"/>
          <w:b/>
        </w:rPr>
        <w:t>表4</w:t>
      </w:r>
      <w:r>
        <w:rPr>
          <w:b/>
        </w:rPr>
        <w:t>.4</w:t>
      </w:r>
      <w:r>
        <w:rPr>
          <w:rFonts w:hint="eastAsia"/>
          <w:b/>
        </w:rPr>
        <w:t>-</w:t>
      </w:r>
      <w:r>
        <w:rPr>
          <w:b/>
        </w:rPr>
        <w:t xml:space="preserve">14 </w:t>
      </w:r>
      <w:r>
        <w:rPr>
          <w:rFonts w:hint="eastAsia"/>
          <w:b/>
        </w:rPr>
        <w:t>项目污染源</w:t>
      </w:r>
      <w:r>
        <w:rPr>
          <w:rFonts w:eastAsiaTheme="minorEastAsia"/>
          <w:b/>
        </w:rPr>
        <w:t>P</w:t>
      </w:r>
      <w:r>
        <w:rPr>
          <w:rFonts w:eastAsiaTheme="minorEastAsia"/>
          <w:b/>
          <w:vertAlign w:val="subscript"/>
        </w:rPr>
        <w:t>max</w:t>
      </w:r>
      <w:r>
        <w:rPr>
          <w:rFonts w:hint="eastAsia" w:eastAsiaTheme="minorEastAsia"/>
          <w:b/>
        </w:rPr>
        <w:t>和</w:t>
      </w:r>
      <w:r>
        <w:rPr>
          <w:rFonts w:eastAsiaTheme="minorEastAsia"/>
          <w:b/>
        </w:rPr>
        <w:t>D</w:t>
      </w:r>
      <w:r>
        <w:rPr>
          <w:rFonts w:eastAsiaTheme="minorEastAsia"/>
          <w:b/>
          <w:vertAlign w:val="subscript"/>
        </w:rPr>
        <w:t>10%</w:t>
      </w:r>
      <w:r>
        <w:rPr>
          <w:rFonts w:hint="eastAsia" w:eastAsiaTheme="minorEastAsia"/>
          <w:b/>
        </w:rPr>
        <w:t>估</w:t>
      </w:r>
      <w:r>
        <w:rPr>
          <w:rFonts w:hint="eastAsia"/>
          <w:b/>
        </w:rPr>
        <w:t>算模式结果一览表</w:t>
      </w:r>
    </w:p>
    <w:tbl>
      <w:tblPr>
        <w:tblStyle w:val="57"/>
        <w:tblW w:w="906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09"/>
        <w:gridCol w:w="1212"/>
        <w:gridCol w:w="1511"/>
        <w:gridCol w:w="1509"/>
        <w:gridCol w:w="1511"/>
        <w:gridCol w:w="15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2" w:hRule="atLeast"/>
        </w:trPr>
        <w:tc>
          <w:tcPr>
            <w:tcW w:w="1809" w:type="dxa"/>
            <w:tcBorders>
              <w:top w:val="single" w:color="auto" w:sz="4" w:space="0"/>
              <w:left w:val="single" w:color="auto" w:sz="4" w:space="0"/>
              <w:bottom w:val="single" w:color="auto" w:sz="4" w:space="0"/>
              <w:right w:val="single" w:color="auto" w:sz="4" w:space="0"/>
            </w:tcBorders>
            <w:vAlign w:val="center"/>
          </w:tcPr>
          <w:p>
            <w:pPr>
              <w:pStyle w:val="107"/>
              <w:rPr>
                <w:rFonts w:cstheme="minorBidi"/>
                <w:b/>
              </w:rPr>
            </w:pPr>
            <w:r>
              <w:rPr>
                <w:rFonts w:hint="eastAsia"/>
                <w:b/>
              </w:rPr>
              <w:t>污染源名称</w:t>
            </w:r>
          </w:p>
        </w:tc>
        <w:tc>
          <w:tcPr>
            <w:tcW w:w="1212" w:type="dxa"/>
            <w:tcBorders>
              <w:top w:val="single" w:color="auto" w:sz="4" w:space="0"/>
              <w:left w:val="single" w:color="auto" w:sz="4" w:space="0"/>
              <w:bottom w:val="single" w:color="auto" w:sz="4" w:space="0"/>
              <w:right w:val="single" w:color="auto" w:sz="4" w:space="0"/>
            </w:tcBorders>
            <w:vAlign w:val="center"/>
          </w:tcPr>
          <w:p>
            <w:pPr>
              <w:pStyle w:val="107"/>
              <w:rPr>
                <w:rFonts w:cs="Times New Roman"/>
                <w:b/>
              </w:rPr>
            </w:pPr>
            <w:r>
              <w:rPr>
                <w:rFonts w:hint="eastAsia"/>
                <w:b/>
              </w:rPr>
              <w:t>评价因子</w:t>
            </w:r>
          </w:p>
        </w:tc>
        <w:tc>
          <w:tcPr>
            <w:tcW w:w="1511" w:type="dxa"/>
            <w:tcBorders>
              <w:top w:val="single" w:color="auto" w:sz="4" w:space="0"/>
              <w:left w:val="single" w:color="auto" w:sz="4" w:space="0"/>
              <w:bottom w:val="single" w:color="auto" w:sz="4" w:space="0"/>
              <w:right w:val="single" w:color="auto" w:sz="4" w:space="0"/>
            </w:tcBorders>
            <w:vAlign w:val="center"/>
          </w:tcPr>
          <w:p>
            <w:pPr>
              <w:pStyle w:val="107"/>
              <w:rPr>
                <w:rFonts w:cs="Times New Roman"/>
                <w:b/>
              </w:rPr>
            </w:pPr>
            <w:r>
              <w:rPr>
                <w:rFonts w:hint="eastAsia"/>
                <w:b/>
              </w:rPr>
              <w:t>评价标准</w:t>
            </w:r>
            <w:r>
              <w:rPr>
                <w:rFonts w:cs="Times New Roman"/>
                <w:b/>
              </w:rPr>
              <w:t>(μg/m</w:t>
            </w:r>
            <w:r>
              <w:rPr>
                <w:rFonts w:cs="Times New Roman"/>
                <w:b/>
                <w:vertAlign w:val="superscript"/>
              </w:rPr>
              <w:t>3</w:t>
            </w:r>
            <w:r>
              <w:rPr>
                <w:rFonts w:cs="Times New Roman"/>
                <w:b/>
              </w:rPr>
              <w:t>)</w:t>
            </w:r>
          </w:p>
        </w:tc>
        <w:tc>
          <w:tcPr>
            <w:tcW w:w="1509" w:type="dxa"/>
            <w:tcBorders>
              <w:top w:val="single" w:color="auto" w:sz="4" w:space="0"/>
              <w:left w:val="single" w:color="auto" w:sz="4" w:space="0"/>
              <w:bottom w:val="single" w:color="auto" w:sz="4" w:space="0"/>
              <w:right w:val="single" w:color="auto" w:sz="4" w:space="0"/>
            </w:tcBorders>
            <w:vAlign w:val="center"/>
          </w:tcPr>
          <w:p>
            <w:pPr>
              <w:pStyle w:val="107"/>
              <w:rPr>
                <w:rFonts w:cs="Times New Roman"/>
                <w:b/>
              </w:rPr>
            </w:pPr>
            <w:r>
              <w:rPr>
                <w:rFonts w:cs="Times New Roman"/>
                <w:b/>
              </w:rPr>
              <w:t>C</w:t>
            </w:r>
            <w:r>
              <w:rPr>
                <w:rFonts w:cs="Times New Roman"/>
                <w:b/>
                <w:vertAlign w:val="subscript"/>
              </w:rPr>
              <w:t>max</w:t>
            </w:r>
          </w:p>
          <w:p>
            <w:pPr>
              <w:pStyle w:val="107"/>
              <w:rPr>
                <w:rFonts w:cs="Times New Roman"/>
                <w:b/>
              </w:rPr>
            </w:pPr>
            <w:r>
              <w:rPr>
                <w:rFonts w:cs="Times New Roman"/>
                <w:b/>
              </w:rPr>
              <w:t>(μg/m</w:t>
            </w:r>
            <w:r>
              <w:rPr>
                <w:rFonts w:cs="Times New Roman"/>
                <w:b/>
                <w:vertAlign w:val="superscript"/>
              </w:rPr>
              <w:t>3</w:t>
            </w:r>
            <w:r>
              <w:rPr>
                <w:rFonts w:cs="Times New Roman"/>
                <w:b/>
              </w:rPr>
              <w:t>)</w:t>
            </w:r>
          </w:p>
        </w:tc>
        <w:tc>
          <w:tcPr>
            <w:tcW w:w="1511" w:type="dxa"/>
            <w:tcBorders>
              <w:top w:val="single" w:color="auto" w:sz="4" w:space="0"/>
              <w:left w:val="single" w:color="auto" w:sz="4" w:space="0"/>
              <w:bottom w:val="single" w:color="auto" w:sz="4" w:space="0"/>
              <w:right w:val="single" w:color="auto" w:sz="4" w:space="0"/>
            </w:tcBorders>
            <w:vAlign w:val="center"/>
          </w:tcPr>
          <w:p>
            <w:pPr>
              <w:pStyle w:val="107"/>
              <w:rPr>
                <w:rFonts w:cs="Times New Roman"/>
                <w:b/>
              </w:rPr>
            </w:pPr>
            <w:r>
              <w:rPr>
                <w:rFonts w:cs="Times New Roman"/>
                <w:b/>
              </w:rPr>
              <w:t>P</w:t>
            </w:r>
            <w:r>
              <w:rPr>
                <w:rFonts w:cs="Times New Roman"/>
                <w:b/>
                <w:vertAlign w:val="subscript"/>
              </w:rPr>
              <w:t>max</w:t>
            </w:r>
          </w:p>
          <w:p>
            <w:pPr>
              <w:pStyle w:val="107"/>
              <w:rPr>
                <w:rFonts w:cs="Times New Roman"/>
                <w:b/>
              </w:rPr>
            </w:pPr>
            <w:r>
              <w:rPr>
                <w:rFonts w:cs="Times New Roman"/>
                <w:b/>
              </w:rPr>
              <w:t>(%)</w:t>
            </w:r>
          </w:p>
        </w:tc>
        <w:tc>
          <w:tcPr>
            <w:tcW w:w="1508" w:type="dxa"/>
            <w:tcBorders>
              <w:top w:val="single" w:color="auto" w:sz="4" w:space="0"/>
              <w:left w:val="single" w:color="auto" w:sz="4" w:space="0"/>
              <w:bottom w:val="single" w:color="auto" w:sz="4" w:space="0"/>
              <w:right w:val="single" w:color="auto" w:sz="4" w:space="0"/>
            </w:tcBorders>
            <w:vAlign w:val="center"/>
          </w:tcPr>
          <w:p>
            <w:pPr>
              <w:pStyle w:val="107"/>
              <w:rPr>
                <w:rFonts w:cs="Times New Roman"/>
                <w:b/>
              </w:rPr>
            </w:pPr>
            <w:r>
              <w:rPr>
                <w:rFonts w:cs="Times New Roman"/>
                <w:b/>
              </w:rPr>
              <w:t>D</w:t>
            </w:r>
            <w:r>
              <w:rPr>
                <w:rFonts w:cs="Times New Roman"/>
                <w:b/>
                <w:vertAlign w:val="subscript"/>
              </w:rPr>
              <w:t>10%</w:t>
            </w:r>
          </w:p>
          <w:p>
            <w:pPr>
              <w:pStyle w:val="107"/>
              <w:rPr>
                <w:rFonts w:cs="Times New Roman"/>
                <w:b/>
              </w:rPr>
            </w:pPr>
            <w:r>
              <w:rPr>
                <w:rFonts w:cs="Times New Roman"/>
                <w:b/>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w:t>
            </w:r>
            <w:r>
              <w:rPr>
                <w:rStyle w:val="63"/>
                <w:rFonts w:hint="eastAsia"/>
                <w:color w:val="000000" w:themeColor="text1"/>
                <w14:textFill>
                  <w14:solidFill>
                    <w14:schemeClr w14:val="tx1"/>
                  </w14:solidFill>
                </w14:textFill>
              </w:rPr>
              <w:t>硫化</w:t>
            </w:r>
            <w:r>
              <w:rPr>
                <w:rStyle w:val="63"/>
                <w:color w:val="000000" w:themeColor="text1"/>
                <w14:textFill>
                  <w14:solidFill>
                    <w14:schemeClr w14:val="tx1"/>
                  </w14:solidFill>
                </w14:textFill>
              </w:rPr>
              <w:t>车间</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NMHC</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2000.0</w:t>
            </w:r>
          </w:p>
        </w:tc>
        <w:tc>
          <w:tcPr>
            <w:tcW w:w="1509" w:type="dxa"/>
            <w:vAlign w:val="center"/>
          </w:tcPr>
          <w:p>
            <w:pPr>
              <w:pStyle w:val="107"/>
              <w:rPr>
                <w:rStyle w:val="63"/>
                <w:color w:val="000000" w:themeColor="text1"/>
                <w14:textFill>
                  <w14:solidFill>
                    <w14:schemeClr w14:val="tx1"/>
                  </w14:solidFill>
                </w14:textFill>
              </w:rPr>
            </w:pPr>
            <w:r>
              <w:t>12.53</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0.63</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w:t>
            </w:r>
            <w:r>
              <w:rPr>
                <w:rStyle w:val="63"/>
                <w:rFonts w:hint="eastAsia"/>
                <w:color w:val="000000" w:themeColor="text1"/>
                <w14:textFill>
                  <w14:solidFill>
                    <w14:schemeClr w14:val="tx1"/>
                  </w14:solidFill>
                </w14:textFill>
              </w:rPr>
              <w:t>硫化</w:t>
            </w:r>
            <w:r>
              <w:rPr>
                <w:rStyle w:val="63"/>
                <w:color w:val="000000" w:themeColor="text1"/>
                <w14:textFill>
                  <w14:solidFill>
                    <w14:schemeClr w14:val="tx1"/>
                  </w14:solidFill>
                </w14:textFill>
              </w:rPr>
              <w:t>车间</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10.0</w:t>
            </w:r>
          </w:p>
        </w:tc>
        <w:tc>
          <w:tcPr>
            <w:tcW w:w="1509" w:type="dxa"/>
            <w:vAlign w:val="center"/>
          </w:tcPr>
          <w:p>
            <w:pPr>
              <w:pStyle w:val="107"/>
              <w:rPr>
                <w:rStyle w:val="63"/>
                <w:color w:val="000000" w:themeColor="text1"/>
                <w14:textFill>
                  <w14:solidFill>
                    <w14:schemeClr w14:val="tx1"/>
                  </w14:solidFill>
                </w14:textFill>
              </w:rPr>
            </w:pPr>
            <w:r>
              <w:t>0.4748</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4.75</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w:t>
            </w:r>
            <w:r>
              <w:rPr>
                <w:rStyle w:val="63"/>
                <w:rFonts w:hint="eastAsia"/>
                <w:color w:val="000000" w:themeColor="text1"/>
                <w14:textFill>
                  <w14:solidFill>
                    <w14:schemeClr w14:val="tx1"/>
                  </w14:solidFill>
                </w14:textFill>
              </w:rPr>
              <w:t>混炼</w:t>
            </w:r>
            <w:r>
              <w:rPr>
                <w:rStyle w:val="63"/>
                <w:color w:val="000000" w:themeColor="text1"/>
                <w14:textFill>
                  <w14:solidFill>
                    <w14:schemeClr w14:val="tx1"/>
                  </w14:solidFill>
                </w14:textFill>
              </w:rPr>
              <w:t>车间</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10.0</w:t>
            </w:r>
          </w:p>
        </w:tc>
        <w:tc>
          <w:tcPr>
            <w:tcW w:w="1509" w:type="dxa"/>
            <w:vAlign w:val="center"/>
          </w:tcPr>
          <w:p>
            <w:pPr>
              <w:pStyle w:val="107"/>
              <w:rPr>
                <w:rStyle w:val="63"/>
                <w:color w:val="000000" w:themeColor="text1"/>
                <w14:textFill>
                  <w14:solidFill>
                    <w14:schemeClr w14:val="tx1"/>
                  </w14:solidFill>
                </w14:textFill>
              </w:rPr>
            </w:pPr>
            <w:r>
              <w:t>0.4823</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4.82</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w:t>
            </w:r>
            <w:r>
              <w:rPr>
                <w:rStyle w:val="63"/>
                <w:rFonts w:hint="eastAsia"/>
                <w:color w:val="000000" w:themeColor="text1"/>
                <w14:textFill>
                  <w14:solidFill>
                    <w14:schemeClr w14:val="tx1"/>
                  </w14:solidFill>
                </w14:textFill>
              </w:rPr>
              <w:t>混炼</w:t>
            </w:r>
            <w:r>
              <w:rPr>
                <w:rStyle w:val="63"/>
                <w:color w:val="000000" w:themeColor="text1"/>
                <w14:textFill>
                  <w14:solidFill>
                    <w14:schemeClr w14:val="tx1"/>
                  </w14:solidFill>
                </w14:textFill>
              </w:rPr>
              <w:t>车间</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NMHC</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2000.0</w:t>
            </w:r>
          </w:p>
        </w:tc>
        <w:tc>
          <w:tcPr>
            <w:tcW w:w="1509" w:type="dxa"/>
            <w:vAlign w:val="center"/>
          </w:tcPr>
          <w:p>
            <w:pPr>
              <w:pStyle w:val="107"/>
              <w:rPr>
                <w:rStyle w:val="63"/>
                <w:color w:val="000000" w:themeColor="text1"/>
                <w14:textFill>
                  <w14:solidFill>
                    <w14:schemeClr w14:val="tx1"/>
                  </w14:solidFill>
                </w14:textFill>
              </w:rPr>
            </w:pPr>
            <w:r>
              <w:t>6.730</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0.34</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面源_密炼围蔽区</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TSP</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900.0</w:t>
            </w:r>
          </w:p>
        </w:tc>
        <w:tc>
          <w:tcPr>
            <w:tcW w:w="1509" w:type="dxa"/>
            <w:vAlign w:val="center"/>
          </w:tcPr>
          <w:p>
            <w:pPr>
              <w:pStyle w:val="107"/>
              <w:rPr>
                <w:rStyle w:val="63"/>
                <w:color w:val="000000" w:themeColor="text1"/>
                <w14:textFill>
                  <w14:solidFill>
                    <w14:schemeClr w14:val="tx1"/>
                  </w14:solidFill>
                </w14:textFill>
              </w:rPr>
            </w:pPr>
            <w:r>
              <w:t>60.42</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6.71</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面源_密炼围蔽区</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NMHC</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2000.0</w:t>
            </w:r>
          </w:p>
        </w:tc>
        <w:tc>
          <w:tcPr>
            <w:tcW w:w="1509" w:type="dxa"/>
            <w:vAlign w:val="center"/>
          </w:tcPr>
          <w:p>
            <w:pPr>
              <w:pStyle w:val="107"/>
              <w:rPr>
                <w:rStyle w:val="63"/>
                <w:color w:val="000000" w:themeColor="text1"/>
                <w14:textFill>
                  <w14:solidFill>
                    <w14:schemeClr w14:val="tx1"/>
                  </w14:solidFill>
                </w14:textFill>
              </w:rPr>
            </w:pPr>
            <w:r>
              <w:t>16.93</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0.85</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面源_密炼围蔽区</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10.0</w:t>
            </w:r>
          </w:p>
        </w:tc>
        <w:tc>
          <w:tcPr>
            <w:tcW w:w="1509" w:type="dxa"/>
            <w:vAlign w:val="center"/>
          </w:tcPr>
          <w:p>
            <w:pPr>
              <w:pStyle w:val="107"/>
              <w:rPr>
                <w:rStyle w:val="63"/>
                <w:color w:val="000000" w:themeColor="text1"/>
                <w14:textFill>
                  <w14:solidFill>
                    <w14:schemeClr w14:val="tx1"/>
                  </w14:solidFill>
                </w14:textFill>
              </w:rPr>
            </w:pPr>
            <w:r>
              <w:t>0.3400</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3.4</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面源-包装车间</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VOCs</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1200.0</w:t>
            </w:r>
          </w:p>
        </w:tc>
        <w:tc>
          <w:tcPr>
            <w:tcW w:w="1509" w:type="dxa"/>
            <w:vAlign w:val="center"/>
          </w:tcPr>
          <w:p>
            <w:pPr>
              <w:pStyle w:val="107"/>
            </w:pPr>
            <w:r>
              <w:t>8.727</w:t>
            </w:r>
          </w:p>
        </w:tc>
        <w:tc>
          <w:tcPr>
            <w:tcW w:w="1511" w:type="dxa"/>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.72</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restart"/>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排气筒P1</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H</w:t>
            </w:r>
            <w:r>
              <w:rPr>
                <w:rStyle w:val="63"/>
                <w:color w:val="000000" w:themeColor="text1"/>
                <w:vertAlign w:val="subscript"/>
                <w14:textFill>
                  <w14:solidFill>
                    <w14:schemeClr w14:val="tx1"/>
                  </w14:solidFill>
                </w14:textFill>
              </w:rPr>
              <w:t>2</w:t>
            </w:r>
            <w:r>
              <w:rPr>
                <w:rStyle w:val="63"/>
                <w:color w:val="000000" w:themeColor="text1"/>
                <w14:textFill>
                  <w14:solidFill>
                    <w14:schemeClr w14:val="tx1"/>
                  </w14:solidFill>
                </w14:textFill>
              </w:rPr>
              <w:t>S</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10.0</w:t>
            </w:r>
          </w:p>
        </w:tc>
        <w:tc>
          <w:tcPr>
            <w:tcW w:w="1509" w:type="dxa"/>
            <w:vAlign w:val="center"/>
          </w:tcPr>
          <w:p>
            <w:pPr>
              <w:pStyle w:val="107"/>
              <w:rPr>
                <w:rStyle w:val="63"/>
                <w:color w:val="000000" w:themeColor="text1"/>
                <w14:textFill>
                  <w14:solidFill>
                    <w14:schemeClr w14:val="tx1"/>
                  </w14:solidFill>
                </w14:textFill>
              </w:rPr>
            </w:pPr>
            <w:r>
              <w:t>0.3063E-02</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0.03</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continue"/>
            <w:vAlign w:val="center"/>
          </w:tcPr>
          <w:p>
            <w:pPr>
              <w:pStyle w:val="107"/>
              <w:rPr>
                <w:rStyle w:val="63"/>
                <w:color w:val="000000" w:themeColor="text1"/>
                <w14:textFill>
                  <w14:solidFill>
                    <w14:schemeClr w14:val="tx1"/>
                  </w14:solidFill>
                </w14:textFill>
              </w:rPr>
            </w:pP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NMHC</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2000.0</w:t>
            </w:r>
          </w:p>
        </w:tc>
        <w:tc>
          <w:tcPr>
            <w:tcW w:w="1509" w:type="dxa"/>
            <w:vAlign w:val="center"/>
          </w:tcPr>
          <w:p>
            <w:pPr>
              <w:pStyle w:val="107"/>
              <w:rPr>
                <w:rStyle w:val="63"/>
                <w:color w:val="000000" w:themeColor="text1"/>
                <w14:textFill>
                  <w14:solidFill>
                    <w14:schemeClr w14:val="tx1"/>
                  </w14:solidFill>
                </w14:textFill>
              </w:rPr>
            </w:pPr>
            <w:r>
              <w:t>0.8276E-01</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0.00</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Merge w:val="continue"/>
            <w:vAlign w:val="center"/>
          </w:tcPr>
          <w:p>
            <w:pPr>
              <w:pStyle w:val="107"/>
              <w:rPr>
                <w:rStyle w:val="63"/>
                <w:color w:val="000000" w:themeColor="text1"/>
                <w14:textFill>
                  <w14:solidFill>
                    <w14:schemeClr w14:val="tx1"/>
                  </w14:solidFill>
                </w14:textFill>
              </w:rPr>
            </w:pP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TSP</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900.</w:t>
            </w:r>
          </w:p>
        </w:tc>
        <w:tc>
          <w:tcPr>
            <w:tcW w:w="1509" w:type="dxa"/>
            <w:vAlign w:val="center"/>
          </w:tcPr>
          <w:p>
            <w:pPr>
              <w:pStyle w:val="107"/>
              <w:rPr>
                <w:rStyle w:val="63"/>
                <w:color w:val="000000" w:themeColor="text1"/>
                <w14:textFill>
                  <w14:solidFill>
                    <w14:schemeClr w14:val="tx1"/>
                  </w14:solidFill>
                </w14:textFill>
              </w:rPr>
            </w:pPr>
            <w:r>
              <w:t>0.2313E-01</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0.01</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00" w:hRule="atLeast"/>
        </w:trPr>
        <w:tc>
          <w:tcPr>
            <w:tcW w:w="1809"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排气筒P2</w:t>
            </w:r>
          </w:p>
        </w:tc>
        <w:tc>
          <w:tcPr>
            <w:tcW w:w="1212"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TSP</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2000.0</w:t>
            </w:r>
          </w:p>
        </w:tc>
        <w:tc>
          <w:tcPr>
            <w:tcW w:w="1509" w:type="dxa"/>
            <w:vAlign w:val="center"/>
          </w:tcPr>
          <w:p>
            <w:pPr>
              <w:pStyle w:val="107"/>
              <w:rPr>
                <w:rStyle w:val="63"/>
                <w:color w:val="000000" w:themeColor="text1"/>
                <w14:textFill>
                  <w14:solidFill>
                    <w14:schemeClr w14:val="tx1"/>
                  </w14:solidFill>
                </w14:textFill>
              </w:rPr>
            </w:pPr>
            <w:r>
              <w:t>3.916</w:t>
            </w:r>
          </w:p>
        </w:tc>
        <w:tc>
          <w:tcPr>
            <w:tcW w:w="1511"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0.44</w:t>
            </w:r>
          </w:p>
        </w:tc>
        <w:tc>
          <w:tcPr>
            <w:tcW w:w="1508" w:type="dxa"/>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w:t>
            </w:r>
          </w:p>
        </w:tc>
      </w:tr>
    </w:tbl>
    <w:p>
      <w:pPr>
        <w:pStyle w:val="2"/>
      </w:pPr>
    </w:p>
    <w:p>
      <w:pPr>
        <w:pStyle w:val="2"/>
      </w:pPr>
    </w:p>
    <w:p>
      <w:pPr>
        <w:pStyle w:val="2"/>
      </w:pPr>
    </w:p>
    <w:p>
      <w:pPr>
        <w:ind w:firstLine="480"/>
      </w:pPr>
      <w:r>
        <w:rPr>
          <w:rFonts w:hint="eastAsia"/>
        </w:rPr>
        <w:t>主要污染源估算模型计算结果见</w:t>
      </w:r>
      <w:r>
        <w:fldChar w:fldCharType="begin"/>
      </w:r>
      <w:r>
        <w:instrText xml:space="preserve"> </w:instrText>
      </w:r>
      <w:r>
        <w:rPr>
          <w:rFonts w:hint="eastAsia"/>
        </w:rPr>
        <w:instrText xml:space="preserve">REF _Ref532412258 \h</w:instrText>
      </w:r>
      <w:r>
        <w:instrText xml:space="preserve"> </w:instrText>
      </w:r>
      <w:r>
        <w:fldChar w:fldCharType="separate"/>
      </w:r>
      <w:r>
        <w:rPr>
          <w:rFonts w:hint="eastAsia"/>
        </w:rPr>
        <w:t xml:space="preserve">表 </w:t>
      </w:r>
      <w:r>
        <w:t>4.4</w:t>
      </w:r>
      <w:r>
        <w:noBreakHyphen/>
      </w:r>
      <w:r>
        <w:t>14</w:t>
      </w:r>
      <w:r>
        <w:fldChar w:fldCharType="end"/>
      </w:r>
      <w:r>
        <w:rPr>
          <w:rFonts w:hint="eastAsia"/>
        </w:rPr>
        <w:t>~</w:t>
      </w:r>
      <w:r>
        <w:fldChar w:fldCharType="begin"/>
      </w:r>
      <w:r>
        <w:instrText xml:space="preserve"> </w:instrText>
      </w:r>
      <w:r>
        <w:rPr>
          <w:rFonts w:hint="eastAsia"/>
        </w:rPr>
        <w:instrText xml:space="preserve">REF _Ref3475665 \h</w:instrText>
      </w:r>
      <w:r>
        <w:instrText xml:space="preserve"> </w:instrText>
      </w:r>
      <w:r>
        <w:fldChar w:fldCharType="separate"/>
      </w:r>
      <w:r>
        <w:rPr>
          <w:rFonts w:hint="eastAsia"/>
        </w:rPr>
        <w:t xml:space="preserve">表 </w:t>
      </w:r>
      <w:r>
        <w:t>4.4</w:t>
      </w:r>
      <w:r>
        <w:noBreakHyphen/>
      </w:r>
      <w:r>
        <w:t>17</w:t>
      </w:r>
      <w:r>
        <w:fldChar w:fldCharType="end"/>
      </w:r>
      <w:r>
        <w:rPr>
          <w:rFonts w:hint="eastAsia"/>
        </w:rPr>
        <w:t>。</w:t>
      </w:r>
    </w:p>
    <w:p>
      <w:pPr>
        <w:pStyle w:val="18"/>
      </w:pPr>
      <w:bookmarkStart w:id="457" w:name="_Ref532412258"/>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14</w:t>
      </w:r>
      <w:r>
        <w:fldChar w:fldCharType="end"/>
      </w:r>
      <w:bookmarkEnd w:id="457"/>
      <w:r>
        <w:rPr>
          <w:rFonts w:hint="eastAsia"/>
        </w:rPr>
        <w:t>点污染源估算模型计算结果表</w:t>
      </w:r>
    </w:p>
    <w:tbl>
      <w:tblPr>
        <w:tblStyle w:val="56"/>
        <w:tblW w:w="9060" w:type="dxa"/>
        <w:tblInd w:w="0" w:type="dxa"/>
        <w:tblLayout w:type="fixed"/>
        <w:tblCellMar>
          <w:top w:w="0" w:type="dxa"/>
          <w:left w:w="108" w:type="dxa"/>
          <w:bottom w:w="0" w:type="dxa"/>
          <w:right w:w="108" w:type="dxa"/>
        </w:tblCellMar>
      </w:tblPr>
      <w:tblGrid>
        <w:gridCol w:w="2001"/>
        <w:gridCol w:w="1610"/>
        <w:gridCol w:w="743"/>
        <w:gridCol w:w="1610"/>
        <w:gridCol w:w="743"/>
        <w:gridCol w:w="1610"/>
        <w:gridCol w:w="743"/>
      </w:tblGrid>
      <w:tr>
        <w:tblPrEx>
          <w:tblLayout w:type="fixed"/>
          <w:tblCellMar>
            <w:top w:w="0" w:type="dxa"/>
            <w:left w:w="108" w:type="dxa"/>
            <w:bottom w:w="0" w:type="dxa"/>
            <w:right w:w="108" w:type="dxa"/>
          </w:tblCellMar>
        </w:tblPrEx>
        <w:trPr>
          <w:trHeight w:val="255" w:hRule="atLeast"/>
          <w:tblHeader/>
        </w:trPr>
        <w:tc>
          <w:tcPr>
            <w:tcW w:w="2001" w:type="dxa"/>
            <w:vMerge w:val="restart"/>
            <w:tcBorders>
              <w:top w:val="single" w:color="auto" w:sz="4" w:space="0"/>
              <w:left w:val="single" w:color="auto" w:sz="4" w:space="0"/>
              <w:right w:val="single" w:color="auto" w:sz="4" w:space="0"/>
            </w:tcBorders>
            <w:shd w:val="clear" w:color="auto" w:fill="auto"/>
            <w:vAlign w:val="center"/>
          </w:tcPr>
          <w:p>
            <w:pPr>
              <w:pStyle w:val="107"/>
              <w:rPr>
                <w:b/>
              </w:rPr>
            </w:pPr>
            <w:r>
              <w:rPr>
                <w:b/>
              </w:rPr>
              <w:t>下风向距离(m)</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rPr>
                <w:b/>
              </w:rPr>
            </w:pPr>
            <w:r>
              <w:rPr>
                <w:b/>
              </w:rPr>
              <w:t>P1</w:t>
            </w:r>
            <w:r>
              <w:rPr>
                <w:rFonts w:hint="eastAsia"/>
                <w:b/>
              </w:rPr>
              <w:t>排气筒</w:t>
            </w:r>
            <w:r>
              <w:rPr>
                <w:b/>
              </w:rPr>
              <w:t>H</w:t>
            </w:r>
            <w:r>
              <w:rPr>
                <w:b/>
                <w:vertAlign w:val="subscript"/>
              </w:rPr>
              <w:t>2</w:t>
            </w:r>
            <w:r>
              <w:rPr>
                <w:b/>
              </w:rPr>
              <w:t>S</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rPr>
                <w:b/>
              </w:rPr>
            </w:pPr>
            <w:r>
              <w:rPr>
                <w:b/>
              </w:rPr>
              <w:t>P1</w:t>
            </w:r>
            <w:r>
              <w:rPr>
                <w:rFonts w:hint="eastAsia"/>
                <w:b/>
              </w:rPr>
              <w:t>排气筒</w:t>
            </w:r>
            <w:r>
              <w:rPr>
                <w:b/>
              </w:rPr>
              <w:t>NMHC</w:t>
            </w:r>
          </w:p>
        </w:tc>
        <w:tc>
          <w:tcPr>
            <w:tcW w:w="2353" w:type="dxa"/>
            <w:gridSpan w:val="2"/>
            <w:tcBorders>
              <w:top w:val="single" w:color="auto" w:sz="4" w:space="0"/>
              <w:left w:val="nil"/>
              <w:bottom w:val="single" w:color="auto" w:sz="4" w:space="0"/>
              <w:right w:val="single" w:color="auto" w:sz="4" w:space="0"/>
            </w:tcBorders>
            <w:shd w:val="clear" w:color="auto" w:fill="auto"/>
            <w:vAlign w:val="bottom"/>
          </w:tcPr>
          <w:p>
            <w:pPr>
              <w:pStyle w:val="107"/>
              <w:rPr>
                <w:b/>
              </w:rPr>
            </w:pPr>
            <w:r>
              <w:rPr>
                <w:b/>
              </w:rPr>
              <w:t>P1</w:t>
            </w:r>
            <w:r>
              <w:rPr>
                <w:rFonts w:hint="eastAsia"/>
                <w:b/>
              </w:rPr>
              <w:t>排气筒</w:t>
            </w:r>
            <w:r>
              <w:rPr>
                <w:b/>
              </w:rPr>
              <w:t>TSP</w:t>
            </w:r>
          </w:p>
        </w:tc>
      </w:tr>
      <w:tr>
        <w:tblPrEx>
          <w:tblLayout w:type="fixed"/>
          <w:tblCellMar>
            <w:top w:w="0" w:type="dxa"/>
            <w:left w:w="108" w:type="dxa"/>
            <w:bottom w:w="0" w:type="dxa"/>
            <w:right w:w="108" w:type="dxa"/>
          </w:tblCellMar>
        </w:tblPrEx>
        <w:trPr>
          <w:trHeight w:val="255" w:hRule="atLeast"/>
          <w:tblHeader/>
        </w:trPr>
        <w:tc>
          <w:tcPr>
            <w:tcW w:w="2001" w:type="dxa"/>
            <w:vMerge w:val="continue"/>
            <w:tcBorders>
              <w:left w:val="single" w:color="auto" w:sz="4" w:space="0"/>
              <w:bottom w:val="nil"/>
              <w:right w:val="single" w:color="auto" w:sz="4" w:space="0"/>
            </w:tcBorders>
            <w:shd w:val="clear" w:color="auto" w:fill="auto"/>
            <w:vAlign w:val="bottom"/>
          </w:tcPr>
          <w:p>
            <w:pPr>
              <w:pStyle w:val="107"/>
              <w:rPr>
                <w:b/>
              </w:rPr>
            </w:pPr>
          </w:p>
        </w:tc>
        <w:tc>
          <w:tcPr>
            <w:tcW w:w="1610" w:type="dxa"/>
            <w:tcBorders>
              <w:top w:val="nil"/>
              <w:left w:val="nil"/>
              <w:bottom w:val="nil"/>
              <w:right w:val="single" w:color="auto" w:sz="4" w:space="0"/>
            </w:tcBorders>
            <w:shd w:val="clear" w:color="auto" w:fill="auto"/>
            <w:vAlign w:val="center"/>
          </w:tcPr>
          <w:p>
            <w:pPr>
              <w:pStyle w:val="107"/>
              <w:rPr>
                <w:b/>
              </w:rPr>
            </w:pPr>
            <w:r>
              <w:rPr>
                <w:rFonts w:hint="eastAsia"/>
                <w:b/>
              </w:rPr>
              <w:t>预测质量浓度/（</w:t>
            </w:r>
            <w:r>
              <w:rPr>
                <w:b/>
              </w:rPr>
              <w:t>μg/m</w:t>
            </w:r>
            <w:r>
              <w:rPr>
                <w:b/>
                <w:vertAlign w:val="superscript"/>
              </w:rPr>
              <w:t>3</w:t>
            </w:r>
            <w:r>
              <w:rPr>
                <w:rFonts w:hint="eastAsia"/>
                <w:b/>
              </w:rPr>
              <w:t>）</w:t>
            </w:r>
          </w:p>
        </w:tc>
        <w:tc>
          <w:tcPr>
            <w:tcW w:w="743" w:type="dxa"/>
            <w:tcBorders>
              <w:top w:val="nil"/>
              <w:left w:val="nil"/>
              <w:bottom w:val="nil"/>
              <w:right w:val="single" w:color="auto" w:sz="4" w:space="0"/>
            </w:tcBorders>
            <w:shd w:val="clear" w:color="auto" w:fill="auto"/>
            <w:vAlign w:val="center"/>
          </w:tcPr>
          <w:p>
            <w:pPr>
              <w:pStyle w:val="107"/>
              <w:rPr>
                <w:b/>
              </w:rPr>
            </w:pPr>
            <w:r>
              <w:rPr>
                <w:rFonts w:hint="eastAsia"/>
                <w:b/>
              </w:rPr>
              <w:t>占标率/</w:t>
            </w:r>
            <w:r>
              <w:rPr>
                <w:b/>
              </w:rPr>
              <w:t>%</w:t>
            </w:r>
          </w:p>
        </w:tc>
        <w:tc>
          <w:tcPr>
            <w:tcW w:w="1610" w:type="dxa"/>
            <w:tcBorders>
              <w:top w:val="nil"/>
              <w:left w:val="nil"/>
              <w:bottom w:val="nil"/>
              <w:right w:val="single" w:color="auto" w:sz="4" w:space="0"/>
            </w:tcBorders>
            <w:shd w:val="clear" w:color="auto" w:fill="auto"/>
            <w:vAlign w:val="center"/>
          </w:tcPr>
          <w:p>
            <w:pPr>
              <w:pStyle w:val="107"/>
              <w:rPr>
                <w:b/>
              </w:rPr>
            </w:pPr>
            <w:r>
              <w:rPr>
                <w:rFonts w:hint="eastAsia"/>
                <w:b/>
              </w:rPr>
              <w:t>预测质量浓度/（</w:t>
            </w:r>
            <w:r>
              <w:rPr>
                <w:b/>
              </w:rPr>
              <w:t>μg/m</w:t>
            </w:r>
            <w:r>
              <w:rPr>
                <w:b/>
                <w:vertAlign w:val="superscript"/>
              </w:rPr>
              <w:t>3</w:t>
            </w:r>
            <w:r>
              <w:rPr>
                <w:rFonts w:hint="eastAsia"/>
                <w:b/>
              </w:rPr>
              <w:t>）</w:t>
            </w:r>
          </w:p>
        </w:tc>
        <w:tc>
          <w:tcPr>
            <w:tcW w:w="743" w:type="dxa"/>
            <w:tcBorders>
              <w:top w:val="nil"/>
              <w:left w:val="nil"/>
              <w:bottom w:val="nil"/>
              <w:right w:val="single" w:color="auto" w:sz="4" w:space="0"/>
            </w:tcBorders>
            <w:shd w:val="clear" w:color="auto" w:fill="auto"/>
            <w:vAlign w:val="center"/>
          </w:tcPr>
          <w:p>
            <w:pPr>
              <w:pStyle w:val="107"/>
              <w:rPr>
                <w:b/>
              </w:rPr>
            </w:pPr>
            <w:r>
              <w:rPr>
                <w:rFonts w:hint="eastAsia"/>
                <w:b/>
              </w:rPr>
              <w:t>占标率/</w:t>
            </w:r>
            <w:r>
              <w:rPr>
                <w:b/>
              </w:rPr>
              <w:t>%</w:t>
            </w:r>
          </w:p>
        </w:tc>
        <w:tc>
          <w:tcPr>
            <w:tcW w:w="1610" w:type="dxa"/>
            <w:tcBorders>
              <w:top w:val="nil"/>
              <w:left w:val="nil"/>
              <w:bottom w:val="nil"/>
              <w:right w:val="single" w:color="auto" w:sz="4" w:space="0"/>
            </w:tcBorders>
            <w:shd w:val="clear" w:color="auto" w:fill="auto"/>
            <w:vAlign w:val="center"/>
          </w:tcPr>
          <w:p>
            <w:pPr>
              <w:pStyle w:val="107"/>
              <w:rPr>
                <w:b/>
              </w:rPr>
            </w:pPr>
            <w:r>
              <w:rPr>
                <w:rFonts w:hint="eastAsia"/>
                <w:b/>
              </w:rPr>
              <w:t>预测质量浓度/（</w:t>
            </w:r>
            <w:r>
              <w:rPr>
                <w:b/>
              </w:rPr>
              <w:t>μg/m</w:t>
            </w:r>
            <w:r>
              <w:rPr>
                <w:b/>
                <w:vertAlign w:val="superscript"/>
              </w:rPr>
              <w:t>3</w:t>
            </w:r>
            <w:r>
              <w:rPr>
                <w:rFonts w:hint="eastAsia"/>
                <w:b/>
              </w:rPr>
              <w:t>）</w:t>
            </w:r>
          </w:p>
        </w:tc>
        <w:tc>
          <w:tcPr>
            <w:tcW w:w="743" w:type="dxa"/>
            <w:tcBorders>
              <w:top w:val="nil"/>
              <w:left w:val="nil"/>
              <w:bottom w:val="nil"/>
              <w:right w:val="single" w:color="auto" w:sz="4" w:space="0"/>
            </w:tcBorders>
            <w:shd w:val="clear" w:color="auto" w:fill="auto"/>
            <w:vAlign w:val="center"/>
          </w:tcPr>
          <w:p>
            <w:pPr>
              <w:pStyle w:val="107"/>
              <w:rPr>
                <w:b/>
              </w:rPr>
            </w:pPr>
            <w:r>
              <w:rPr>
                <w:rFonts w:hint="eastAsia"/>
                <w:b/>
              </w:rPr>
              <w:t>占标率/</w:t>
            </w:r>
            <w:r>
              <w:rPr>
                <w:b/>
              </w:rPr>
              <w:t>%</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25</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pPr>
            <w:r>
              <w:t xml:space="preserve">0.8567E-03  </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0.01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pPr>
            <w:r>
              <w:t>0.2315E-01</w:t>
            </w:r>
          </w:p>
        </w:tc>
        <w:tc>
          <w:tcPr>
            <w:tcW w:w="743" w:type="dxa"/>
            <w:tcBorders>
              <w:top w:val="single" w:color="auto" w:sz="4" w:space="0"/>
              <w:left w:val="nil"/>
              <w:bottom w:val="single" w:color="auto" w:sz="4" w:space="0"/>
              <w:right w:val="single" w:color="auto" w:sz="4" w:space="0"/>
            </w:tcBorders>
            <w:shd w:val="clear" w:color="auto" w:fill="auto"/>
            <w:vAlign w:val="bottom"/>
          </w:tcPr>
          <w:p>
            <w:pPr>
              <w:pStyle w:val="107"/>
            </w:pPr>
            <w:r>
              <w:t>0.00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pPr>
            <w:r>
              <w:t>0.6471E-02</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50</w:t>
            </w:r>
          </w:p>
        </w:tc>
        <w:tc>
          <w:tcPr>
            <w:tcW w:w="1610" w:type="dxa"/>
            <w:tcBorders>
              <w:top w:val="nil"/>
              <w:left w:val="nil"/>
              <w:bottom w:val="single" w:color="auto" w:sz="4" w:space="0"/>
              <w:right w:val="single" w:color="auto" w:sz="4" w:space="0"/>
            </w:tcBorders>
            <w:shd w:val="clear" w:color="auto" w:fill="auto"/>
            <w:vAlign w:val="bottom"/>
          </w:tcPr>
          <w:p>
            <w:pPr>
              <w:pStyle w:val="107"/>
            </w:pPr>
            <w:r>
              <w:t>0.1392E-02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0.01 </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0.3761E-01</w:t>
            </w:r>
          </w:p>
        </w:tc>
        <w:tc>
          <w:tcPr>
            <w:tcW w:w="743"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0.00</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0.1051E-01</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75</w:t>
            </w:r>
          </w:p>
        </w:tc>
        <w:tc>
          <w:tcPr>
            <w:tcW w:w="1610" w:type="dxa"/>
            <w:tcBorders>
              <w:top w:val="nil"/>
              <w:left w:val="nil"/>
              <w:bottom w:val="single" w:color="auto" w:sz="4" w:space="0"/>
              <w:right w:val="single" w:color="auto" w:sz="4" w:space="0"/>
            </w:tcBorders>
            <w:shd w:val="clear" w:color="auto" w:fill="auto"/>
            <w:vAlign w:val="bottom"/>
          </w:tcPr>
          <w:p>
            <w:pPr>
              <w:pStyle w:val="107"/>
            </w:pPr>
            <w:r>
              <w:t>0.2018E-02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0.5452E-01</w:t>
            </w:r>
          </w:p>
        </w:tc>
        <w:tc>
          <w:tcPr>
            <w:tcW w:w="743"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0.00</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0.1524E-01</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100</w:t>
            </w:r>
          </w:p>
        </w:tc>
        <w:tc>
          <w:tcPr>
            <w:tcW w:w="1610" w:type="dxa"/>
            <w:tcBorders>
              <w:top w:val="nil"/>
              <w:left w:val="nil"/>
              <w:bottom w:val="single" w:color="auto" w:sz="4" w:space="0"/>
              <w:right w:val="single" w:color="auto" w:sz="4" w:space="0"/>
            </w:tcBorders>
            <w:shd w:val="clear" w:color="auto" w:fill="auto"/>
            <w:vAlign w:val="bottom"/>
          </w:tcPr>
          <w:p>
            <w:pPr>
              <w:pStyle w:val="107"/>
            </w:pPr>
            <w:r>
              <w:t>0.2469E-02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pPr>
            <w:r>
              <w:t>0.6672E-01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0.1865E-01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200</w:t>
            </w:r>
          </w:p>
        </w:tc>
        <w:tc>
          <w:tcPr>
            <w:tcW w:w="1610" w:type="dxa"/>
            <w:tcBorders>
              <w:top w:val="nil"/>
              <w:left w:val="nil"/>
              <w:bottom w:val="single" w:color="auto" w:sz="4" w:space="0"/>
              <w:right w:val="single" w:color="auto" w:sz="4" w:space="0"/>
            </w:tcBorders>
            <w:shd w:val="clear" w:color="auto" w:fill="auto"/>
            <w:vAlign w:val="bottom"/>
          </w:tcPr>
          <w:p>
            <w:pPr>
              <w:pStyle w:val="107"/>
              <w:rPr>
                <w:highlight w:val="lightGray"/>
              </w:rPr>
            </w:pPr>
            <w:r>
              <w:rPr>
                <w:highlight w:val="lightGray"/>
              </w:rPr>
              <w:t>0.3063E-02</w:t>
            </w:r>
          </w:p>
        </w:tc>
        <w:tc>
          <w:tcPr>
            <w:tcW w:w="743" w:type="dxa"/>
            <w:tcBorders>
              <w:top w:val="nil"/>
              <w:left w:val="nil"/>
              <w:bottom w:val="single" w:color="auto" w:sz="4" w:space="0"/>
              <w:right w:val="single" w:color="auto" w:sz="4" w:space="0"/>
            </w:tcBorders>
            <w:shd w:val="clear" w:color="auto" w:fill="auto"/>
            <w:vAlign w:val="center"/>
          </w:tcPr>
          <w:p>
            <w:pPr>
              <w:pStyle w:val="107"/>
              <w:rPr>
                <w:highlight w:val="lightGray"/>
              </w:rPr>
            </w:pPr>
            <w:r>
              <w:rPr>
                <w:rFonts w:hint="eastAsia"/>
                <w:highlight w:val="lightGray"/>
              </w:rPr>
              <w:t xml:space="preserve">0.03 </w:t>
            </w:r>
          </w:p>
        </w:tc>
        <w:tc>
          <w:tcPr>
            <w:tcW w:w="1610" w:type="dxa"/>
            <w:tcBorders>
              <w:top w:val="nil"/>
              <w:left w:val="nil"/>
              <w:bottom w:val="single" w:color="auto" w:sz="4" w:space="0"/>
              <w:right w:val="single" w:color="auto" w:sz="4" w:space="0"/>
            </w:tcBorders>
            <w:shd w:val="clear" w:color="auto" w:fill="auto"/>
            <w:vAlign w:val="bottom"/>
          </w:tcPr>
          <w:p>
            <w:pPr>
              <w:pStyle w:val="107"/>
              <w:rPr>
                <w:highlight w:val="lightGray"/>
              </w:rPr>
            </w:pPr>
            <w:r>
              <w:rPr>
                <w:highlight w:val="lightGray"/>
              </w:rPr>
              <w:t>0.8276E-01</w:t>
            </w:r>
          </w:p>
        </w:tc>
        <w:tc>
          <w:tcPr>
            <w:tcW w:w="743" w:type="dxa"/>
            <w:tcBorders>
              <w:top w:val="nil"/>
              <w:left w:val="nil"/>
              <w:bottom w:val="single" w:color="auto" w:sz="4" w:space="0"/>
              <w:right w:val="single" w:color="auto" w:sz="4" w:space="0"/>
            </w:tcBorders>
            <w:shd w:val="clear" w:color="auto" w:fill="auto"/>
            <w:vAlign w:val="bottom"/>
          </w:tcPr>
          <w:p>
            <w:pPr>
              <w:pStyle w:val="107"/>
              <w:rPr>
                <w:highlight w:val="lightGray"/>
              </w:rPr>
            </w:pPr>
            <w:r>
              <w:rPr>
                <w:highlight w:val="lightGray"/>
              </w:rPr>
              <w:t>0.00</w:t>
            </w:r>
          </w:p>
        </w:tc>
        <w:tc>
          <w:tcPr>
            <w:tcW w:w="1610" w:type="dxa"/>
            <w:tcBorders>
              <w:top w:val="nil"/>
              <w:left w:val="nil"/>
              <w:bottom w:val="single" w:color="auto" w:sz="4" w:space="0"/>
              <w:right w:val="single" w:color="auto" w:sz="4" w:space="0"/>
            </w:tcBorders>
            <w:shd w:val="clear" w:color="auto" w:fill="auto"/>
            <w:vAlign w:val="bottom"/>
          </w:tcPr>
          <w:p>
            <w:pPr>
              <w:pStyle w:val="107"/>
              <w:rPr>
                <w:highlight w:val="lightGray"/>
              </w:rPr>
            </w:pPr>
            <w:r>
              <w:rPr>
                <w:highlight w:val="lightGray"/>
              </w:rPr>
              <w:t>0.2313E-01</w:t>
            </w:r>
          </w:p>
        </w:tc>
        <w:tc>
          <w:tcPr>
            <w:tcW w:w="743" w:type="dxa"/>
            <w:tcBorders>
              <w:top w:val="nil"/>
              <w:left w:val="nil"/>
              <w:bottom w:val="single" w:color="auto" w:sz="4" w:space="0"/>
              <w:right w:val="single" w:color="auto" w:sz="4" w:space="0"/>
            </w:tcBorders>
            <w:shd w:val="clear" w:color="auto" w:fill="auto"/>
            <w:vAlign w:val="center"/>
          </w:tcPr>
          <w:p>
            <w:pPr>
              <w:pStyle w:val="107"/>
              <w:rPr>
                <w:highlight w:val="lightGray"/>
              </w:rPr>
            </w:pPr>
            <w:r>
              <w:rPr>
                <w:rFonts w:hint="eastAsia"/>
                <w:highlight w:val="lightGray"/>
              </w:rPr>
              <w:t xml:space="preserve">0.01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300</w:t>
            </w:r>
          </w:p>
        </w:tc>
        <w:tc>
          <w:tcPr>
            <w:tcW w:w="1610" w:type="dxa"/>
            <w:tcBorders>
              <w:top w:val="nil"/>
              <w:left w:val="nil"/>
              <w:bottom w:val="single" w:color="auto" w:sz="4" w:space="0"/>
              <w:right w:val="single" w:color="auto" w:sz="4" w:space="0"/>
            </w:tcBorders>
            <w:shd w:val="clear" w:color="auto" w:fill="auto"/>
            <w:vAlign w:val="bottom"/>
          </w:tcPr>
          <w:p>
            <w:pPr>
              <w:pStyle w:val="107"/>
            </w:pPr>
            <w:r>
              <w:t>0.2606E-02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0.03 </w:t>
            </w:r>
          </w:p>
        </w:tc>
        <w:tc>
          <w:tcPr>
            <w:tcW w:w="1610" w:type="dxa"/>
            <w:tcBorders>
              <w:top w:val="nil"/>
              <w:left w:val="nil"/>
              <w:bottom w:val="single" w:color="auto" w:sz="4" w:space="0"/>
              <w:right w:val="single" w:color="auto" w:sz="4" w:space="0"/>
            </w:tcBorders>
            <w:shd w:val="clear" w:color="auto" w:fill="auto"/>
            <w:vAlign w:val="bottom"/>
          </w:tcPr>
          <w:p>
            <w:pPr>
              <w:pStyle w:val="107"/>
            </w:pPr>
            <w:r>
              <w:t>0.7043E-01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0.1969E-01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400</w:t>
            </w:r>
          </w:p>
        </w:tc>
        <w:tc>
          <w:tcPr>
            <w:tcW w:w="1610" w:type="dxa"/>
            <w:tcBorders>
              <w:top w:val="nil"/>
              <w:left w:val="nil"/>
              <w:bottom w:val="single" w:color="auto" w:sz="4" w:space="0"/>
              <w:right w:val="single" w:color="auto" w:sz="4" w:space="0"/>
            </w:tcBorders>
            <w:shd w:val="clear" w:color="auto" w:fill="auto"/>
            <w:vAlign w:val="bottom"/>
          </w:tcPr>
          <w:p>
            <w:pPr>
              <w:pStyle w:val="107"/>
            </w:pPr>
            <w:r>
              <w:t>0.2505E-02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0.03 </w:t>
            </w:r>
          </w:p>
        </w:tc>
        <w:tc>
          <w:tcPr>
            <w:tcW w:w="1610" w:type="dxa"/>
            <w:tcBorders>
              <w:top w:val="nil"/>
              <w:left w:val="nil"/>
              <w:bottom w:val="single" w:color="auto" w:sz="4" w:space="0"/>
              <w:right w:val="single" w:color="auto" w:sz="4" w:space="0"/>
            </w:tcBorders>
            <w:shd w:val="clear" w:color="auto" w:fill="auto"/>
            <w:vAlign w:val="bottom"/>
          </w:tcPr>
          <w:p>
            <w:pPr>
              <w:pStyle w:val="107"/>
            </w:pPr>
            <w:r>
              <w:t>0.6770E-01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0.1892E-01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500</w:t>
            </w:r>
          </w:p>
        </w:tc>
        <w:tc>
          <w:tcPr>
            <w:tcW w:w="1610" w:type="dxa"/>
            <w:tcBorders>
              <w:top w:val="nil"/>
              <w:left w:val="nil"/>
              <w:bottom w:val="single" w:color="auto" w:sz="4" w:space="0"/>
              <w:right w:val="single" w:color="auto" w:sz="4" w:space="0"/>
            </w:tcBorders>
            <w:shd w:val="clear" w:color="auto" w:fill="auto"/>
            <w:vAlign w:val="bottom"/>
          </w:tcPr>
          <w:p>
            <w:pPr>
              <w:pStyle w:val="107"/>
            </w:pPr>
            <w:r>
              <w:t>0.2492E-02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pPr>
            <w:r>
              <w:t>0.6733E-01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0.1882E-01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600</w:t>
            </w:r>
          </w:p>
        </w:tc>
        <w:tc>
          <w:tcPr>
            <w:tcW w:w="1610" w:type="dxa"/>
            <w:tcBorders>
              <w:top w:val="nil"/>
              <w:left w:val="nil"/>
              <w:bottom w:val="single" w:color="auto" w:sz="4" w:space="0"/>
              <w:right w:val="single" w:color="auto" w:sz="4" w:space="0"/>
            </w:tcBorders>
            <w:shd w:val="clear" w:color="auto" w:fill="auto"/>
            <w:vAlign w:val="bottom"/>
          </w:tcPr>
          <w:p>
            <w:pPr>
              <w:pStyle w:val="107"/>
            </w:pPr>
            <w:r>
              <w:t>0.2360E-02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pPr>
            <w:r>
              <w:t>0.6376E-01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0.1782E-01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700</w:t>
            </w:r>
          </w:p>
        </w:tc>
        <w:tc>
          <w:tcPr>
            <w:tcW w:w="1610" w:type="dxa"/>
            <w:tcBorders>
              <w:top w:val="nil"/>
              <w:left w:val="nil"/>
              <w:bottom w:val="single" w:color="auto" w:sz="4" w:space="0"/>
              <w:right w:val="single" w:color="auto" w:sz="4" w:space="0"/>
            </w:tcBorders>
            <w:shd w:val="clear" w:color="auto" w:fill="auto"/>
            <w:vAlign w:val="bottom"/>
          </w:tcPr>
          <w:p>
            <w:pPr>
              <w:pStyle w:val="107"/>
            </w:pPr>
            <w:r>
              <w:t>0.2202E-02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pPr>
            <w:r>
              <w:t>0.5951E-01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0.1664E-01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800</w:t>
            </w:r>
          </w:p>
        </w:tc>
        <w:tc>
          <w:tcPr>
            <w:tcW w:w="1610" w:type="dxa"/>
            <w:tcBorders>
              <w:top w:val="nil"/>
              <w:left w:val="nil"/>
              <w:bottom w:val="single" w:color="auto" w:sz="4" w:space="0"/>
              <w:right w:val="single" w:color="auto" w:sz="4" w:space="0"/>
            </w:tcBorders>
            <w:shd w:val="clear" w:color="auto" w:fill="auto"/>
            <w:vAlign w:val="bottom"/>
          </w:tcPr>
          <w:p>
            <w:pPr>
              <w:pStyle w:val="107"/>
            </w:pPr>
            <w:r>
              <w:t>0.2187E-02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pPr>
            <w:r>
              <w:t>0.5909E-01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0.1652E-01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900</w:t>
            </w:r>
          </w:p>
        </w:tc>
        <w:tc>
          <w:tcPr>
            <w:tcW w:w="1610" w:type="dxa"/>
            <w:tcBorders>
              <w:top w:val="nil"/>
              <w:left w:val="nil"/>
              <w:bottom w:val="single" w:color="auto" w:sz="4" w:space="0"/>
              <w:right w:val="single" w:color="auto" w:sz="4" w:space="0"/>
            </w:tcBorders>
            <w:shd w:val="clear" w:color="auto" w:fill="auto"/>
            <w:vAlign w:val="bottom"/>
          </w:tcPr>
          <w:p>
            <w:pPr>
              <w:pStyle w:val="107"/>
            </w:pPr>
            <w:r>
              <w:t>0.2134E-02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pPr>
            <w:r>
              <w:t>0.5765E-01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0.1612E-01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1000</w:t>
            </w:r>
          </w:p>
        </w:tc>
        <w:tc>
          <w:tcPr>
            <w:tcW w:w="1610" w:type="dxa"/>
            <w:tcBorders>
              <w:top w:val="nil"/>
              <w:left w:val="nil"/>
              <w:bottom w:val="single" w:color="auto" w:sz="4" w:space="0"/>
              <w:right w:val="single" w:color="auto" w:sz="4" w:space="0"/>
            </w:tcBorders>
            <w:shd w:val="clear" w:color="auto" w:fill="auto"/>
            <w:vAlign w:val="bottom"/>
          </w:tcPr>
          <w:p>
            <w:pPr>
              <w:pStyle w:val="107"/>
            </w:pPr>
            <w:r>
              <w:t>0.2059E-02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pPr>
            <w:r>
              <w:t>0.5564E-01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0.1555E-01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1100</w:t>
            </w:r>
          </w:p>
        </w:tc>
        <w:tc>
          <w:tcPr>
            <w:tcW w:w="1610" w:type="dxa"/>
            <w:tcBorders>
              <w:top w:val="nil"/>
              <w:left w:val="nil"/>
              <w:bottom w:val="single" w:color="auto" w:sz="4" w:space="0"/>
              <w:right w:val="single" w:color="auto" w:sz="4" w:space="0"/>
            </w:tcBorders>
            <w:shd w:val="clear" w:color="auto" w:fill="auto"/>
            <w:vAlign w:val="bottom"/>
          </w:tcPr>
          <w:p>
            <w:pPr>
              <w:pStyle w:val="107"/>
            </w:pPr>
            <w:r>
              <w:t>0.1970E-02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pPr>
            <w:r>
              <w:t>0.5323E-01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0.1488E-01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1200</w:t>
            </w:r>
          </w:p>
        </w:tc>
        <w:tc>
          <w:tcPr>
            <w:tcW w:w="1610" w:type="dxa"/>
            <w:tcBorders>
              <w:top w:val="nil"/>
              <w:left w:val="nil"/>
              <w:bottom w:val="single" w:color="auto" w:sz="4" w:space="0"/>
              <w:right w:val="single" w:color="auto" w:sz="4" w:space="0"/>
            </w:tcBorders>
            <w:shd w:val="clear" w:color="auto" w:fill="auto"/>
            <w:vAlign w:val="bottom"/>
          </w:tcPr>
          <w:p>
            <w:pPr>
              <w:pStyle w:val="107"/>
            </w:pPr>
            <w:r>
              <w:t>0.1880E-02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pPr>
            <w:r>
              <w:t>0.5081E-01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0.1420E-01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1300</w:t>
            </w:r>
          </w:p>
        </w:tc>
        <w:tc>
          <w:tcPr>
            <w:tcW w:w="1610" w:type="dxa"/>
            <w:tcBorders>
              <w:top w:val="nil"/>
              <w:left w:val="nil"/>
              <w:bottom w:val="single" w:color="auto" w:sz="4" w:space="0"/>
              <w:right w:val="single" w:color="auto" w:sz="4" w:space="0"/>
            </w:tcBorders>
            <w:shd w:val="clear" w:color="auto" w:fill="auto"/>
            <w:vAlign w:val="bottom"/>
          </w:tcPr>
          <w:p>
            <w:pPr>
              <w:pStyle w:val="107"/>
            </w:pPr>
            <w:r>
              <w:t>0.1803E-02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pPr>
            <w:r>
              <w:t>0.4873E-01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0.1362E-01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1400</w:t>
            </w:r>
          </w:p>
        </w:tc>
        <w:tc>
          <w:tcPr>
            <w:tcW w:w="1610" w:type="dxa"/>
            <w:tcBorders>
              <w:top w:val="nil"/>
              <w:left w:val="nil"/>
              <w:bottom w:val="single" w:color="auto" w:sz="4" w:space="0"/>
              <w:right w:val="single" w:color="auto" w:sz="4" w:space="0"/>
            </w:tcBorders>
            <w:shd w:val="clear" w:color="auto" w:fill="auto"/>
            <w:vAlign w:val="bottom"/>
          </w:tcPr>
          <w:p>
            <w:pPr>
              <w:pStyle w:val="107"/>
            </w:pPr>
            <w:r>
              <w:t>0.1730E-02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pPr>
            <w:r>
              <w:t>0.4676E-01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0.1307E-01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1500</w:t>
            </w:r>
          </w:p>
        </w:tc>
        <w:tc>
          <w:tcPr>
            <w:tcW w:w="1610" w:type="dxa"/>
            <w:tcBorders>
              <w:top w:val="nil"/>
              <w:left w:val="nil"/>
              <w:bottom w:val="single" w:color="auto" w:sz="4" w:space="0"/>
              <w:right w:val="single" w:color="auto" w:sz="4" w:space="0"/>
            </w:tcBorders>
            <w:shd w:val="clear" w:color="auto" w:fill="auto"/>
            <w:vAlign w:val="bottom"/>
          </w:tcPr>
          <w:p>
            <w:pPr>
              <w:pStyle w:val="107"/>
            </w:pPr>
            <w:r>
              <w:t>0.1661E-02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pPr>
            <w:r>
              <w:t>0.4489E-01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0.1255E-01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1600</w:t>
            </w:r>
          </w:p>
        </w:tc>
        <w:tc>
          <w:tcPr>
            <w:tcW w:w="1610" w:type="dxa"/>
            <w:tcBorders>
              <w:top w:val="nil"/>
              <w:left w:val="nil"/>
              <w:bottom w:val="single" w:color="auto" w:sz="4" w:space="0"/>
              <w:right w:val="single" w:color="auto" w:sz="4" w:space="0"/>
            </w:tcBorders>
            <w:shd w:val="clear" w:color="auto" w:fill="auto"/>
            <w:vAlign w:val="bottom"/>
          </w:tcPr>
          <w:p>
            <w:pPr>
              <w:pStyle w:val="107"/>
            </w:pPr>
            <w:r>
              <w:t>0.1597E-02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pPr>
            <w:r>
              <w:t>0.4314E-01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0.1206E-01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1700</w:t>
            </w:r>
          </w:p>
        </w:tc>
        <w:tc>
          <w:tcPr>
            <w:tcW w:w="1610" w:type="dxa"/>
            <w:tcBorders>
              <w:top w:val="nil"/>
              <w:left w:val="nil"/>
              <w:bottom w:val="single" w:color="auto" w:sz="4" w:space="0"/>
              <w:right w:val="single" w:color="auto" w:sz="4" w:space="0"/>
            </w:tcBorders>
            <w:shd w:val="clear" w:color="auto" w:fill="auto"/>
            <w:vAlign w:val="bottom"/>
          </w:tcPr>
          <w:p>
            <w:pPr>
              <w:pStyle w:val="107"/>
            </w:pPr>
            <w:r>
              <w:t>0.1536E-02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1610" w:type="dxa"/>
            <w:tcBorders>
              <w:top w:val="nil"/>
              <w:left w:val="nil"/>
              <w:bottom w:val="single" w:color="auto" w:sz="4" w:space="0"/>
              <w:right w:val="single" w:color="auto" w:sz="4" w:space="0"/>
            </w:tcBorders>
            <w:shd w:val="clear" w:color="auto" w:fill="auto"/>
            <w:vAlign w:val="bottom"/>
          </w:tcPr>
          <w:p>
            <w:pPr>
              <w:pStyle w:val="107"/>
            </w:pPr>
            <w:r>
              <w:t>0.4150E-01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0.1160E-01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1800</w:t>
            </w:r>
          </w:p>
        </w:tc>
        <w:tc>
          <w:tcPr>
            <w:tcW w:w="1610" w:type="dxa"/>
            <w:tcBorders>
              <w:top w:val="nil"/>
              <w:left w:val="nil"/>
              <w:bottom w:val="single" w:color="auto" w:sz="4" w:space="0"/>
              <w:right w:val="single" w:color="auto" w:sz="4" w:space="0"/>
            </w:tcBorders>
            <w:shd w:val="clear" w:color="auto" w:fill="auto"/>
            <w:vAlign w:val="bottom"/>
          </w:tcPr>
          <w:p>
            <w:pPr>
              <w:pStyle w:val="107"/>
            </w:pPr>
            <w:r>
              <w:t>0.1479E-02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pPr>
            <w:r>
              <w:t>0.3998E-01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0.1117E-01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1900</w:t>
            </w:r>
          </w:p>
        </w:tc>
        <w:tc>
          <w:tcPr>
            <w:tcW w:w="1610" w:type="dxa"/>
            <w:tcBorders>
              <w:top w:val="nil"/>
              <w:left w:val="nil"/>
              <w:bottom w:val="single" w:color="auto" w:sz="4" w:space="0"/>
              <w:right w:val="single" w:color="auto" w:sz="4" w:space="0"/>
            </w:tcBorders>
            <w:shd w:val="clear" w:color="auto" w:fill="auto"/>
            <w:vAlign w:val="bottom"/>
          </w:tcPr>
          <w:p>
            <w:pPr>
              <w:pStyle w:val="107"/>
            </w:pPr>
            <w:r>
              <w:t>0.1427E-02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pPr>
            <w:r>
              <w:t>0.3855E-01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0.1078E-01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2000</w:t>
            </w:r>
          </w:p>
        </w:tc>
        <w:tc>
          <w:tcPr>
            <w:tcW w:w="1610" w:type="dxa"/>
            <w:tcBorders>
              <w:top w:val="nil"/>
              <w:left w:val="nil"/>
              <w:bottom w:val="single" w:color="auto" w:sz="4" w:space="0"/>
              <w:right w:val="single" w:color="auto" w:sz="4" w:space="0"/>
            </w:tcBorders>
            <w:shd w:val="clear" w:color="auto" w:fill="auto"/>
            <w:vAlign w:val="bottom"/>
          </w:tcPr>
          <w:p>
            <w:pPr>
              <w:pStyle w:val="107"/>
            </w:pPr>
            <w:r>
              <w:t>0.1377E-02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pPr>
            <w:r>
              <w:t>0.3722E-01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0.1040E-01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2100</w:t>
            </w:r>
          </w:p>
        </w:tc>
        <w:tc>
          <w:tcPr>
            <w:tcW w:w="1610" w:type="dxa"/>
            <w:tcBorders>
              <w:top w:val="nil"/>
              <w:left w:val="nil"/>
              <w:bottom w:val="single" w:color="auto" w:sz="4" w:space="0"/>
              <w:right w:val="single" w:color="auto" w:sz="4" w:space="0"/>
            </w:tcBorders>
            <w:shd w:val="clear" w:color="auto" w:fill="auto"/>
            <w:vAlign w:val="bottom"/>
          </w:tcPr>
          <w:p>
            <w:pPr>
              <w:pStyle w:val="107"/>
            </w:pPr>
            <w:r>
              <w:t>0.1332E-02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pPr>
            <w:r>
              <w:t>0.3598E-01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0.1006E-01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2200</w:t>
            </w:r>
          </w:p>
        </w:tc>
        <w:tc>
          <w:tcPr>
            <w:tcW w:w="1610" w:type="dxa"/>
            <w:tcBorders>
              <w:top w:val="nil"/>
              <w:left w:val="nil"/>
              <w:bottom w:val="single" w:color="auto" w:sz="4" w:space="0"/>
              <w:right w:val="single" w:color="auto" w:sz="4" w:space="0"/>
            </w:tcBorders>
            <w:shd w:val="clear" w:color="auto" w:fill="auto"/>
            <w:vAlign w:val="bottom"/>
          </w:tcPr>
          <w:p>
            <w:pPr>
              <w:pStyle w:val="107"/>
            </w:pPr>
            <w:r>
              <w:t>0.1289E-02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pPr>
            <w:r>
              <w:t xml:space="preserve">0.3482E-01  </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0.9733E-02</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2300</w:t>
            </w:r>
          </w:p>
        </w:tc>
        <w:tc>
          <w:tcPr>
            <w:tcW w:w="1610" w:type="dxa"/>
            <w:tcBorders>
              <w:top w:val="nil"/>
              <w:left w:val="nil"/>
              <w:bottom w:val="single" w:color="auto" w:sz="4" w:space="0"/>
              <w:right w:val="single" w:color="auto" w:sz="4" w:space="0"/>
            </w:tcBorders>
            <w:shd w:val="clear" w:color="auto" w:fill="auto"/>
            <w:vAlign w:val="bottom"/>
          </w:tcPr>
          <w:p>
            <w:pPr>
              <w:pStyle w:val="107"/>
            </w:pPr>
            <w:r>
              <w:t>0.1248E-02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pPr>
            <w:r>
              <w:t>0.3374E-01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0.9430E-02</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r>
      <w:tr>
        <w:tblPrEx>
          <w:tblLayout w:type="fixed"/>
          <w:tblCellMar>
            <w:top w:w="0" w:type="dxa"/>
            <w:left w:w="108" w:type="dxa"/>
            <w:bottom w:w="0" w:type="dxa"/>
            <w:right w:w="108" w:type="dxa"/>
          </w:tblCellMar>
        </w:tblPrEx>
        <w:trPr>
          <w:trHeight w:val="50"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2400</w:t>
            </w:r>
          </w:p>
        </w:tc>
        <w:tc>
          <w:tcPr>
            <w:tcW w:w="1610" w:type="dxa"/>
            <w:tcBorders>
              <w:top w:val="nil"/>
              <w:left w:val="nil"/>
              <w:bottom w:val="single" w:color="auto" w:sz="4" w:space="0"/>
              <w:right w:val="single" w:color="auto" w:sz="4" w:space="0"/>
            </w:tcBorders>
            <w:shd w:val="clear" w:color="auto" w:fill="auto"/>
            <w:vAlign w:val="bottom"/>
          </w:tcPr>
          <w:p>
            <w:pPr>
              <w:pStyle w:val="107"/>
            </w:pPr>
            <w:r>
              <w:t>0.1211E-02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0.01 </w:t>
            </w:r>
          </w:p>
        </w:tc>
        <w:tc>
          <w:tcPr>
            <w:tcW w:w="1610" w:type="dxa"/>
            <w:tcBorders>
              <w:top w:val="nil"/>
              <w:left w:val="nil"/>
              <w:bottom w:val="single" w:color="auto" w:sz="4" w:space="0"/>
              <w:right w:val="single" w:color="auto" w:sz="4" w:space="0"/>
            </w:tcBorders>
            <w:shd w:val="clear" w:color="auto" w:fill="auto"/>
            <w:vAlign w:val="bottom"/>
          </w:tcPr>
          <w:p>
            <w:pPr>
              <w:pStyle w:val="107"/>
            </w:pPr>
            <w:r>
              <w:t>0.3374E-01</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c>
          <w:tcPr>
            <w:tcW w:w="1610" w:type="dxa"/>
            <w:tcBorders>
              <w:top w:val="nil"/>
              <w:left w:val="nil"/>
              <w:bottom w:val="single" w:color="auto" w:sz="4" w:space="0"/>
              <w:right w:val="single" w:color="auto" w:sz="4" w:space="0"/>
            </w:tcBorders>
            <w:shd w:val="clear" w:color="auto" w:fill="auto"/>
            <w:vAlign w:val="bottom"/>
          </w:tcPr>
          <w:p>
            <w:pPr>
              <w:pStyle w:val="107"/>
            </w:pPr>
            <w:r>
              <w:t>0.9146E-02</w:t>
            </w:r>
          </w:p>
        </w:tc>
        <w:tc>
          <w:tcPr>
            <w:tcW w:w="743" w:type="dxa"/>
            <w:tcBorders>
              <w:top w:val="nil"/>
              <w:left w:val="nil"/>
              <w:bottom w:val="single" w:color="auto" w:sz="4" w:space="0"/>
              <w:right w:val="single" w:color="auto" w:sz="4" w:space="0"/>
            </w:tcBorders>
            <w:shd w:val="clear" w:color="auto" w:fill="auto"/>
            <w:vAlign w:val="bottom"/>
          </w:tcPr>
          <w:p>
            <w:pPr>
              <w:pStyle w:val="107"/>
            </w:pPr>
            <w:r>
              <w:t>0.00</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2500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pPr>
            <w:r>
              <w:t>0.1176E-02</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0.01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jc w:val="left"/>
            </w:pPr>
            <w:r>
              <w:t xml:space="preserve">  0.3177E-01</w:t>
            </w:r>
          </w:p>
        </w:tc>
        <w:tc>
          <w:tcPr>
            <w:tcW w:w="743" w:type="dxa"/>
            <w:tcBorders>
              <w:top w:val="single" w:color="auto" w:sz="4" w:space="0"/>
              <w:left w:val="nil"/>
              <w:bottom w:val="single" w:color="auto" w:sz="4" w:space="0"/>
              <w:right w:val="single" w:color="auto" w:sz="4" w:space="0"/>
            </w:tcBorders>
            <w:shd w:val="clear" w:color="auto" w:fill="auto"/>
            <w:vAlign w:val="bottom"/>
          </w:tcPr>
          <w:p>
            <w:pPr>
              <w:pStyle w:val="107"/>
            </w:pPr>
            <w:r>
              <w:t>0.00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pPr>
            <w:r>
              <w:t>0.8879E-02</w:t>
            </w:r>
          </w:p>
        </w:tc>
        <w:tc>
          <w:tcPr>
            <w:tcW w:w="743" w:type="dxa"/>
            <w:tcBorders>
              <w:top w:val="single" w:color="auto" w:sz="4" w:space="0"/>
              <w:left w:val="nil"/>
              <w:bottom w:val="single" w:color="auto" w:sz="4" w:space="0"/>
              <w:right w:val="single" w:color="auto" w:sz="4" w:space="0"/>
            </w:tcBorders>
            <w:shd w:val="clear" w:color="auto" w:fill="auto"/>
            <w:vAlign w:val="bottom"/>
          </w:tcPr>
          <w:p>
            <w:pPr>
              <w:pStyle w:val="107"/>
            </w:pPr>
            <w:r>
              <w:t>0.00</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下风向最大质量浓度及占标率/</w:t>
            </w:r>
            <w:r>
              <w:t>%</w:t>
            </w:r>
          </w:p>
        </w:tc>
        <w:tc>
          <w:tcPr>
            <w:tcW w:w="1610" w:type="dxa"/>
            <w:tcBorders>
              <w:top w:val="single" w:color="auto" w:sz="4" w:space="0"/>
              <w:left w:val="nil"/>
              <w:bottom w:val="single" w:color="auto" w:sz="4" w:space="0"/>
              <w:right w:val="single" w:color="auto" w:sz="4" w:space="0"/>
            </w:tcBorders>
            <w:shd w:val="clear" w:color="auto" w:fill="auto"/>
            <w:vAlign w:val="center"/>
          </w:tcPr>
          <w:p>
            <w:pPr>
              <w:pStyle w:val="107"/>
            </w:pPr>
            <w:r>
              <w:t>0.3063E-02</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0.03</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0.8276E-01</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0.00</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0.2313E-01</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0.01</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D10%</w:t>
            </w:r>
            <w:r>
              <w:rPr>
                <w:rFonts w:hint="eastAsia"/>
              </w:rPr>
              <w:t>最远距离/</w:t>
            </w:r>
            <w:r>
              <w:t>m</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0</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0</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0</w:t>
            </w:r>
          </w:p>
        </w:tc>
      </w:tr>
    </w:tbl>
    <w:p>
      <w:pPr>
        <w:ind w:firstLine="480"/>
      </w:pPr>
      <w:r>
        <w:rPr>
          <w:rFonts w:hint="eastAsia"/>
        </w:rPr>
        <w:t>由上表可知排气筒P</w:t>
      </w:r>
      <w:r>
        <w:t>1</w:t>
      </w:r>
      <w:r>
        <w:rPr>
          <w:rFonts w:hint="eastAsia"/>
        </w:rPr>
        <w:t>中H</w:t>
      </w:r>
      <w:r>
        <w:rPr>
          <w:rFonts w:hint="eastAsia"/>
          <w:vertAlign w:val="subscript"/>
        </w:rPr>
        <w:t>2</w:t>
      </w:r>
      <w:r>
        <w:rPr>
          <w:rFonts w:hint="eastAsia"/>
        </w:rPr>
        <w:t>S预测结果相对最大,浓度值为</w:t>
      </w:r>
      <w:r>
        <w:t>0.3063E-02μg</w:t>
      </w:r>
      <w:r>
        <w:rPr>
          <w:rFonts w:hint="eastAsia"/>
        </w:rPr>
        <w:t>/m³,标准值为10.0</w:t>
      </w:r>
      <w:r>
        <w:t>μg</w:t>
      </w:r>
      <w:r>
        <w:rPr>
          <w:rFonts w:hint="eastAsia"/>
        </w:rPr>
        <w:t>/m³,占标率为0.</w:t>
      </w:r>
      <w:r>
        <w:t>03</w:t>
      </w:r>
      <w:r>
        <w:rPr>
          <w:rFonts w:hint="eastAsia"/>
        </w:rPr>
        <w:t>%,判定该污染源的评价等级为三级。</w:t>
      </w:r>
    </w:p>
    <w:p>
      <w:pPr>
        <w:pStyle w:val="2"/>
      </w:pP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15</w:t>
      </w:r>
      <w:r>
        <w:fldChar w:fldCharType="end"/>
      </w:r>
      <w:r>
        <w:rPr>
          <w:rFonts w:hint="eastAsia"/>
        </w:rPr>
        <w:t>点污染源估算模型计算结果表</w:t>
      </w:r>
    </w:p>
    <w:tbl>
      <w:tblPr>
        <w:tblStyle w:val="56"/>
        <w:tblW w:w="9060" w:type="dxa"/>
        <w:tblInd w:w="0" w:type="dxa"/>
        <w:tblLayout w:type="fixed"/>
        <w:tblCellMar>
          <w:top w:w="0" w:type="dxa"/>
          <w:left w:w="108" w:type="dxa"/>
          <w:bottom w:w="0" w:type="dxa"/>
          <w:right w:w="108" w:type="dxa"/>
        </w:tblCellMar>
      </w:tblPr>
      <w:tblGrid>
        <w:gridCol w:w="2001"/>
        <w:gridCol w:w="3381"/>
        <w:gridCol w:w="3678"/>
      </w:tblGrid>
      <w:tr>
        <w:tblPrEx>
          <w:tblLayout w:type="fixed"/>
          <w:tblCellMar>
            <w:top w:w="0" w:type="dxa"/>
            <w:left w:w="108" w:type="dxa"/>
            <w:bottom w:w="0" w:type="dxa"/>
            <w:right w:w="108" w:type="dxa"/>
          </w:tblCellMar>
        </w:tblPrEx>
        <w:trPr>
          <w:trHeight w:val="255" w:hRule="atLeast"/>
          <w:tblHeader/>
        </w:trPr>
        <w:tc>
          <w:tcPr>
            <w:tcW w:w="2001" w:type="dxa"/>
            <w:vMerge w:val="restart"/>
            <w:tcBorders>
              <w:top w:val="single" w:color="auto" w:sz="4" w:space="0"/>
              <w:left w:val="single" w:color="auto" w:sz="4" w:space="0"/>
              <w:right w:val="single" w:color="auto" w:sz="4" w:space="0"/>
            </w:tcBorders>
            <w:shd w:val="clear" w:color="auto" w:fill="auto"/>
            <w:vAlign w:val="center"/>
          </w:tcPr>
          <w:p>
            <w:pPr>
              <w:pStyle w:val="107"/>
              <w:rPr>
                <w:b/>
              </w:rPr>
            </w:pPr>
            <w:bookmarkStart w:id="458" w:name="_Hlk11091904"/>
            <w:r>
              <w:rPr>
                <w:b/>
              </w:rPr>
              <w:t>下风向距离(m)</w:t>
            </w:r>
          </w:p>
        </w:tc>
        <w:tc>
          <w:tcPr>
            <w:tcW w:w="7059" w:type="dxa"/>
            <w:gridSpan w:val="2"/>
            <w:tcBorders>
              <w:top w:val="single" w:color="auto" w:sz="4" w:space="0"/>
              <w:left w:val="nil"/>
              <w:bottom w:val="single" w:color="auto" w:sz="4" w:space="0"/>
              <w:right w:val="single" w:color="auto" w:sz="4" w:space="0"/>
            </w:tcBorders>
            <w:shd w:val="clear" w:color="auto" w:fill="auto"/>
            <w:vAlign w:val="center"/>
          </w:tcPr>
          <w:p>
            <w:pPr>
              <w:pStyle w:val="107"/>
              <w:rPr>
                <w:b/>
              </w:rPr>
            </w:pPr>
            <w:r>
              <w:rPr>
                <w:b/>
              </w:rPr>
              <w:t>P2</w:t>
            </w:r>
            <w:r>
              <w:rPr>
                <w:rFonts w:hint="eastAsia"/>
                <w:b/>
              </w:rPr>
              <w:t>排气筒</w:t>
            </w:r>
            <w:r>
              <w:rPr>
                <w:b/>
              </w:rPr>
              <w:t>TSP</w:t>
            </w:r>
          </w:p>
        </w:tc>
      </w:tr>
      <w:tr>
        <w:tblPrEx>
          <w:tblLayout w:type="fixed"/>
          <w:tblCellMar>
            <w:top w:w="0" w:type="dxa"/>
            <w:left w:w="108" w:type="dxa"/>
            <w:bottom w:w="0" w:type="dxa"/>
            <w:right w:w="108" w:type="dxa"/>
          </w:tblCellMar>
        </w:tblPrEx>
        <w:trPr>
          <w:trHeight w:val="255" w:hRule="atLeast"/>
          <w:tblHeader/>
        </w:trPr>
        <w:tc>
          <w:tcPr>
            <w:tcW w:w="2001" w:type="dxa"/>
            <w:vMerge w:val="continue"/>
            <w:tcBorders>
              <w:left w:val="single" w:color="auto" w:sz="4" w:space="0"/>
              <w:bottom w:val="nil"/>
              <w:right w:val="single" w:color="auto" w:sz="4" w:space="0"/>
            </w:tcBorders>
            <w:shd w:val="clear" w:color="auto" w:fill="auto"/>
            <w:vAlign w:val="bottom"/>
          </w:tcPr>
          <w:p>
            <w:pPr>
              <w:pStyle w:val="107"/>
              <w:rPr>
                <w:b/>
              </w:rPr>
            </w:pPr>
          </w:p>
        </w:tc>
        <w:tc>
          <w:tcPr>
            <w:tcW w:w="3381" w:type="dxa"/>
            <w:tcBorders>
              <w:top w:val="nil"/>
              <w:left w:val="nil"/>
              <w:bottom w:val="nil"/>
              <w:right w:val="single" w:color="auto" w:sz="4" w:space="0"/>
            </w:tcBorders>
            <w:shd w:val="clear" w:color="auto" w:fill="auto"/>
            <w:vAlign w:val="center"/>
          </w:tcPr>
          <w:p>
            <w:pPr>
              <w:pStyle w:val="107"/>
              <w:rPr>
                <w:b/>
              </w:rPr>
            </w:pPr>
            <w:r>
              <w:rPr>
                <w:rFonts w:hint="eastAsia"/>
                <w:b/>
              </w:rPr>
              <w:t>预测质量浓度/（</w:t>
            </w:r>
            <w:r>
              <w:rPr>
                <w:b/>
              </w:rPr>
              <w:t>μg/m</w:t>
            </w:r>
            <w:r>
              <w:rPr>
                <w:b/>
                <w:vertAlign w:val="superscript"/>
              </w:rPr>
              <w:t>3</w:t>
            </w:r>
            <w:r>
              <w:rPr>
                <w:rFonts w:hint="eastAsia"/>
                <w:b/>
              </w:rPr>
              <w:t>）</w:t>
            </w:r>
          </w:p>
        </w:tc>
        <w:tc>
          <w:tcPr>
            <w:tcW w:w="3678" w:type="dxa"/>
            <w:tcBorders>
              <w:top w:val="nil"/>
              <w:left w:val="nil"/>
              <w:bottom w:val="nil"/>
              <w:right w:val="single" w:color="auto" w:sz="4" w:space="0"/>
            </w:tcBorders>
            <w:shd w:val="clear" w:color="auto" w:fill="auto"/>
            <w:vAlign w:val="center"/>
          </w:tcPr>
          <w:p>
            <w:pPr>
              <w:pStyle w:val="107"/>
              <w:rPr>
                <w:b/>
              </w:rPr>
            </w:pPr>
            <w:r>
              <w:rPr>
                <w:rFonts w:hint="eastAsia"/>
                <w:b/>
              </w:rPr>
              <w:t>占标率/</w:t>
            </w:r>
            <w:r>
              <w:rPr>
                <w:b/>
              </w:rPr>
              <w:t>%</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25</w:t>
            </w:r>
          </w:p>
        </w:tc>
        <w:tc>
          <w:tcPr>
            <w:tcW w:w="3381" w:type="dxa"/>
            <w:tcBorders>
              <w:top w:val="single" w:color="auto" w:sz="4" w:space="0"/>
              <w:left w:val="nil"/>
              <w:bottom w:val="single" w:color="auto" w:sz="4" w:space="0"/>
              <w:right w:val="single" w:color="auto" w:sz="4" w:space="0"/>
            </w:tcBorders>
            <w:shd w:val="clear" w:color="auto" w:fill="auto"/>
            <w:vAlign w:val="bottom"/>
          </w:tcPr>
          <w:p>
            <w:pPr>
              <w:pStyle w:val="107"/>
            </w:pPr>
            <w:r>
              <w:t xml:space="preserve">1.329 </w:t>
            </w:r>
          </w:p>
        </w:tc>
        <w:tc>
          <w:tcPr>
            <w:tcW w:w="3678"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0.15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50</w:t>
            </w:r>
          </w:p>
        </w:tc>
        <w:tc>
          <w:tcPr>
            <w:tcW w:w="3381" w:type="dxa"/>
            <w:tcBorders>
              <w:top w:val="nil"/>
              <w:left w:val="nil"/>
              <w:bottom w:val="single" w:color="auto" w:sz="4" w:space="0"/>
              <w:right w:val="single" w:color="auto" w:sz="4" w:space="0"/>
            </w:tcBorders>
            <w:shd w:val="clear" w:color="auto" w:fill="auto"/>
            <w:vAlign w:val="bottom"/>
          </w:tcPr>
          <w:p>
            <w:pPr>
              <w:pStyle w:val="107"/>
            </w:pPr>
            <w:r>
              <w:t>2.869</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0.32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75</w:t>
            </w:r>
          </w:p>
        </w:tc>
        <w:tc>
          <w:tcPr>
            <w:tcW w:w="3381" w:type="dxa"/>
            <w:tcBorders>
              <w:top w:val="nil"/>
              <w:left w:val="nil"/>
              <w:bottom w:val="single" w:color="auto" w:sz="4" w:space="0"/>
              <w:right w:val="single" w:color="auto" w:sz="4" w:space="0"/>
            </w:tcBorders>
            <w:shd w:val="clear" w:color="auto" w:fill="auto"/>
            <w:vAlign w:val="bottom"/>
          </w:tcPr>
          <w:p>
            <w:pPr>
              <w:pStyle w:val="107"/>
            </w:pPr>
            <w:r>
              <w:t>3.795</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0.42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100</w:t>
            </w:r>
          </w:p>
        </w:tc>
        <w:tc>
          <w:tcPr>
            <w:tcW w:w="3381" w:type="dxa"/>
            <w:tcBorders>
              <w:top w:val="nil"/>
              <w:left w:val="nil"/>
              <w:bottom w:val="single" w:color="auto" w:sz="4" w:space="0"/>
              <w:right w:val="single" w:color="auto" w:sz="4" w:space="0"/>
            </w:tcBorders>
            <w:shd w:val="clear" w:color="auto" w:fill="auto"/>
            <w:vAlign w:val="bottom"/>
          </w:tcPr>
          <w:p>
            <w:pPr>
              <w:pStyle w:val="107"/>
            </w:pPr>
            <w:r>
              <w:t>3.916</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0.44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200</w:t>
            </w:r>
          </w:p>
        </w:tc>
        <w:tc>
          <w:tcPr>
            <w:tcW w:w="3381" w:type="dxa"/>
            <w:tcBorders>
              <w:top w:val="nil"/>
              <w:left w:val="nil"/>
              <w:bottom w:val="single" w:color="auto" w:sz="4" w:space="0"/>
              <w:right w:val="single" w:color="auto" w:sz="4" w:space="0"/>
            </w:tcBorders>
            <w:shd w:val="clear" w:color="auto" w:fill="auto"/>
            <w:vAlign w:val="bottom"/>
          </w:tcPr>
          <w:p>
            <w:pPr>
              <w:pStyle w:val="107"/>
              <w:rPr>
                <w:highlight w:val="lightGray"/>
              </w:rPr>
            </w:pPr>
            <w:r>
              <w:t>2.950</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0.33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300</w:t>
            </w:r>
          </w:p>
        </w:tc>
        <w:tc>
          <w:tcPr>
            <w:tcW w:w="3381" w:type="dxa"/>
            <w:tcBorders>
              <w:top w:val="nil"/>
              <w:left w:val="nil"/>
              <w:bottom w:val="single" w:color="auto" w:sz="4" w:space="0"/>
              <w:right w:val="single" w:color="auto" w:sz="4" w:space="0"/>
            </w:tcBorders>
            <w:shd w:val="clear" w:color="auto" w:fill="auto"/>
            <w:vAlign w:val="bottom"/>
          </w:tcPr>
          <w:p>
            <w:pPr>
              <w:pStyle w:val="107"/>
            </w:pPr>
            <w:r>
              <w:t>3.113</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0.35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400</w:t>
            </w:r>
          </w:p>
        </w:tc>
        <w:tc>
          <w:tcPr>
            <w:tcW w:w="3381" w:type="dxa"/>
            <w:tcBorders>
              <w:top w:val="nil"/>
              <w:left w:val="nil"/>
              <w:bottom w:val="single" w:color="auto" w:sz="4" w:space="0"/>
              <w:right w:val="single" w:color="auto" w:sz="4" w:space="0"/>
            </w:tcBorders>
            <w:shd w:val="clear" w:color="auto" w:fill="auto"/>
            <w:vAlign w:val="bottom"/>
          </w:tcPr>
          <w:p>
            <w:pPr>
              <w:pStyle w:val="107"/>
            </w:pPr>
            <w:r>
              <w:t xml:space="preserve">2.952  </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0.33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500</w:t>
            </w:r>
          </w:p>
        </w:tc>
        <w:tc>
          <w:tcPr>
            <w:tcW w:w="3381" w:type="dxa"/>
            <w:tcBorders>
              <w:top w:val="nil"/>
              <w:left w:val="nil"/>
              <w:bottom w:val="single" w:color="auto" w:sz="4" w:space="0"/>
              <w:right w:val="single" w:color="auto" w:sz="4" w:space="0"/>
            </w:tcBorders>
            <w:shd w:val="clear" w:color="auto" w:fill="auto"/>
            <w:vAlign w:val="bottom"/>
          </w:tcPr>
          <w:p>
            <w:pPr>
              <w:pStyle w:val="107"/>
            </w:pPr>
            <w:r>
              <w:t>2.810</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600</w:t>
            </w:r>
          </w:p>
        </w:tc>
        <w:tc>
          <w:tcPr>
            <w:tcW w:w="3381" w:type="dxa"/>
            <w:tcBorders>
              <w:top w:val="nil"/>
              <w:left w:val="nil"/>
              <w:bottom w:val="single" w:color="auto" w:sz="4" w:space="0"/>
              <w:right w:val="single" w:color="auto" w:sz="4" w:space="0"/>
            </w:tcBorders>
            <w:shd w:val="clear" w:color="auto" w:fill="auto"/>
            <w:vAlign w:val="bottom"/>
          </w:tcPr>
          <w:p>
            <w:pPr>
              <w:pStyle w:val="107"/>
            </w:pPr>
            <w:r>
              <w:t>2.683</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700</w:t>
            </w:r>
          </w:p>
        </w:tc>
        <w:tc>
          <w:tcPr>
            <w:tcW w:w="3381" w:type="dxa"/>
            <w:tcBorders>
              <w:top w:val="nil"/>
              <w:left w:val="nil"/>
              <w:bottom w:val="single" w:color="auto" w:sz="4" w:space="0"/>
              <w:right w:val="single" w:color="auto" w:sz="4" w:space="0"/>
            </w:tcBorders>
            <w:shd w:val="clear" w:color="auto" w:fill="auto"/>
            <w:vAlign w:val="bottom"/>
          </w:tcPr>
          <w:p>
            <w:pPr>
              <w:pStyle w:val="107"/>
            </w:pPr>
            <w:r>
              <w:t>2.481</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0.28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800</w:t>
            </w:r>
          </w:p>
        </w:tc>
        <w:tc>
          <w:tcPr>
            <w:tcW w:w="3381" w:type="dxa"/>
            <w:tcBorders>
              <w:top w:val="nil"/>
              <w:left w:val="nil"/>
              <w:bottom w:val="single" w:color="auto" w:sz="4" w:space="0"/>
              <w:right w:val="single" w:color="auto" w:sz="4" w:space="0"/>
            </w:tcBorders>
            <w:shd w:val="clear" w:color="auto" w:fill="auto"/>
            <w:vAlign w:val="bottom"/>
          </w:tcPr>
          <w:p>
            <w:pPr>
              <w:pStyle w:val="107"/>
            </w:pPr>
            <w:r>
              <w:t>2.382</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0.26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900</w:t>
            </w:r>
          </w:p>
        </w:tc>
        <w:tc>
          <w:tcPr>
            <w:tcW w:w="3381" w:type="dxa"/>
            <w:tcBorders>
              <w:top w:val="nil"/>
              <w:left w:val="nil"/>
              <w:bottom w:val="single" w:color="auto" w:sz="4" w:space="0"/>
              <w:right w:val="single" w:color="auto" w:sz="4" w:space="0"/>
            </w:tcBorders>
            <w:shd w:val="clear" w:color="auto" w:fill="auto"/>
            <w:vAlign w:val="bottom"/>
          </w:tcPr>
          <w:p>
            <w:pPr>
              <w:pStyle w:val="107"/>
            </w:pPr>
            <w:r>
              <w:t>2.306</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0.26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1000</w:t>
            </w:r>
          </w:p>
        </w:tc>
        <w:tc>
          <w:tcPr>
            <w:tcW w:w="3381" w:type="dxa"/>
            <w:tcBorders>
              <w:top w:val="nil"/>
              <w:left w:val="nil"/>
              <w:bottom w:val="single" w:color="auto" w:sz="4" w:space="0"/>
              <w:right w:val="single" w:color="auto" w:sz="4" w:space="0"/>
            </w:tcBorders>
            <w:shd w:val="clear" w:color="auto" w:fill="auto"/>
            <w:vAlign w:val="bottom"/>
          </w:tcPr>
          <w:p>
            <w:pPr>
              <w:pStyle w:val="107"/>
            </w:pPr>
            <w:r>
              <w:t>2.205</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0.25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1100</w:t>
            </w:r>
          </w:p>
        </w:tc>
        <w:tc>
          <w:tcPr>
            <w:tcW w:w="3381" w:type="dxa"/>
            <w:tcBorders>
              <w:top w:val="nil"/>
              <w:left w:val="nil"/>
              <w:bottom w:val="single" w:color="auto" w:sz="4" w:space="0"/>
              <w:right w:val="single" w:color="auto" w:sz="4" w:space="0"/>
            </w:tcBorders>
            <w:shd w:val="clear" w:color="auto" w:fill="auto"/>
            <w:vAlign w:val="bottom"/>
          </w:tcPr>
          <w:p>
            <w:pPr>
              <w:pStyle w:val="107"/>
            </w:pPr>
            <w:r>
              <w:t>2.094</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0.23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1200</w:t>
            </w:r>
          </w:p>
        </w:tc>
        <w:tc>
          <w:tcPr>
            <w:tcW w:w="3381" w:type="dxa"/>
            <w:tcBorders>
              <w:top w:val="nil"/>
              <w:left w:val="nil"/>
              <w:bottom w:val="single" w:color="auto" w:sz="4" w:space="0"/>
              <w:right w:val="single" w:color="auto" w:sz="4" w:space="0"/>
            </w:tcBorders>
            <w:shd w:val="clear" w:color="auto" w:fill="auto"/>
            <w:vAlign w:val="bottom"/>
          </w:tcPr>
          <w:p>
            <w:pPr>
              <w:pStyle w:val="107"/>
            </w:pPr>
            <w:r>
              <w:t>1.980</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0.22 </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1300</w:t>
            </w:r>
          </w:p>
        </w:tc>
        <w:tc>
          <w:tcPr>
            <w:tcW w:w="3381" w:type="dxa"/>
            <w:tcBorders>
              <w:top w:val="single" w:color="auto" w:sz="4" w:space="0"/>
              <w:left w:val="nil"/>
              <w:bottom w:val="single" w:color="auto" w:sz="4" w:space="0"/>
              <w:right w:val="single" w:color="auto" w:sz="4" w:space="0"/>
            </w:tcBorders>
            <w:shd w:val="clear" w:color="auto" w:fill="auto"/>
            <w:vAlign w:val="bottom"/>
          </w:tcPr>
          <w:p>
            <w:pPr>
              <w:pStyle w:val="107"/>
            </w:pPr>
            <w:r>
              <w:t>1.910</w:t>
            </w:r>
          </w:p>
        </w:tc>
        <w:tc>
          <w:tcPr>
            <w:tcW w:w="3678"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0.21 </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1400</w:t>
            </w:r>
          </w:p>
        </w:tc>
        <w:tc>
          <w:tcPr>
            <w:tcW w:w="3381" w:type="dxa"/>
            <w:tcBorders>
              <w:top w:val="single" w:color="auto" w:sz="4" w:space="0"/>
              <w:left w:val="nil"/>
              <w:bottom w:val="single" w:color="auto" w:sz="4" w:space="0"/>
              <w:right w:val="single" w:color="auto" w:sz="4" w:space="0"/>
            </w:tcBorders>
            <w:shd w:val="clear" w:color="auto" w:fill="auto"/>
            <w:vAlign w:val="bottom"/>
          </w:tcPr>
          <w:p>
            <w:pPr>
              <w:pStyle w:val="107"/>
            </w:pPr>
            <w:r>
              <w:t>1.843</w:t>
            </w:r>
          </w:p>
        </w:tc>
        <w:tc>
          <w:tcPr>
            <w:tcW w:w="3678"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0.20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1500</w:t>
            </w:r>
          </w:p>
        </w:tc>
        <w:tc>
          <w:tcPr>
            <w:tcW w:w="3381" w:type="dxa"/>
            <w:tcBorders>
              <w:top w:val="nil"/>
              <w:left w:val="nil"/>
              <w:bottom w:val="single" w:color="auto" w:sz="4" w:space="0"/>
              <w:right w:val="single" w:color="auto" w:sz="4" w:space="0"/>
            </w:tcBorders>
            <w:shd w:val="clear" w:color="auto" w:fill="auto"/>
            <w:vAlign w:val="bottom"/>
          </w:tcPr>
          <w:p>
            <w:pPr>
              <w:pStyle w:val="107"/>
            </w:pPr>
            <w:r>
              <w:t>1.773</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1600</w:t>
            </w:r>
          </w:p>
        </w:tc>
        <w:tc>
          <w:tcPr>
            <w:tcW w:w="3381" w:type="dxa"/>
            <w:tcBorders>
              <w:top w:val="nil"/>
              <w:left w:val="nil"/>
              <w:bottom w:val="single" w:color="auto" w:sz="4" w:space="0"/>
              <w:right w:val="single" w:color="auto" w:sz="4" w:space="0"/>
            </w:tcBorders>
            <w:shd w:val="clear" w:color="auto" w:fill="auto"/>
            <w:vAlign w:val="bottom"/>
          </w:tcPr>
          <w:p>
            <w:pPr>
              <w:pStyle w:val="107"/>
            </w:pPr>
            <w:r>
              <w:t>1.702</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0.19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1700</w:t>
            </w:r>
          </w:p>
        </w:tc>
        <w:tc>
          <w:tcPr>
            <w:tcW w:w="3381" w:type="dxa"/>
            <w:tcBorders>
              <w:top w:val="nil"/>
              <w:left w:val="nil"/>
              <w:bottom w:val="single" w:color="auto" w:sz="4" w:space="0"/>
              <w:right w:val="single" w:color="auto" w:sz="4" w:space="0"/>
            </w:tcBorders>
            <w:shd w:val="clear" w:color="auto" w:fill="auto"/>
            <w:vAlign w:val="bottom"/>
          </w:tcPr>
          <w:p>
            <w:pPr>
              <w:pStyle w:val="107"/>
            </w:pPr>
            <w:r>
              <w:t>1.632</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0.18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1800</w:t>
            </w:r>
          </w:p>
        </w:tc>
        <w:tc>
          <w:tcPr>
            <w:tcW w:w="3381" w:type="dxa"/>
            <w:tcBorders>
              <w:top w:val="nil"/>
              <w:left w:val="nil"/>
              <w:bottom w:val="single" w:color="auto" w:sz="4" w:space="0"/>
              <w:right w:val="single" w:color="auto" w:sz="4" w:space="0"/>
            </w:tcBorders>
            <w:shd w:val="clear" w:color="auto" w:fill="auto"/>
            <w:vAlign w:val="bottom"/>
          </w:tcPr>
          <w:p>
            <w:pPr>
              <w:pStyle w:val="107"/>
            </w:pPr>
            <w:r>
              <w:t>1.565</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0.17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1900</w:t>
            </w:r>
          </w:p>
        </w:tc>
        <w:tc>
          <w:tcPr>
            <w:tcW w:w="3381" w:type="dxa"/>
            <w:tcBorders>
              <w:top w:val="nil"/>
              <w:left w:val="nil"/>
              <w:bottom w:val="single" w:color="auto" w:sz="4" w:space="0"/>
              <w:right w:val="single" w:color="auto" w:sz="4" w:space="0"/>
            </w:tcBorders>
            <w:shd w:val="clear" w:color="auto" w:fill="auto"/>
            <w:vAlign w:val="bottom"/>
          </w:tcPr>
          <w:p>
            <w:pPr>
              <w:pStyle w:val="107"/>
            </w:pPr>
            <w:r>
              <w:t>1.500</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0.17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2000</w:t>
            </w:r>
          </w:p>
        </w:tc>
        <w:tc>
          <w:tcPr>
            <w:tcW w:w="3381" w:type="dxa"/>
            <w:tcBorders>
              <w:top w:val="nil"/>
              <w:left w:val="nil"/>
              <w:bottom w:val="single" w:color="auto" w:sz="4" w:space="0"/>
              <w:right w:val="single" w:color="auto" w:sz="4" w:space="0"/>
            </w:tcBorders>
            <w:shd w:val="clear" w:color="auto" w:fill="auto"/>
            <w:vAlign w:val="bottom"/>
          </w:tcPr>
          <w:p>
            <w:pPr>
              <w:pStyle w:val="107"/>
            </w:pPr>
            <w:r>
              <w:t>1.438</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0.16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2100</w:t>
            </w:r>
          </w:p>
        </w:tc>
        <w:tc>
          <w:tcPr>
            <w:tcW w:w="3381" w:type="dxa"/>
            <w:tcBorders>
              <w:top w:val="nil"/>
              <w:left w:val="nil"/>
              <w:bottom w:val="single" w:color="auto" w:sz="4" w:space="0"/>
              <w:right w:val="single" w:color="auto" w:sz="4" w:space="0"/>
            </w:tcBorders>
            <w:shd w:val="clear" w:color="auto" w:fill="auto"/>
            <w:vAlign w:val="bottom"/>
          </w:tcPr>
          <w:p>
            <w:pPr>
              <w:pStyle w:val="107"/>
            </w:pPr>
            <w:r>
              <w:t>1.379</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0.15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2200</w:t>
            </w:r>
          </w:p>
        </w:tc>
        <w:tc>
          <w:tcPr>
            <w:tcW w:w="3381" w:type="dxa"/>
            <w:tcBorders>
              <w:top w:val="nil"/>
              <w:left w:val="nil"/>
              <w:bottom w:val="single" w:color="auto" w:sz="4" w:space="0"/>
              <w:right w:val="single" w:color="auto" w:sz="4" w:space="0"/>
            </w:tcBorders>
            <w:shd w:val="clear" w:color="auto" w:fill="auto"/>
            <w:vAlign w:val="bottom"/>
          </w:tcPr>
          <w:p>
            <w:pPr>
              <w:pStyle w:val="107"/>
            </w:pPr>
            <w:r>
              <w:t>1.345</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0.15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2300</w:t>
            </w:r>
          </w:p>
        </w:tc>
        <w:tc>
          <w:tcPr>
            <w:tcW w:w="3381" w:type="dxa"/>
            <w:tcBorders>
              <w:top w:val="nil"/>
              <w:left w:val="nil"/>
              <w:bottom w:val="single" w:color="auto" w:sz="4" w:space="0"/>
              <w:right w:val="single" w:color="auto" w:sz="4" w:space="0"/>
            </w:tcBorders>
            <w:shd w:val="clear" w:color="auto" w:fill="auto"/>
            <w:vAlign w:val="bottom"/>
          </w:tcPr>
          <w:p>
            <w:pPr>
              <w:pStyle w:val="107"/>
            </w:pPr>
            <w:r>
              <w:t>1.318</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0.15 </w:t>
            </w:r>
          </w:p>
        </w:tc>
      </w:tr>
      <w:tr>
        <w:tblPrEx>
          <w:tblLayout w:type="fixed"/>
          <w:tblCellMar>
            <w:top w:w="0" w:type="dxa"/>
            <w:left w:w="108" w:type="dxa"/>
            <w:bottom w:w="0" w:type="dxa"/>
            <w:right w:w="108" w:type="dxa"/>
          </w:tblCellMar>
        </w:tblPrEx>
        <w:trPr>
          <w:trHeight w:val="50"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2400</w:t>
            </w:r>
          </w:p>
        </w:tc>
        <w:tc>
          <w:tcPr>
            <w:tcW w:w="3381" w:type="dxa"/>
            <w:tcBorders>
              <w:top w:val="nil"/>
              <w:left w:val="nil"/>
              <w:bottom w:val="single" w:color="auto" w:sz="4" w:space="0"/>
              <w:right w:val="single" w:color="auto" w:sz="4" w:space="0"/>
            </w:tcBorders>
            <w:shd w:val="clear" w:color="auto" w:fill="auto"/>
            <w:vAlign w:val="bottom"/>
          </w:tcPr>
          <w:p>
            <w:pPr>
              <w:pStyle w:val="107"/>
            </w:pPr>
            <w:r>
              <w:t>1.290</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0.14 </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2500</w:t>
            </w:r>
          </w:p>
        </w:tc>
        <w:tc>
          <w:tcPr>
            <w:tcW w:w="3381" w:type="dxa"/>
            <w:tcBorders>
              <w:top w:val="single" w:color="auto" w:sz="4" w:space="0"/>
              <w:left w:val="nil"/>
              <w:bottom w:val="single" w:color="auto" w:sz="4" w:space="0"/>
              <w:right w:val="single" w:color="auto" w:sz="4" w:space="0"/>
            </w:tcBorders>
            <w:shd w:val="clear" w:color="auto" w:fill="auto"/>
            <w:vAlign w:val="bottom"/>
          </w:tcPr>
          <w:p>
            <w:pPr>
              <w:pStyle w:val="107"/>
            </w:pPr>
            <w:r>
              <w:t>1.261</w:t>
            </w:r>
          </w:p>
        </w:tc>
        <w:tc>
          <w:tcPr>
            <w:tcW w:w="3678"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0.14 </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下风向最大质量浓度及占标率/</w:t>
            </w:r>
            <w:r>
              <w:t>%</w:t>
            </w:r>
          </w:p>
        </w:tc>
        <w:tc>
          <w:tcPr>
            <w:tcW w:w="3381" w:type="dxa"/>
            <w:tcBorders>
              <w:top w:val="single" w:color="auto" w:sz="4" w:space="0"/>
              <w:left w:val="nil"/>
              <w:bottom w:val="single" w:color="auto" w:sz="4" w:space="0"/>
              <w:right w:val="single" w:color="auto" w:sz="4" w:space="0"/>
            </w:tcBorders>
            <w:shd w:val="clear" w:color="auto" w:fill="auto"/>
            <w:vAlign w:val="center"/>
          </w:tcPr>
          <w:p>
            <w:pPr>
              <w:pStyle w:val="107"/>
            </w:pPr>
            <w:r>
              <w:t>3.916</w:t>
            </w:r>
          </w:p>
        </w:tc>
        <w:tc>
          <w:tcPr>
            <w:tcW w:w="367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0.44</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D10%</w:t>
            </w:r>
            <w:r>
              <w:rPr>
                <w:rFonts w:hint="eastAsia"/>
              </w:rPr>
              <w:t>最远距离/</w:t>
            </w:r>
            <w:r>
              <w:t>m</w:t>
            </w:r>
          </w:p>
        </w:tc>
        <w:tc>
          <w:tcPr>
            <w:tcW w:w="3381"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0</w:t>
            </w:r>
          </w:p>
        </w:tc>
        <w:tc>
          <w:tcPr>
            <w:tcW w:w="3678"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0</w:t>
            </w:r>
          </w:p>
        </w:tc>
      </w:tr>
      <w:bookmarkEnd w:id="458"/>
    </w:tbl>
    <w:p>
      <w:pPr>
        <w:ind w:firstLine="480"/>
      </w:pPr>
      <w:r>
        <w:rPr>
          <w:rFonts w:hint="eastAsia"/>
        </w:rPr>
        <w:t>由上表可知排气筒P</w:t>
      </w:r>
      <w:r>
        <w:t>2</w:t>
      </w:r>
      <w:r>
        <w:rPr>
          <w:rFonts w:hint="eastAsia"/>
        </w:rPr>
        <w:t>中</w:t>
      </w:r>
      <w:r>
        <w:t>TSP</w:t>
      </w:r>
      <w:r>
        <w:rPr>
          <w:rFonts w:hint="eastAsia"/>
        </w:rPr>
        <w:t>预测结果相对最大,浓度值为</w:t>
      </w:r>
      <w:r>
        <w:t>3.916μg</w:t>
      </w:r>
      <w:r>
        <w:rPr>
          <w:rFonts w:hint="eastAsia"/>
        </w:rPr>
        <w:t>/m³,标准值为10.0</w:t>
      </w:r>
      <w:r>
        <w:t>μg</w:t>
      </w:r>
      <w:r>
        <w:rPr>
          <w:rFonts w:hint="eastAsia"/>
        </w:rPr>
        <w:t>/m³,占标率为0.</w:t>
      </w:r>
      <w:r>
        <w:t>44</w:t>
      </w:r>
      <w:r>
        <w:rPr>
          <w:rFonts w:hint="eastAsia"/>
        </w:rPr>
        <w:t>%,判定该污染源的评价等级为三级。</w:t>
      </w:r>
    </w:p>
    <w:p>
      <w:pPr>
        <w:pStyle w:val="18"/>
      </w:pP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16</w:t>
      </w:r>
      <w:r>
        <w:fldChar w:fldCharType="end"/>
      </w:r>
      <w:r>
        <w:rPr>
          <w:rFonts w:hint="eastAsia"/>
        </w:rPr>
        <w:t>密炼围蔽区车间面污染源估算模型计算结果表</w:t>
      </w:r>
    </w:p>
    <w:tbl>
      <w:tblPr>
        <w:tblStyle w:val="56"/>
        <w:tblW w:w="9060" w:type="dxa"/>
        <w:tblInd w:w="0" w:type="dxa"/>
        <w:tblLayout w:type="fixed"/>
        <w:tblCellMar>
          <w:top w:w="0" w:type="dxa"/>
          <w:left w:w="108" w:type="dxa"/>
          <w:bottom w:w="0" w:type="dxa"/>
          <w:right w:w="108" w:type="dxa"/>
        </w:tblCellMar>
      </w:tblPr>
      <w:tblGrid>
        <w:gridCol w:w="2001"/>
        <w:gridCol w:w="1610"/>
        <w:gridCol w:w="743"/>
        <w:gridCol w:w="1610"/>
        <w:gridCol w:w="743"/>
        <w:gridCol w:w="1610"/>
        <w:gridCol w:w="743"/>
      </w:tblGrid>
      <w:tr>
        <w:tblPrEx>
          <w:tblLayout w:type="fixed"/>
          <w:tblCellMar>
            <w:top w:w="0" w:type="dxa"/>
            <w:left w:w="108" w:type="dxa"/>
            <w:bottom w:w="0" w:type="dxa"/>
            <w:right w:w="108" w:type="dxa"/>
          </w:tblCellMar>
        </w:tblPrEx>
        <w:trPr>
          <w:trHeight w:val="255" w:hRule="atLeast"/>
          <w:tblHeader/>
        </w:trPr>
        <w:tc>
          <w:tcPr>
            <w:tcW w:w="2001" w:type="dxa"/>
            <w:vMerge w:val="restart"/>
            <w:tcBorders>
              <w:top w:val="single" w:color="auto" w:sz="4" w:space="0"/>
              <w:left w:val="single" w:color="auto" w:sz="4" w:space="0"/>
              <w:right w:val="single" w:color="auto" w:sz="4" w:space="0"/>
            </w:tcBorders>
            <w:shd w:val="clear" w:color="auto" w:fill="auto"/>
            <w:vAlign w:val="center"/>
          </w:tcPr>
          <w:p>
            <w:pPr>
              <w:pStyle w:val="107"/>
            </w:pPr>
            <w:r>
              <w:rPr>
                <w:b/>
              </w:rPr>
              <w:t>下风向距离(m)</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b/>
              </w:rPr>
              <w:t>TSP</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b/>
              </w:rPr>
              <w:t>NMHC</w:t>
            </w:r>
          </w:p>
        </w:tc>
        <w:tc>
          <w:tcPr>
            <w:tcW w:w="2353"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b/>
              </w:rPr>
              <w:t>H</w:t>
            </w:r>
            <w:r>
              <w:rPr>
                <w:b/>
                <w:vertAlign w:val="subscript"/>
              </w:rPr>
              <w:t>2</w:t>
            </w:r>
            <w:r>
              <w:rPr>
                <w:b/>
              </w:rPr>
              <w:t>S</w:t>
            </w:r>
          </w:p>
        </w:tc>
      </w:tr>
      <w:tr>
        <w:tblPrEx>
          <w:tblLayout w:type="fixed"/>
          <w:tblCellMar>
            <w:top w:w="0" w:type="dxa"/>
            <w:left w:w="108" w:type="dxa"/>
            <w:bottom w:w="0" w:type="dxa"/>
            <w:right w:w="108" w:type="dxa"/>
          </w:tblCellMar>
        </w:tblPrEx>
        <w:trPr>
          <w:trHeight w:val="255" w:hRule="atLeast"/>
          <w:tblHeader/>
        </w:trPr>
        <w:tc>
          <w:tcPr>
            <w:tcW w:w="2001" w:type="dxa"/>
            <w:vMerge w:val="continue"/>
            <w:tcBorders>
              <w:left w:val="single" w:color="auto" w:sz="4" w:space="0"/>
              <w:bottom w:val="single" w:color="auto" w:sz="4" w:space="0"/>
              <w:right w:val="single" w:color="auto" w:sz="4" w:space="0"/>
            </w:tcBorders>
            <w:shd w:val="clear" w:color="auto" w:fill="auto"/>
            <w:vAlign w:val="bottom"/>
          </w:tcPr>
          <w:p>
            <w:pPr>
              <w:pStyle w:val="107"/>
            </w:pPr>
          </w:p>
        </w:tc>
        <w:tc>
          <w:tcPr>
            <w:tcW w:w="1610" w:type="dxa"/>
            <w:tcBorders>
              <w:top w:val="nil"/>
              <w:left w:val="nil"/>
              <w:bottom w:val="nil"/>
              <w:right w:val="single" w:color="auto" w:sz="4" w:space="0"/>
            </w:tcBorders>
            <w:shd w:val="clear" w:color="auto" w:fill="auto"/>
            <w:vAlign w:val="center"/>
          </w:tcPr>
          <w:p>
            <w:pPr>
              <w:pStyle w:val="107"/>
            </w:pPr>
            <w:r>
              <w:rPr>
                <w:rFonts w:hint="eastAsia"/>
                <w:b/>
              </w:rPr>
              <w:t>预测质量浓度/（</w:t>
            </w:r>
            <w:r>
              <w:rPr>
                <w:b/>
              </w:rPr>
              <w:t>μg/m</w:t>
            </w:r>
            <w:r>
              <w:rPr>
                <w:b/>
                <w:vertAlign w:val="superscript"/>
              </w:rPr>
              <w:t>3</w:t>
            </w:r>
            <w:r>
              <w:rPr>
                <w:rFonts w:hint="eastAsia"/>
                <w:b/>
              </w:rPr>
              <w:t>）</w:t>
            </w:r>
          </w:p>
        </w:tc>
        <w:tc>
          <w:tcPr>
            <w:tcW w:w="743" w:type="dxa"/>
            <w:tcBorders>
              <w:top w:val="nil"/>
              <w:left w:val="nil"/>
              <w:bottom w:val="nil"/>
              <w:right w:val="single" w:color="auto" w:sz="4" w:space="0"/>
            </w:tcBorders>
            <w:shd w:val="clear" w:color="auto" w:fill="auto"/>
            <w:vAlign w:val="center"/>
          </w:tcPr>
          <w:p>
            <w:pPr>
              <w:pStyle w:val="107"/>
            </w:pPr>
            <w:r>
              <w:rPr>
                <w:rFonts w:hint="eastAsia"/>
                <w:b/>
              </w:rPr>
              <w:t>占标率/</w:t>
            </w:r>
            <w:r>
              <w:rPr>
                <w:b/>
              </w:rPr>
              <w:t>%</w:t>
            </w:r>
          </w:p>
        </w:tc>
        <w:tc>
          <w:tcPr>
            <w:tcW w:w="1610" w:type="dxa"/>
            <w:tcBorders>
              <w:top w:val="nil"/>
              <w:left w:val="nil"/>
              <w:bottom w:val="nil"/>
              <w:right w:val="single" w:color="auto" w:sz="4" w:space="0"/>
            </w:tcBorders>
            <w:shd w:val="clear" w:color="auto" w:fill="auto"/>
            <w:vAlign w:val="center"/>
          </w:tcPr>
          <w:p>
            <w:pPr>
              <w:pStyle w:val="107"/>
            </w:pPr>
            <w:r>
              <w:rPr>
                <w:rFonts w:hint="eastAsia"/>
                <w:b/>
              </w:rPr>
              <w:t>预测质量浓度/（</w:t>
            </w:r>
            <w:r>
              <w:rPr>
                <w:b/>
              </w:rPr>
              <w:t>μg/m</w:t>
            </w:r>
            <w:r>
              <w:rPr>
                <w:b/>
                <w:vertAlign w:val="superscript"/>
              </w:rPr>
              <w:t>3</w:t>
            </w:r>
            <w:r>
              <w:rPr>
                <w:rFonts w:hint="eastAsia"/>
                <w:b/>
              </w:rPr>
              <w:t>）</w:t>
            </w:r>
          </w:p>
        </w:tc>
        <w:tc>
          <w:tcPr>
            <w:tcW w:w="743" w:type="dxa"/>
            <w:tcBorders>
              <w:top w:val="nil"/>
              <w:left w:val="nil"/>
              <w:bottom w:val="nil"/>
              <w:right w:val="single" w:color="auto" w:sz="4" w:space="0"/>
            </w:tcBorders>
            <w:shd w:val="clear" w:color="auto" w:fill="auto"/>
            <w:vAlign w:val="center"/>
          </w:tcPr>
          <w:p>
            <w:pPr>
              <w:pStyle w:val="107"/>
            </w:pPr>
            <w:r>
              <w:rPr>
                <w:rFonts w:hint="eastAsia"/>
                <w:b/>
              </w:rPr>
              <w:t>占标率/</w:t>
            </w:r>
            <w:r>
              <w:rPr>
                <w:b/>
              </w:rPr>
              <w:t>%</w:t>
            </w:r>
          </w:p>
        </w:tc>
        <w:tc>
          <w:tcPr>
            <w:tcW w:w="1610" w:type="dxa"/>
            <w:tcBorders>
              <w:top w:val="nil"/>
              <w:left w:val="nil"/>
              <w:bottom w:val="nil"/>
              <w:right w:val="single" w:color="auto" w:sz="4" w:space="0"/>
            </w:tcBorders>
            <w:shd w:val="clear" w:color="auto" w:fill="auto"/>
            <w:vAlign w:val="center"/>
          </w:tcPr>
          <w:p>
            <w:pPr>
              <w:pStyle w:val="107"/>
            </w:pPr>
            <w:r>
              <w:rPr>
                <w:rFonts w:hint="eastAsia"/>
                <w:b/>
              </w:rPr>
              <w:t>预测质量浓度/（</w:t>
            </w:r>
            <w:r>
              <w:rPr>
                <w:b/>
              </w:rPr>
              <w:t>μg/m</w:t>
            </w:r>
            <w:r>
              <w:rPr>
                <w:b/>
                <w:vertAlign w:val="superscript"/>
              </w:rPr>
              <w:t>3</w:t>
            </w:r>
            <w:r>
              <w:rPr>
                <w:rFonts w:hint="eastAsia"/>
                <w:b/>
              </w:rPr>
              <w:t>）</w:t>
            </w:r>
          </w:p>
        </w:tc>
        <w:tc>
          <w:tcPr>
            <w:tcW w:w="743" w:type="dxa"/>
            <w:tcBorders>
              <w:top w:val="nil"/>
              <w:left w:val="nil"/>
              <w:bottom w:val="nil"/>
              <w:right w:val="single" w:color="auto" w:sz="4" w:space="0"/>
            </w:tcBorders>
            <w:shd w:val="clear" w:color="auto" w:fill="auto"/>
            <w:vAlign w:val="center"/>
          </w:tcPr>
          <w:p>
            <w:pPr>
              <w:pStyle w:val="107"/>
            </w:pPr>
            <w:r>
              <w:rPr>
                <w:rFonts w:hint="eastAsia"/>
                <w:b/>
              </w:rPr>
              <w:t>占标率/</w:t>
            </w:r>
            <w:r>
              <w:rPr>
                <w:b/>
              </w:rPr>
              <w:t>%</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25</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pPr>
            <w:r>
              <w:t>60.42</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6.71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pPr>
            <w:r>
              <w:t>16.93</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0.85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pPr>
            <w:r>
              <w:t>0.3400</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3.40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50</w:t>
            </w:r>
          </w:p>
        </w:tc>
        <w:tc>
          <w:tcPr>
            <w:tcW w:w="1610" w:type="dxa"/>
            <w:tcBorders>
              <w:top w:val="nil"/>
              <w:left w:val="nil"/>
              <w:bottom w:val="single" w:color="auto" w:sz="4" w:space="0"/>
              <w:right w:val="single" w:color="auto" w:sz="4" w:space="0"/>
            </w:tcBorders>
            <w:shd w:val="clear" w:color="auto" w:fill="auto"/>
            <w:vAlign w:val="bottom"/>
          </w:tcPr>
          <w:p>
            <w:pPr>
              <w:pStyle w:val="107"/>
            </w:pPr>
            <w:r>
              <w:t>45.23</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5.03 </w:t>
            </w:r>
          </w:p>
        </w:tc>
        <w:tc>
          <w:tcPr>
            <w:tcW w:w="1610" w:type="dxa"/>
            <w:tcBorders>
              <w:top w:val="nil"/>
              <w:left w:val="nil"/>
              <w:bottom w:val="single" w:color="auto" w:sz="4" w:space="0"/>
              <w:right w:val="single" w:color="auto" w:sz="4" w:space="0"/>
            </w:tcBorders>
            <w:shd w:val="clear" w:color="auto" w:fill="auto"/>
            <w:vAlign w:val="bottom"/>
          </w:tcPr>
          <w:p>
            <w:pPr>
              <w:pStyle w:val="107"/>
            </w:pPr>
            <w:r>
              <w:t>12.67</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0.63 </w:t>
            </w:r>
          </w:p>
        </w:tc>
        <w:tc>
          <w:tcPr>
            <w:tcW w:w="1610" w:type="dxa"/>
            <w:tcBorders>
              <w:top w:val="nil"/>
              <w:left w:val="nil"/>
              <w:bottom w:val="single" w:color="auto" w:sz="4" w:space="0"/>
              <w:right w:val="single" w:color="auto" w:sz="4" w:space="0"/>
            </w:tcBorders>
            <w:shd w:val="clear" w:color="auto" w:fill="auto"/>
            <w:vAlign w:val="bottom"/>
          </w:tcPr>
          <w:p>
            <w:pPr>
              <w:pStyle w:val="107"/>
            </w:pPr>
            <w:r>
              <w:t>0.2545</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2.55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75</w:t>
            </w:r>
          </w:p>
        </w:tc>
        <w:tc>
          <w:tcPr>
            <w:tcW w:w="1610" w:type="dxa"/>
            <w:tcBorders>
              <w:top w:val="nil"/>
              <w:left w:val="nil"/>
              <w:bottom w:val="single" w:color="auto" w:sz="4" w:space="0"/>
              <w:right w:val="single" w:color="auto" w:sz="4" w:space="0"/>
            </w:tcBorders>
            <w:shd w:val="clear" w:color="auto" w:fill="auto"/>
            <w:vAlign w:val="bottom"/>
          </w:tcPr>
          <w:p>
            <w:pPr>
              <w:pStyle w:val="107"/>
            </w:pPr>
            <w:r>
              <w:t>39.77</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4.42 </w:t>
            </w:r>
          </w:p>
        </w:tc>
        <w:tc>
          <w:tcPr>
            <w:tcW w:w="1610" w:type="dxa"/>
            <w:tcBorders>
              <w:top w:val="nil"/>
              <w:left w:val="nil"/>
              <w:bottom w:val="single" w:color="auto" w:sz="4" w:space="0"/>
              <w:right w:val="single" w:color="auto" w:sz="4" w:space="0"/>
            </w:tcBorders>
            <w:shd w:val="clear" w:color="auto" w:fill="auto"/>
            <w:vAlign w:val="bottom"/>
          </w:tcPr>
          <w:p>
            <w:pPr>
              <w:pStyle w:val="107"/>
            </w:pPr>
            <w:r>
              <w:t>11.14</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0.56 </w:t>
            </w:r>
          </w:p>
        </w:tc>
        <w:tc>
          <w:tcPr>
            <w:tcW w:w="1610" w:type="dxa"/>
            <w:tcBorders>
              <w:top w:val="nil"/>
              <w:left w:val="nil"/>
              <w:bottom w:val="single" w:color="auto" w:sz="4" w:space="0"/>
              <w:right w:val="single" w:color="auto" w:sz="4" w:space="0"/>
            </w:tcBorders>
            <w:shd w:val="clear" w:color="auto" w:fill="auto"/>
            <w:vAlign w:val="bottom"/>
          </w:tcPr>
          <w:p>
            <w:pPr>
              <w:pStyle w:val="107"/>
            </w:pPr>
            <w:r>
              <w:t>0.2238</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2.24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pPr>
            <w:r>
              <w:t>36.13</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4.01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pPr>
            <w:r>
              <w:t>10.12</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0.51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pPr>
            <w:r>
              <w:t>0.2033</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2.03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200</w:t>
            </w:r>
          </w:p>
        </w:tc>
        <w:tc>
          <w:tcPr>
            <w:tcW w:w="1610" w:type="dxa"/>
            <w:tcBorders>
              <w:top w:val="nil"/>
              <w:left w:val="nil"/>
              <w:bottom w:val="single" w:color="auto" w:sz="4" w:space="0"/>
              <w:right w:val="single" w:color="auto" w:sz="4" w:space="0"/>
            </w:tcBorders>
            <w:shd w:val="clear" w:color="auto" w:fill="auto"/>
            <w:vAlign w:val="bottom"/>
          </w:tcPr>
          <w:p>
            <w:pPr>
              <w:pStyle w:val="107"/>
            </w:pPr>
            <w:r>
              <w:t>25.93</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2.88 </w:t>
            </w:r>
          </w:p>
        </w:tc>
        <w:tc>
          <w:tcPr>
            <w:tcW w:w="1610" w:type="dxa"/>
            <w:tcBorders>
              <w:top w:val="nil"/>
              <w:left w:val="nil"/>
              <w:bottom w:val="single" w:color="auto" w:sz="4" w:space="0"/>
              <w:right w:val="single" w:color="auto" w:sz="4" w:space="0"/>
            </w:tcBorders>
            <w:shd w:val="clear" w:color="auto" w:fill="auto"/>
            <w:vAlign w:val="bottom"/>
          </w:tcPr>
          <w:p>
            <w:pPr>
              <w:pStyle w:val="107"/>
            </w:pPr>
            <w:r>
              <w:t>7.265</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0.36 </w:t>
            </w:r>
          </w:p>
        </w:tc>
        <w:tc>
          <w:tcPr>
            <w:tcW w:w="1610" w:type="dxa"/>
            <w:tcBorders>
              <w:top w:val="nil"/>
              <w:left w:val="nil"/>
              <w:bottom w:val="single" w:color="auto" w:sz="4" w:space="0"/>
              <w:right w:val="single" w:color="auto" w:sz="4" w:space="0"/>
            </w:tcBorders>
            <w:shd w:val="clear" w:color="auto" w:fill="auto"/>
            <w:vAlign w:val="bottom"/>
          </w:tcPr>
          <w:p>
            <w:pPr>
              <w:pStyle w:val="107"/>
            </w:pPr>
            <w:r>
              <w:t>0.1459</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1.46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300</w:t>
            </w:r>
          </w:p>
        </w:tc>
        <w:tc>
          <w:tcPr>
            <w:tcW w:w="1610" w:type="dxa"/>
            <w:tcBorders>
              <w:top w:val="nil"/>
              <w:left w:val="nil"/>
              <w:bottom w:val="single" w:color="auto" w:sz="4" w:space="0"/>
              <w:right w:val="single" w:color="auto" w:sz="4" w:space="0"/>
            </w:tcBorders>
            <w:shd w:val="clear" w:color="auto" w:fill="auto"/>
            <w:vAlign w:val="bottom"/>
          </w:tcPr>
          <w:p>
            <w:pPr>
              <w:pStyle w:val="107"/>
            </w:pPr>
            <w:r>
              <w:t>19.94</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2.22 </w:t>
            </w:r>
          </w:p>
        </w:tc>
        <w:tc>
          <w:tcPr>
            <w:tcW w:w="1610" w:type="dxa"/>
            <w:tcBorders>
              <w:top w:val="nil"/>
              <w:left w:val="nil"/>
              <w:bottom w:val="single" w:color="auto" w:sz="4" w:space="0"/>
              <w:right w:val="single" w:color="auto" w:sz="4" w:space="0"/>
            </w:tcBorders>
            <w:shd w:val="clear" w:color="auto" w:fill="auto"/>
            <w:vAlign w:val="bottom"/>
          </w:tcPr>
          <w:p>
            <w:pPr>
              <w:pStyle w:val="107"/>
            </w:pPr>
            <w:r>
              <w:t>5.586</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0.28 </w:t>
            </w:r>
          </w:p>
        </w:tc>
        <w:tc>
          <w:tcPr>
            <w:tcW w:w="1610" w:type="dxa"/>
            <w:tcBorders>
              <w:top w:val="nil"/>
              <w:left w:val="nil"/>
              <w:bottom w:val="single" w:color="auto" w:sz="4" w:space="0"/>
              <w:right w:val="single" w:color="auto" w:sz="4" w:space="0"/>
            </w:tcBorders>
            <w:shd w:val="clear" w:color="auto" w:fill="auto"/>
            <w:vAlign w:val="bottom"/>
          </w:tcPr>
          <w:p>
            <w:pPr>
              <w:pStyle w:val="107"/>
            </w:pPr>
            <w:r>
              <w:t>0.1122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1.12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400</w:t>
            </w:r>
          </w:p>
        </w:tc>
        <w:tc>
          <w:tcPr>
            <w:tcW w:w="1610" w:type="dxa"/>
            <w:tcBorders>
              <w:top w:val="nil"/>
              <w:left w:val="nil"/>
              <w:bottom w:val="single" w:color="auto" w:sz="4" w:space="0"/>
              <w:right w:val="single" w:color="auto" w:sz="4" w:space="0"/>
            </w:tcBorders>
            <w:shd w:val="clear" w:color="auto" w:fill="auto"/>
            <w:vAlign w:val="bottom"/>
          </w:tcPr>
          <w:p>
            <w:pPr>
              <w:pStyle w:val="107"/>
            </w:pPr>
            <w:r>
              <w:t>16.02</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1.78 </w:t>
            </w:r>
          </w:p>
        </w:tc>
        <w:tc>
          <w:tcPr>
            <w:tcW w:w="1610" w:type="dxa"/>
            <w:tcBorders>
              <w:top w:val="nil"/>
              <w:left w:val="nil"/>
              <w:bottom w:val="single" w:color="auto" w:sz="4" w:space="0"/>
              <w:right w:val="single" w:color="auto" w:sz="4" w:space="0"/>
            </w:tcBorders>
            <w:shd w:val="clear" w:color="auto" w:fill="auto"/>
            <w:vAlign w:val="bottom"/>
          </w:tcPr>
          <w:p>
            <w:pPr>
              <w:pStyle w:val="107"/>
            </w:pPr>
            <w:r>
              <w:t>4.490</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0.22 </w:t>
            </w:r>
          </w:p>
        </w:tc>
        <w:tc>
          <w:tcPr>
            <w:tcW w:w="1610" w:type="dxa"/>
            <w:tcBorders>
              <w:top w:val="nil"/>
              <w:left w:val="nil"/>
              <w:bottom w:val="single" w:color="auto" w:sz="4" w:space="0"/>
              <w:right w:val="single" w:color="auto" w:sz="4" w:space="0"/>
            </w:tcBorders>
            <w:shd w:val="clear" w:color="auto" w:fill="auto"/>
            <w:vAlign w:val="bottom"/>
          </w:tcPr>
          <w:p>
            <w:pPr>
              <w:pStyle w:val="107"/>
            </w:pPr>
            <w:r>
              <w:t>0.9018E-01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0.90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500</w:t>
            </w:r>
          </w:p>
        </w:tc>
        <w:tc>
          <w:tcPr>
            <w:tcW w:w="1610" w:type="dxa"/>
            <w:tcBorders>
              <w:top w:val="nil"/>
              <w:left w:val="nil"/>
              <w:bottom w:val="single" w:color="auto" w:sz="4" w:space="0"/>
              <w:right w:val="single" w:color="auto" w:sz="4" w:space="0"/>
            </w:tcBorders>
            <w:shd w:val="clear" w:color="auto" w:fill="auto"/>
            <w:vAlign w:val="bottom"/>
          </w:tcPr>
          <w:p>
            <w:pPr>
              <w:pStyle w:val="107"/>
            </w:pPr>
            <w:r>
              <w:t>13.48</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1.50 </w:t>
            </w:r>
          </w:p>
        </w:tc>
        <w:tc>
          <w:tcPr>
            <w:tcW w:w="1610" w:type="dxa"/>
            <w:tcBorders>
              <w:top w:val="nil"/>
              <w:left w:val="nil"/>
              <w:bottom w:val="single" w:color="auto" w:sz="4" w:space="0"/>
              <w:right w:val="single" w:color="auto" w:sz="4" w:space="0"/>
            </w:tcBorders>
            <w:shd w:val="clear" w:color="auto" w:fill="auto"/>
            <w:vAlign w:val="bottom"/>
          </w:tcPr>
          <w:p>
            <w:pPr>
              <w:pStyle w:val="107"/>
            </w:pPr>
            <w:r>
              <w:t>3.776</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0.19 </w:t>
            </w:r>
          </w:p>
        </w:tc>
        <w:tc>
          <w:tcPr>
            <w:tcW w:w="1610" w:type="dxa"/>
            <w:tcBorders>
              <w:top w:val="nil"/>
              <w:left w:val="nil"/>
              <w:bottom w:val="single" w:color="auto" w:sz="4" w:space="0"/>
              <w:right w:val="single" w:color="auto" w:sz="4" w:space="0"/>
            </w:tcBorders>
            <w:shd w:val="clear" w:color="auto" w:fill="auto"/>
            <w:vAlign w:val="bottom"/>
          </w:tcPr>
          <w:p>
            <w:pPr>
              <w:pStyle w:val="107"/>
            </w:pPr>
            <w:r>
              <w:t>0.7585E-01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0.76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600</w:t>
            </w:r>
          </w:p>
        </w:tc>
        <w:tc>
          <w:tcPr>
            <w:tcW w:w="1610" w:type="dxa"/>
            <w:tcBorders>
              <w:top w:val="nil"/>
              <w:left w:val="nil"/>
              <w:bottom w:val="single" w:color="auto" w:sz="4" w:space="0"/>
              <w:right w:val="single" w:color="auto" w:sz="4" w:space="0"/>
            </w:tcBorders>
            <w:shd w:val="clear" w:color="auto" w:fill="auto"/>
            <w:vAlign w:val="bottom"/>
          </w:tcPr>
          <w:p>
            <w:pPr>
              <w:pStyle w:val="107"/>
            </w:pPr>
            <w:r>
              <w:t>11.59</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1.29 </w:t>
            </w:r>
          </w:p>
        </w:tc>
        <w:tc>
          <w:tcPr>
            <w:tcW w:w="1610" w:type="dxa"/>
            <w:tcBorders>
              <w:top w:val="nil"/>
              <w:left w:val="nil"/>
              <w:bottom w:val="single" w:color="auto" w:sz="4" w:space="0"/>
              <w:right w:val="single" w:color="auto" w:sz="4" w:space="0"/>
            </w:tcBorders>
            <w:shd w:val="clear" w:color="auto" w:fill="auto"/>
            <w:vAlign w:val="bottom"/>
          </w:tcPr>
          <w:p>
            <w:pPr>
              <w:pStyle w:val="107"/>
            </w:pPr>
            <w:r>
              <w:t>3.248</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0.16 </w:t>
            </w:r>
          </w:p>
        </w:tc>
        <w:tc>
          <w:tcPr>
            <w:tcW w:w="1610" w:type="dxa"/>
            <w:tcBorders>
              <w:top w:val="nil"/>
              <w:left w:val="nil"/>
              <w:bottom w:val="single" w:color="auto" w:sz="4" w:space="0"/>
              <w:right w:val="single" w:color="auto" w:sz="4" w:space="0"/>
            </w:tcBorders>
            <w:shd w:val="clear" w:color="auto" w:fill="auto"/>
            <w:vAlign w:val="bottom"/>
          </w:tcPr>
          <w:p>
            <w:pPr>
              <w:pStyle w:val="107"/>
            </w:pPr>
            <w:r>
              <w:t>0.6524E-01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0.65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700</w:t>
            </w:r>
          </w:p>
        </w:tc>
        <w:tc>
          <w:tcPr>
            <w:tcW w:w="1610" w:type="dxa"/>
            <w:tcBorders>
              <w:top w:val="nil"/>
              <w:left w:val="nil"/>
              <w:bottom w:val="single" w:color="auto" w:sz="4" w:space="0"/>
              <w:right w:val="single" w:color="auto" w:sz="4" w:space="0"/>
            </w:tcBorders>
            <w:shd w:val="clear" w:color="auto" w:fill="auto"/>
            <w:vAlign w:val="bottom"/>
          </w:tcPr>
          <w:p>
            <w:pPr>
              <w:pStyle w:val="107"/>
            </w:pPr>
            <w:r>
              <w:t>10.26</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1.14 </w:t>
            </w:r>
          </w:p>
        </w:tc>
        <w:tc>
          <w:tcPr>
            <w:tcW w:w="1610" w:type="dxa"/>
            <w:tcBorders>
              <w:top w:val="nil"/>
              <w:left w:val="nil"/>
              <w:bottom w:val="single" w:color="auto" w:sz="4" w:space="0"/>
              <w:right w:val="single" w:color="auto" w:sz="4" w:space="0"/>
            </w:tcBorders>
            <w:shd w:val="clear" w:color="auto" w:fill="auto"/>
            <w:vAlign w:val="bottom"/>
          </w:tcPr>
          <w:p>
            <w:pPr>
              <w:pStyle w:val="107"/>
            </w:pPr>
            <w:r>
              <w:t>2.874</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0.14 </w:t>
            </w:r>
          </w:p>
        </w:tc>
        <w:tc>
          <w:tcPr>
            <w:tcW w:w="1610" w:type="dxa"/>
            <w:tcBorders>
              <w:top w:val="nil"/>
              <w:left w:val="nil"/>
              <w:bottom w:val="single" w:color="auto" w:sz="4" w:space="0"/>
              <w:right w:val="single" w:color="auto" w:sz="4" w:space="0"/>
            </w:tcBorders>
            <w:shd w:val="clear" w:color="auto" w:fill="auto"/>
            <w:vAlign w:val="bottom"/>
          </w:tcPr>
          <w:p>
            <w:pPr>
              <w:pStyle w:val="107"/>
            </w:pPr>
            <w:r>
              <w:t>0.5773E-01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0.58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800</w:t>
            </w:r>
          </w:p>
        </w:tc>
        <w:tc>
          <w:tcPr>
            <w:tcW w:w="1610" w:type="dxa"/>
            <w:tcBorders>
              <w:top w:val="nil"/>
              <w:left w:val="nil"/>
              <w:bottom w:val="single" w:color="auto" w:sz="4" w:space="0"/>
              <w:right w:val="single" w:color="auto" w:sz="4" w:space="0"/>
            </w:tcBorders>
            <w:shd w:val="clear" w:color="auto" w:fill="auto"/>
            <w:vAlign w:val="bottom"/>
          </w:tcPr>
          <w:p>
            <w:pPr>
              <w:pStyle w:val="107"/>
            </w:pPr>
            <w:r>
              <w:t>9.346</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1.04 </w:t>
            </w:r>
          </w:p>
        </w:tc>
        <w:tc>
          <w:tcPr>
            <w:tcW w:w="1610" w:type="dxa"/>
            <w:tcBorders>
              <w:top w:val="nil"/>
              <w:left w:val="nil"/>
              <w:bottom w:val="single" w:color="auto" w:sz="4" w:space="0"/>
              <w:right w:val="single" w:color="auto" w:sz="4" w:space="0"/>
            </w:tcBorders>
            <w:shd w:val="clear" w:color="auto" w:fill="auto"/>
            <w:vAlign w:val="bottom"/>
          </w:tcPr>
          <w:p>
            <w:pPr>
              <w:pStyle w:val="107"/>
            </w:pPr>
            <w:r>
              <w:t>2.618</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0.13 </w:t>
            </w:r>
          </w:p>
        </w:tc>
        <w:tc>
          <w:tcPr>
            <w:tcW w:w="1610" w:type="dxa"/>
            <w:tcBorders>
              <w:top w:val="nil"/>
              <w:left w:val="nil"/>
              <w:bottom w:val="single" w:color="auto" w:sz="4" w:space="0"/>
              <w:right w:val="single" w:color="auto" w:sz="4" w:space="0"/>
            </w:tcBorders>
            <w:shd w:val="clear" w:color="auto" w:fill="auto"/>
            <w:vAlign w:val="bottom"/>
          </w:tcPr>
          <w:p>
            <w:pPr>
              <w:pStyle w:val="107"/>
            </w:pPr>
            <w:r>
              <w:t>0.5260E-01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0.53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900</w:t>
            </w:r>
          </w:p>
        </w:tc>
        <w:tc>
          <w:tcPr>
            <w:tcW w:w="1610" w:type="dxa"/>
            <w:tcBorders>
              <w:top w:val="nil"/>
              <w:left w:val="nil"/>
              <w:bottom w:val="single" w:color="auto" w:sz="4" w:space="0"/>
              <w:right w:val="single" w:color="auto" w:sz="4" w:space="0"/>
            </w:tcBorders>
            <w:shd w:val="clear" w:color="auto" w:fill="auto"/>
            <w:vAlign w:val="bottom"/>
          </w:tcPr>
          <w:p>
            <w:pPr>
              <w:pStyle w:val="107"/>
            </w:pPr>
            <w:r>
              <w:t>8.571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0.95 </w:t>
            </w:r>
          </w:p>
        </w:tc>
        <w:tc>
          <w:tcPr>
            <w:tcW w:w="1610" w:type="dxa"/>
            <w:tcBorders>
              <w:top w:val="nil"/>
              <w:left w:val="nil"/>
              <w:bottom w:val="single" w:color="auto" w:sz="4" w:space="0"/>
              <w:right w:val="single" w:color="auto" w:sz="4" w:space="0"/>
            </w:tcBorders>
            <w:shd w:val="clear" w:color="auto" w:fill="auto"/>
            <w:vAlign w:val="bottom"/>
          </w:tcPr>
          <w:p>
            <w:pPr>
              <w:pStyle w:val="107"/>
            </w:pPr>
            <w:r>
              <w:t>2.401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0.12 </w:t>
            </w:r>
          </w:p>
        </w:tc>
        <w:tc>
          <w:tcPr>
            <w:tcW w:w="1610" w:type="dxa"/>
            <w:tcBorders>
              <w:top w:val="nil"/>
              <w:left w:val="nil"/>
              <w:bottom w:val="single" w:color="auto" w:sz="4" w:space="0"/>
              <w:right w:val="single" w:color="auto" w:sz="4" w:space="0"/>
            </w:tcBorders>
            <w:shd w:val="clear" w:color="auto" w:fill="auto"/>
            <w:vAlign w:val="bottom"/>
          </w:tcPr>
          <w:p>
            <w:pPr>
              <w:pStyle w:val="107"/>
            </w:pPr>
            <w:r>
              <w:t>0.4823E-01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0.48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1000</w:t>
            </w:r>
          </w:p>
        </w:tc>
        <w:tc>
          <w:tcPr>
            <w:tcW w:w="1610" w:type="dxa"/>
            <w:tcBorders>
              <w:top w:val="nil"/>
              <w:left w:val="nil"/>
              <w:bottom w:val="single" w:color="auto" w:sz="4" w:space="0"/>
              <w:right w:val="single" w:color="auto" w:sz="4" w:space="0"/>
            </w:tcBorders>
            <w:shd w:val="clear" w:color="auto" w:fill="auto"/>
            <w:vAlign w:val="bottom"/>
          </w:tcPr>
          <w:p>
            <w:pPr>
              <w:pStyle w:val="107"/>
            </w:pPr>
            <w:r>
              <w:t>7.904</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0.88 </w:t>
            </w:r>
          </w:p>
        </w:tc>
        <w:tc>
          <w:tcPr>
            <w:tcW w:w="1610" w:type="dxa"/>
            <w:tcBorders>
              <w:top w:val="nil"/>
              <w:left w:val="nil"/>
              <w:bottom w:val="single" w:color="auto" w:sz="4" w:space="0"/>
              <w:right w:val="single" w:color="auto" w:sz="4" w:space="0"/>
            </w:tcBorders>
            <w:shd w:val="clear" w:color="auto" w:fill="auto"/>
            <w:vAlign w:val="bottom"/>
          </w:tcPr>
          <w:p>
            <w:pPr>
              <w:pStyle w:val="107"/>
            </w:pPr>
            <w:r>
              <w:t>2.214</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0.11 </w:t>
            </w:r>
          </w:p>
        </w:tc>
        <w:tc>
          <w:tcPr>
            <w:tcW w:w="1610" w:type="dxa"/>
            <w:tcBorders>
              <w:top w:val="nil"/>
              <w:left w:val="nil"/>
              <w:bottom w:val="single" w:color="auto" w:sz="4" w:space="0"/>
              <w:right w:val="single" w:color="auto" w:sz="4" w:space="0"/>
            </w:tcBorders>
            <w:shd w:val="clear" w:color="auto" w:fill="auto"/>
            <w:vAlign w:val="bottom"/>
          </w:tcPr>
          <w:p>
            <w:pPr>
              <w:pStyle w:val="107"/>
            </w:pPr>
            <w:r>
              <w:t>0.4448E-01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0.44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1100</w:t>
            </w:r>
          </w:p>
        </w:tc>
        <w:tc>
          <w:tcPr>
            <w:tcW w:w="1610" w:type="dxa"/>
            <w:tcBorders>
              <w:top w:val="nil"/>
              <w:left w:val="nil"/>
              <w:bottom w:val="single" w:color="auto" w:sz="4" w:space="0"/>
              <w:right w:val="single" w:color="auto" w:sz="4" w:space="0"/>
            </w:tcBorders>
            <w:shd w:val="clear" w:color="auto" w:fill="auto"/>
            <w:vAlign w:val="bottom"/>
          </w:tcPr>
          <w:p>
            <w:pPr>
              <w:pStyle w:val="107"/>
            </w:pPr>
            <w:r>
              <w:t>7.341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0.82 </w:t>
            </w:r>
          </w:p>
        </w:tc>
        <w:tc>
          <w:tcPr>
            <w:tcW w:w="1610" w:type="dxa"/>
            <w:tcBorders>
              <w:top w:val="nil"/>
              <w:left w:val="nil"/>
              <w:bottom w:val="single" w:color="auto" w:sz="4" w:space="0"/>
              <w:right w:val="single" w:color="auto" w:sz="4" w:space="0"/>
            </w:tcBorders>
            <w:shd w:val="clear" w:color="auto" w:fill="auto"/>
            <w:vAlign w:val="bottom"/>
          </w:tcPr>
          <w:p>
            <w:pPr>
              <w:pStyle w:val="107"/>
            </w:pPr>
            <w:r>
              <w:t>2.057</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0.10 </w:t>
            </w:r>
          </w:p>
        </w:tc>
        <w:tc>
          <w:tcPr>
            <w:tcW w:w="1610" w:type="dxa"/>
            <w:tcBorders>
              <w:top w:val="nil"/>
              <w:left w:val="nil"/>
              <w:bottom w:val="single" w:color="auto" w:sz="4" w:space="0"/>
              <w:right w:val="single" w:color="auto" w:sz="4" w:space="0"/>
            </w:tcBorders>
            <w:shd w:val="clear" w:color="auto" w:fill="auto"/>
            <w:vAlign w:val="bottom"/>
          </w:tcPr>
          <w:p>
            <w:pPr>
              <w:pStyle w:val="107"/>
            </w:pPr>
            <w:r>
              <w:t>0.4131E-01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1200</w:t>
            </w:r>
          </w:p>
        </w:tc>
        <w:tc>
          <w:tcPr>
            <w:tcW w:w="1610" w:type="dxa"/>
            <w:tcBorders>
              <w:top w:val="nil"/>
              <w:left w:val="nil"/>
              <w:bottom w:val="single" w:color="auto" w:sz="4" w:space="0"/>
              <w:right w:val="single" w:color="auto" w:sz="4" w:space="0"/>
            </w:tcBorders>
            <w:shd w:val="clear" w:color="auto" w:fill="auto"/>
            <w:vAlign w:val="bottom"/>
          </w:tcPr>
          <w:p>
            <w:pPr>
              <w:pStyle w:val="107"/>
            </w:pPr>
            <w:r>
              <w:t>6.853</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0.76 </w:t>
            </w:r>
          </w:p>
        </w:tc>
        <w:tc>
          <w:tcPr>
            <w:tcW w:w="1610" w:type="dxa"/>
            <w:tcBorders>
              <w:top w:val="nil"/>
              <w:left w:val="nil"/>
              <w:bottom w:val="single" w:color="auto" w:sz="4" w:space="0"/>
              <w:right w:val="single" w:color="auto" w:sz="4" w:space="0"/>
            </w:tcBorders>
            <w:shd w:val="clear" w:color="auto" w:fill="auto"/>
            <w:vAlign w:val="bottom"/>
          </w:tcPr>
          <w:p>
            <w:pPr>
              <w:pStyle w:val="107"/>
            </w:pPr>
            <w:r>
              <w:t>1.920</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0.10 </w:t>
            </w:r>
          </w:p>
        </w:tc>
        <w:tc>
          <w:tcPr>
            <w:tcW w:w="1610" w:type="dxa"/>
            <w:tcBorders>
              <w:top w:val="nil"/>
              <w:left w:val="nil"/>
              <w:bottom w:val="single" w:color="auto" w:sz="4" w:space="0"/>
              <w:right w:val="single" w:color="auto" w:sz="4" w:space="0"/>
            </w:tcBorders>
            <w:shd w:val="clear" w:color="auto" w:fill="auto"/>
            <w:vAlign w:val="bottom"/>
          </w:tcPr>
          <w:p>
            <w:pPr>
              <w:pStyle w:val="107"/>
            </w:pPr>
            <w:r>
              <w:t>0.3856E-01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0.39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1300</w:t>
            </w:r>
          </w:p>
        </w:tc>
        <w:tc>
          <w:tcPr>
            <w:tcW w:w="1610" w:type="dxa"/>
            <w:tcBorders>
              <w:top w:val="nil"/>
              <w:left w:val="nil"/>
              <w:bottom w:val="single" w:color="auto" w:sz="4" w:space="0"/>
              <w:right w:val="single" w:color="auto" w:sz="4" w:space="0"/>
            </w:tcBorders>
            <w:shd w:val="clear" w:color="auto" w:fill="auto"/>
            <w:vAlign w:val="bottom"/>
          </w:tcPr>
          <w:p>
            <w:pPr>
              <w:pStyle w:val="107"/>
            </w:pPr>
            <w:r>
              <w:t>6.420</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0.71 </w:t>
            </w:r>
          </w:p>
        </w:tc>
        <w:tc>
          <w:tcPr>
            <w:tcW w:w="1610" w:type="dxa"/>
            <w:tcBorders>
              <w:top w:val="nil"/>
              <w:left w:val="nil"/>
              <w:bottom w:val="single" w:color="auto" w:sz="4" w:space="0"/>
              <w:right w:val="single" w:color="auto" w:sz="4" w:space="0"/>
            </w:tcBorders>
            <w:shd w:val="clear" w:color="auto" w:fill="auto"/>
            <w:vAlign w:val="bottom"/>
          </w:tcPr>
          <w:p>
            <w:pPr>
              <w:pStyle w:val="107"/>
            </w:pPr>
            <w:r>
              <w:t>1.799</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0.09 </w:t>
            </w:r>
          </w:p>
        </w:tc>
        <w:tc>
          <w:tcPr>
            <w:tcW w:w="1610" w:type="dxa"/>
            <w:tcBorders>
              <w:top w:val="nil"/>
              <w:left w:val="nil"/>
              <w:bottom w:val="single" w:color="auto" w:sz="4" w:space="0"/>
              <w:right w:val="single" w:color="auto" w:sz="4" w:space="0"/>
            </w:tcBorders>
            <w:shd w:val="clear" w:color="auto" w:fill="auto"/>
            <w:vAlign w:val="bottom"/>
          </w:tcPr>
          <w:p>
            <w:pPr>
              <w:pStyle w:val="107"/>
            </w:pPr>
            <w:r>
              <w:t>0.3613E-01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0.36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1400</w:t>
            </w:r>
          </w:p>
        </w:tc>
        <w:tc>
          <w:tcPr>
            <w:tcW w:w="1610" w:type="dxa"/>
            <w:tcBorders>
              <w:top w:val="nil"/>
              <w:left w:val="nil"/>
              <w:bottom w:val="single" w:color="auto" w:sz="4" w:space="0"/>
              <w:right w:val="single" w:color="auto" w:sz="4" w:space="0"/>
            </w:tcBorders>
            <w:shd w:val="clear" w:color="auto" w:fill="auto"/>
            <w:vAlign w:val="bottom"/>
          </w:tcPr>
          <w:p>
            <w:pPr>
              <w:pStyle w:val="107"/>
            </w:pPr>
            <w:r>
              <w:t>6.034</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0.67 </w:t>
            </w:r>
          </w:p>
        </w:tc>
        <w:tc>
          <w:tcPr>
            <w:tcW w:w="1610" w:type="dxa"/>
            <w:tcBorders>
              <w:top w:val="nil"/>
              <w:left w:val="nil"/>
              <w:bottom w:val="single" w:color="auto" w:sz="4" w:space="0"/>
              <w:right w:val="single" w:color="auto" w:sz="4" w:space="0"/>
            </w:tcBorders>
            <w:shd w:val="clear" w:color="auto" w:fill="auto"/>
            <w:vAlign w:val="bottom"/>
          </w:tcPr>
          <w:p>
            <w:pPr>
              <w:pStyle w:val="107"/>
            </w:pPr>
            <w:r>
              <w:t>1.691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0.08 </w:t>
            </w:r>
          </w:p>
        </w:tc>
        <w:tc>
          <w:tcPr>
            <w:tcW w:w="1610" w:type="dxa"/>
            <w:tcBorders>
              <w:top w:val="nil"/>
              <w:left w:val="nil"/>
              <w:bottom w:val="single" w:color="auto" w:sz="4" w:space="0"/>
              <w:right w:val="single" w:color="auto" w:sz="4" w:space="0"/>
            </w:tcBorders>
            <w:shd w:val="clear" w:color="auto" w:fill="auto"/>
            <w:vAlign w:val="bottom"/>
          </w:tcPr>
          <w:p>
            <w:pPr>
              <w:pStyle w:val="107"/>
            </w:pPr>
            <w:r>
              <w:t>0.3396E-01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0.34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1500</w:t>
            </w:r>
          </w:p>
        </w:tc>
        <w:tc>
          <w:tcPr>
            <w:tcW w:w="1610" w:type="dxa"/>
            <w:tcBorders>
              <w:top w:val="nil"/>
              <w:left w:val="nil"/>
              <w:bottom w:val="single" w:color="auto" w:sz="4" w:space="0"/>
              <w:right w:val="single" w:color="auto" w:sz="4" w:space="0"/>
            </w:tcBorders>
            <w:shd w:val="clear" w:color="auto" w:fill="auto"/>
            <w:vAlign w:val="bottom"/>
          </w:tcPr>
          <w:p>
            <w:pPr>
              <w:pStyle w:val="107"/>
            </w:pPr>
            <w:r>
              <w:t>5.689</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0.63 </w:t>
            </w:r>
          </w:p>
        </w:tc>
        <w:tc>
          <w:tcPr>
            <w:tcW w:w="1610" w:type="dxa"/>
            <w:tcBorders>
              <w:top w:val="nil"/>
              <w:left w:val="nil"/>
              <w:bottom w:val="single" w:color="auto" w:sz="4" w:space="0"/>
              <w:right w:val="single" w:color="auto" w:sz="4" w:space="0"/>
            </w:tcBorders>
            <w:shd w:val="clear" w:color="auto" w:fill="auto"/>
            <w:vAlign w:val="bottom"/>
          </w:tcPr>
          <w:p>
            <w:pPr>
              <w:pStyle w:val="107"/>
            </w:pPr>
            <w:r>
              <w:t>1.594</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0.08 </w:t>
            </w:r>
          </w:p>
        </w:tc>
        <w:tc>
          <w:tcPr>
            <w:tcW w:w="1610" w:type="dxa"/>
            <w:tcBorders>
              <w:top w:val="nil"/>
              <w:left w:val="nil"/>
              <w:bottom w:val="single" w:color="auto" w:sz="4" w:space="0"/>
              <w:right w:val="single" w:color="auto" w:sz="4" w:space="0"/>
            </w:tcBorders>
            <w:shd w:val="clear" w:color="auto" w:fill="auto"/>
            <w:vAlign w:val="bottom"/>
          </w:tcPr>
          <w:p>
            <w:pPr>
              <w:pStyle w:val="107"/>
            </w:pPr>
            <w:r>
              <w:t>0.3201E-01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0.32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1600</w:t>
            </w:r>
          </w:p>
        </w:tc>
        <w:tc>
          <w:tcPr>
            <w:tcW w:w="1610" w:type="dxa"/>
            <w:tcBorders>
              <w:top w:val="nil"/>
              <w:left w:val="nil"/>
              <w:bottom w:val="single" w:color="auto" w:sz="4" w:space="0"/>
              <w:right w:val="single" w:color="auto" w:sz="4" w:space="0"/>
            </w:tcBorders>
            <w:shd w:val="clear" w:color="auto" w:fill="auto"/>
            <w:vAlign w:val="bottom"/>
          </w:tcPr>
          <w:p>
            <w:pPr>
              <w:pStyle w:val="107"/>
            </w:pPr>
            <w:r>
              <w:t>5.378</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0.60 </w:t>
            </w:r>
          </w:p>
        </w:tc>
        <w:tc>
          <w:tcPr>
            <w:tcW w:w="1610" w:type="dxa"/>
            <w:tcBorders>
              <w:top w:val="nil"/>
              <w:left w:val="nil"/>
              <w:bottom w:val="single" w:color="auto" w:sz="4" w:space="0"/>
              <w:right w:val="single" w:color="auto" w:sz="4" w:space="0"/>
            </w:tcBorders>
            <w:shd w:val="clear" w:color="auto" w:fill="auto"/>
            <w:vAlign w:val="bottom"/>
          </w:tcPr>
          <w:p>
            <w:pPr>
              <w:pStyle w:val="107"/>
            </w:pPr>
            <w:r>
              <w:t xml:space="preserve">1.507  </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0.08 </w:t>
            </w:r>
          </w:p>
        </w:tc>
        <w:tc>
          <w:tcPr>
            <w:tcW w:w="1610" w:type="dxa"/>
            <w:tcBorders>
              <w:top w:val="nil"/>
              <w:left w:val="nil"/>
              <w:bottom w:val="single" w:color="auto" w:sz="4" w:space="0"/>
              <w:right w:val="single" w:color="auto" w:sz="4" w:space="0"/>
            </w:tcBorders>
            <w:shd w:val="clear" w:color="auto" w:fill="auto"/>
            <w:vAlign w:val="bottom"/>
          </w:tcPr>
          <w:p>
            <w:pPr>
              <w:pStyle w:val="107"/>
            </w:pPr>
            <w:r>
              <w:t>0.3026E-01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1700</w:t>
            </w:r>
          </w:p>
        </w:tc>
        <w:tc>
          <w:tcPr>
            <w:tcW w:w="1610" w:type="dxa"/>
            <w:tcBorders>
              <w:top w:val="nil"/>
              <w:left w:val="nil"/>
              <w:bottom w:val="single" w:color="auto" w:sz="4" w:space="0"/>
              <w:right w:val="single" w:color="auto" w:sz="4" w:space="0"/>
            </w:tcBorders>
            <w:shd w:val="clear" w:color="auto" w:fill="auto"/>
            <w:vAlign w:val="bottom"/>
          </w:tcPr>
          <w:p>
            <w:pPr>
              <w:pStyle w:val="107"/>
            </w:pPr>
            <w:r>
              <w:t>5.096</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0.57 </w:t>
            </w:r>
          </w:p>
        </w:tc>
        <w:tc>
          <w:tcPr>
            <w:tcW w:w="1610" w:type="dxa"/>
            <w:tcBorders>
              <w:top w:val="nil"/>
              <w:left w:val="nil"/>
              <w:bottom w:val="single" w:color="auto" w:sz="4" w:space="0"/>
              <w:right w:val="single" w:color="auto" w:sz="4" w:space="0"/>
            </w:tcBorders>
            <w:shd w:val="clear" w:color="auto" w:fill="auto"/>
            <w:vAlign w:val="bottom"/>
          </w:tcPr>
          <w:p>
            <w:pPr>
              <w:pStyle w:val="107"/>
            </w:pPr>
            <w:r>
              <w:t>1.428</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0.07 </w:t>
            </w:r>
          </w:p>
        </w:tc>
        <w:tc>
          <w:tcPr>
            <w:tcW w:w="1610" w:type="dxa"/>
            <w:tcBorders>
              <w:top w:val="nil"/>
              <w:left w:val="nil"/>
              <w:bottom w:val="single" w:color="auto" w:sz="4" w:space="0"/>
              <w:right w:val="single" w:color="auto" w:sz="4" w:space="0"/>
            </w:tcBorders>
            <w:shd w:val="clear" w:color="auto" w:fill="auto"/>
            <w:vAlign w:val="bottom"/>
          </w:tcPr>
          <w:p>
            <w:pPr>
              <w:pStyle w:val="107"/>
            </w:pPr>
            <w:r>
              <w:t>0.2868E-01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0.29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1800</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pPr>
            <w:r>
              <w:t>4.840</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0.54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pPr>
            <w:r>
              <w:t>1.356</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0.07 </w:t>
            </w:r>
          </w:p>
        </w:tc>
        <w:tc>
          <w:tcPr>
            <w:tcW w:w="1610" w:type="dxa"/>
            <w:tcBorders>
              <w:top w:val="single" w:color="auto" w:sz="4" w:space="0"/>
              <w:left w:val="nil"/>
              <w:bottom w:val="single" w:color="auto" w:sz="4" w:space="0"/>
              <w:right w:val="single" w:color="auto" w:sz="4" w:space="0"/>
            </w:tcBorders>
            <w:shd w:val="clear" w:color="auto" w:fill="auto"/>
            <w:vAlign w:val="bottom"/>
          </w:tcPr>
          <w:p>
            <w:pPr>
              <w:pStyle w:val="107"/>
            </w:pPr>
            <w:r>
              <w:t>0.2724E-01</w:t>
            </w:r>
          </w:p>
        </w:tc>
        <w:tc>
          <w:tcPr>
            <w:tcW w:w="743"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0.27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1900</w:t>
            </w:r>
          </w:p>
        </w:tc>
        <w:tc>
          <w:tcPr>
            <w:tcW w:w="1610" w:type="dxa"/>
            <w:tcBorders>
              <w:top w:val="nil"/>
              <w:left w:val="nil"/>
              <w:bottom w:val="single" w:color="auto" w:sz="4" w:space="0"/>
              <w:right w:val="single" w:color="auto" w:sz="4" w:space="0"/>
            </w:tcBorders>
            <w:shd w:val="clear" w:color="auto" w:fill="auto"/>
            <w:vAlign w:val="bottom"/>
          </w:tcPr>
          <w:p>
            <w:pPr>
              <w:pStyle w:val="107"/>
            </w:pPr>
            <w:r>
              <w:t>4.607</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0.51 </w:t>
            </w:r>
          </w:p>
        </w:tc>
        <w:tc>
          <w:tcPr>
            <w:tcW w:w="1610" w:type="dxa"/>
            <w:tcBorders>
              <w:top w:val="nil"/>
              <w:left w:val="nil"/>
              <w:bottom w:val="single" w:color="auto" w:sz="4" w:space="0"/>
              <w:right w:val="single" w:color="auto" w:sz="4" w:space="0"/>
            </w:tcBorders>
            <w:shd w:val="clear" w:color="auto" w:fill="auto"/>
            <w:vAlign w:val="bottom"/>
          </w:tcPr>
          <w:p>
            <w:pPr>
              <w:pStyle w:val="107"/>
            </w:pPr>
            <w:r>
              <w:t>1.291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0.06 </w:t>
            </w:r>
          </w:p>
        </w:tc>
        <w:tc>
          <w:tcPr>
            <w:tcW w:w="1610" w:type="dxa"/>
            <w:tcBorders>
              <w:top w:val="nil"/>
              <w:left w:val="nil"/>
              <w:bottom w:val="single" w:color="auto" w:sz="4" w:space="0"/>
              <w:right w:val="single" w:color="auto" w:sz="4" w:space="0"/>
            </w:tcBorders>
            <w:shd w:val="clear" w:color="auto" w:fill="auto"/>
            <w:vAlign w:val="bottom"/>
          </w:tcPr>
          <w:p>
            <w:pPr>
              <w:pStyle w:val="107"/>
            </w:pPr>
            <w:r>
              <w:t>0.2592E-01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0.26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2000</w:t>
            </w:r>
          </w:p>
        </w:tc>
        <w:tc>
          <w:tcPr>
            <w:tcW w:w="1610" w:type="dxa"/>
            <w:tcBorders>
              <w:top w:val="nil"/>
              <w:left w:val="nil"/>
              <w:bottom w:val="single" w:color="auto" w:sz="4" w:space="0"/>
              <w:right w:val="single" w:color="auto" w:sz="4" w:space="0"/>
            </w:tcBorders>
            <w:shd w:val="clear" w:color="auto" w:fill="auto"/>
            <w:vAlign w:val="bottom"/>
          </w:tcPr>
          <w:p>
            <w:pPr>
              <w:pStyle w:val="107"/>
            </w:pPr>
            <w:r>
              <w:t>4.393</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0.49 </w:t>
            </w:r>
          </w:p>
        </w:tc>
        <w:tc>
          <w:tcPr>
            <w:tcW w:w="1610" w:type="dxa"/>
            <w:tcBorders>
              <w:top w:val="nil"/>
              <w:left w:val="nil"/>
              <w:bottom w:val="single" w:color="auto" w:sz="4" w:space="0"/>
              <w:right w:val="single" w:color="auto" w:sz="4" w:space="0"/>
            </w:tcBorders>
            <w:shd w:val="clear" w:color="auto" w:fill="auto"/>
            <w:vAlign w:val="bottom"/>
          </w:tcPr>
          <w:p>
            <w:pPr>
              <w:pStyle w:val="107"/>
            </w:pPr>
            <w:r>
              <w:t>1.231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0.06 </w:t>
            </w:r>
          </w:p>
        </w:tc>
        <w:tc>
          <w:tcPr>
            <w:tcW w:w="1610" w:type="dxa"/>
            <w:tcBorders>
              <w:top w:val="nil"/>
              <w:left w:val="nil"/>
              <w:bottom w:val="single" w:color="auto" w:sz="4" w:space="0"/>
              <w:right w:val="single" w:color="auto" w:sz="4" w:space="0"/>
            </w:tcBorders>
            <w:shd w:val="clear" w:color="auto" w:fill="auto"/>
            <w:vAlign w:val="bottom"/>
          </w:tcPr>
          <w:p>
            <w:pPr>
              <w:pStyle w:val="107"/>
            </w:pPr>
            <w:r>
              <w:t>0.2472E-01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0.25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2100</w:t>
            </w:r>
          </w:p>
        </w:tc>
        <w:tc>
          <w:tcPr>
            <w:tcW w:w="1610" w:type="dxa"/>
            <w:tcBorders>
              <w:top w:val="nil"/>
              <w:left w:val="nil"/>
              <w:bottom w:val="single" w:color="auto" w:sz="4" w:space="0"/>
              <w:right w:val="single" w:color="auto" w:sz="4" w:space="0"/>
            </w:tcBorders>
            <w:shd w:val="clear" w:color="auto" w:fill="auto"/>
            <w:vAlign w:val="bottom"/>
          </w:tcPr>
          <w:p>
            <w:pPr>
              <w:pStyle w:val="107"/>
            </w:pPr>
            <w:r>
              <w:t>4.197</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0.47 </w:t>
            </w:r>
          </w:p>
        </w:tc>
        <w:tc>
          <w:tcPr>
            <w:tcW w:w="1610" w:type="dxa"/>
            <w:tcBorders>
              <w:top w:val="nil"/>
              <w:left w:val="nil"/>
              <w:bottom w:val="single" w:color="auto" w:sz="4" w:space="0"/>
              <w:right w:val="single" w:color="auto" w:sz="4" w:space="0"/>
            </w:tcBorders>
            <w:shd w:val="clear" w:color="auto" w:fill="auto"/>
            <w:vAlign w:val="bottom"/>
          </w:tcPr>
          <w:p>
            <w:pPr>
              <w:pStyle w:val="107"/>
            </w:pPr>
            <w:r>
              <w:t>1.176</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0.06 </w:t>
            </w:r>
          </w:p>
        </w:tc>
        <w:tc>
          <w:tcPr>
            <w:tcW w:w="1610" w:type="dxa"/>
            <w:tcBorders>
              <w:top w:val="nil"/>
              <w:left w:val="nil"/>
              <w:bottom w:val="single" w:color="auto" w:sz="4" w:space="0"/>
              <w:right w:val="single" w:color="auto" w:sz="4" w:space="0"/>
            </w:tcBorders>
            <w:shd w:val="clear" w:color="auto" w:fill="auto"/>
            <w:vAlign w:val="bottom"/>
          </w:tcPr>
          <w:p>
            <w:pPr>
              <w:pStyle w:val="107"/>
            </w:pPr>
            <w:r>
              <w:t>0.2362E-01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0.24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2200</w:t>
            </w:r>
          </w:p>
        </w:tc>
        <w:tc>
          <w:tcPr>
            <w:tcW w:w="1610" w:type="dxa"/>
            <w:tcBorders>
              <w:top w:val="nil"/>
              <w:left w:val="nil"/>
              <w:bottom w:val="single" w:color="auto" w:sz="4" w:space="0"/>
              <w:right w:val="single" w:color="auto" w:sz="4" w:space="0"/>
            </w:tcBorders>
            <w:shd w:val="clear" w:color="auto" w:fill="auto"/>
            <w:vAlign w:val="bottom"/>
          </w:tcPr>
          <w:p>
            <w:pPr>
              <w:pStyle w:val="107"/>
            </w:pPr>
            <w:r>
              <w:t>4.016</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0.45 </w:t>
            </w:r>
          </w:p>
        </w:tc>
        <w:tc>
          <w:tcPr>
            <w:tcW w:w="1610" w:type="dxa"/>
            <w:tcBorders>
              <w:top w:val="nil"/>
              <w:left w:val="nil"/>
              <w:bottom w:val="single" w:color="auto" w:sz="4" w:space="0"/>
              <w:right w:val="single" w:color="auto" w:sz="4" w:space="0"/>
            </w:tcBorders>
            <w:shd w:val="clear" w:color="auto" w:fill="auto"/>
            <w:vAlign w:val="bottom"/>
          </w:tcPr>
          <w:p>
            <w:pPr>
              <w:pStyle w:val="107"/>
            </w:pPr>
            <w:r>
              <w:t>1.125</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0.06 </w:t>
            </w:r>
          </w:p>
        </w:tc>
        <w:tc>
          <w:tcPr>
            <w:tcW w:w="1610" w:type="dxa"/>
            <w:tcBorders>
              <w:top w:val="nil"/>
              <w:left w:val="nil"/>
              <w:bottom w:val="single" w:color="auto" w:sz="4" w:space="0"/>
              <w:right w:val="single" w:color="auto" w:sz="4" w:space="0"/>
            </w:tcBorders>
            <w:shd w:val="clear" w:color="auto" w:fill="auto"/>
            <w:vAlign w:val="bottom"/>
          </w:tcPr>
          <w:p>
            <w:pPr>
              <w:pStyle w:val="107"/>
            </w:pPr>
            <w:r>
              <w:t>0.2260E-01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0.23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2300</w:t>
            </w:r>
          </w:p>
        </w:tc>
        <w:tc>
          <w:tcPr>
            <w:tcW w:w="1610" w:type="dxa"/>
            <w:tcBorders>
              <w:top w:val="nil"/>
              <w:left w:val="nil"/>
              <w:bottom w:val="single" w:color="auto" w:sz="4" w:space="0"/>
              <w:right w:val="single" w:color="auto" w:sz="4" w:space="0"/>
            </w:tcBorders>
            <w:shd w:val="clear" w:color="auto" w:fill="auto"/>
            <w:vAlign w:val="bottom"/>
          </w:tcPr>
          <w:p>
            <w:pPr>
              <w:pStyle w:val="107"/>
            </w:pPr>
            <w:r>
              <w:t>3.849</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0.43 </w:t>
            </w:r>
          </w:p>
        </w:tc>
        <w:tc>
          <w:tcPr>
            <w:tcW w:w="1610" w:type="dxa"/>
            <w:tcBorders>
              <w:top w:val="nil"/>
              <w:left w:val="nil"/>
              <w:bottom w:val="single" w:color="auto" w:sz="4" w:space="0"/>
              <w:right w:val="single" w:color="auto" w:sz="4" w:space="0"/>
            </w:tcBorders>
            <w:shd w:val="clear" w:color="auto" w:fill="auto"/>
            <w:vAlign w:val="bottom"/>
          </w:tcPr>
          <w:p>
            <w:pPr>
              <w:pStyle w:val="107"/>
            </w:pPr>
            <w:r>
              <w:t>1.078</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0.05 </w:t>
            </w:r>
          </w:p>
        </w:tc>
        <w:tc>
          <w:tcPr>
            <w:tcW w:w="1610" w:type="dxa"/>
            <w:tcBorders>
              <w:top w:val="nil"/>
              <w:left w:val="nil"/>
              <w:bottom w:val="single" w:color="auto" w:sz="4" w:space="0"/>
              <w:right w:val="single" w:color="auto" w:sz="4" w:space="0"/>
            </w:tcBorders>
            <w:shd w:val="clear" w:color="auto" w:fill="auto"/>
            <w:vAlign w:val="bottom"/>
          </w:tcPr>
          <w:p>
            <w:pPr>
              <w:pStyle w:val="107"/>
            </w:pPr>
            <w:r>
              <w:t>0.2166E-01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0.22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2400</w:t>
            </w:r>
          </w:p>
        </w:tc>
        <w:tc>
          <w:tcPr>
            <w:tcW w:w="1610" w:type="dxa"/>
            <w:tcBorders>
              <w:top w:val="nil"/>
              <w:left w:val="nil"/>
              <w:bottom w:val="single" w:color="auto" w:sz="4" w:space="0"/>
              <w:right w:val="single" w:color="auto" w:sz="4" w:space="0"/>
            </w:tcBorders>
            <w:shd w:val="clear" w:color="auto" w:fill="auto"/>
            <w:vAlign w:val="bottom"/>
          </w:tcPr>
          <w:p>
            <w:pPr>
              <w:pStyle w:val="107"/>
            </w:pPr>
            <w:r>
              <w:t>3.694</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0.41 </w:t>
            </w:r>
          </w:p>
        </w:tc>
        <w:tc>
          <w:tcPr>
            <w:tcW w:w="1610" w:type="dxa"/>
            <w:tcBorders>
              <w:top w:val="nil"/>
              <w:left w:val="nil"/>
              <w:bottom w:val="single" w:color="auto" w:sz="4" w:space="0"/>
              <w:right w:val="single" w:color="auto" w:sz="4" w:space="0"/>
            </w:tcBorders>
            <w:shd w:val="clear" w:color="auto" w:fill="auto"/>
            <w:vAlign w:val="bottom"/>
          </w:tcPr>
          <w:p>
            <w:pPr>
              <w:pStyle w:val="107"/>
            </w:pPr>
            <w:r>
              <w:t>1.035</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0.05 </w:t>
            </w:r>
          </w:p>
        </w:tc>
        <w:tc>
          <w:tcPr>
            <w:tcW w:w="1610" w:type="dxa"/>
            <w:tcBorders>
              <w:top w:val="nil"/>
              <w:left w:val="nil"/>
              <w:bottom w:val="single" w:color="auto" w:sz="4" w:space="0"/>
              <w:right w:val="single" w:color="auto" w:sz="4" w:space="0"/>
            </w:tcBorders>
            <w:shd w:val="clear" w:color="auto" w:fill="auto"/>
            <w:vAlign w:val="bottom"/>
          </w:tcPr>
          <w:p>
            <w:pPr>
              <w:pStyle w:val="107"/>
            </w:pPr>
            <w:r>
              <w:t>0.2079E-01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2500</w:t>
            </w:r>
          </w:p>
        </w:tc>
        <w:tc>
          <w:tcPr>
            <w:tcW w:w="1610" w:type="dxa"/>
            <w:tcBorders>
              <w:top w:val="nil"/>
              <w:left w:val="nil"/>
              <w:bottom w:val="single" w:color="auto" w:sz="4" w:space="0"/>
              <w:right w:val="single" w:color="auto" w:sz="4" w:space="0"/>
            </w:tcBorders>
            <w:shd w:val="clear" w:color="auto" w:fill="auto"/>
            <w:vAlign w:val="bottom"/>
          </w:tcPr>
          <w:p>
            <w:pPr>
              <w:pStyle w:val="107"/>
            </w:pPr>
            <w:r>
              <w:t>3.550</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0.39 </w:t>
            </w:r>
          </w:p>
        </w:tc>
        <w:tc>
          <w:tcPr>
            <w:tcW w:w="1610" w:type="dxa"/>
            <w:tcBorders>
              <w:top w:val="nil"/>
              <w:left w:val="nil"/>
              <w:bottom w:val="single" w:color="auto" w:sz="4" w:space="0"/>
              <w:right w:val="single" w:color="auto" w:sz="4" w:space="0"/>
            </w:tcBorders>
            <w:shd w:val="clear" w:color="auto" w:fill="auto"/>
            <w:vAlign w:val="bottom"/>
          </w:tcPr>
          <w:p>
            <w:pPr>
              <w:pStyle w:val="107"/>
            </w:pPr>
            <w:r>
              <w:t>0.9945</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0.05 </w:t>
            </w:r>
          </w:p>
        </w:tc>
        <w:tc>
          <w:tcPr>
            <w:tcW w:w="1610" w:type="dxa"/>
            <w:tcBorders>
              <w:top w:val="nil"/>
              <w:left w:val="nil"/>
              <w:bottom w:val="single" w:color="auto" w:sz="4" w:space="0"/>
              <w:right w:val="single" w:color="auto" w:sz="4" w:space="0"/>
            </w:tcBorders>
            <w:shd w:val="clear" w:color="auto" w:fill="auto"/>
            <w:vAlign w:val="bottom"/>
          </w:tcPr>
          <w:p>
            <w:pPr>
              <w:pStyle w:val="107"/>
            </w:pPr>
            <w:r>
              <w:t>0.1998E-01</w:t>
            </w:r>
          </w:p>
        </w:tc>
        <w:tc>
          <w:tcPr>
            <w:tcW w:w="743"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0.20 </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下风向最大质量浓度及占标率/</w:t>
            </w:r>
            <w:r>
              <w:t>%</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60.42</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6.71</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16.93</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0.85</w:t>
            </w:r>
          </w:p>
        </w:tc>
        <w:tc>
          <w:tcPr>
            <w:tcW w:w="16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0.3400</w:t>
            </w:r>
          </w:p>
        </w:tc>
        <w:tc>
          <w:tcPr>
            <w:tcW w:w="74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3.40</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D10%</w:t>
            </w:r>
            <w:r>
              <w:rPr>
                <w:rFonts w:hint="eastAsia"/>
              </w:rPr>
              <w:t>最远距离/</w:t>
            </w:r>
            <w:r>
              <w:t>m</w:t>
            </w:r>
          </w:p>
        </w:tc>
        <w:tc>
          <w:tcPr>
            <w:tcW w:w="2353" w:type="dxa"/>
            <w:gridSpan w:val="2"/>
            <w:tcBorders>
              <w:top w:val="single" w:color="auto" w:sz="4" w:space="0"/>
              <w:left w:val="nil"/>
              <w:bottom w:val="single" w:color="auto" w:sz="4" w:space="0"/>
              <w:right w:val="single" w:color="auto" w:sz="4" w:space="0"/>
            </w:tcBorders>
            <w:shd w:val="clear" w:color="auto" w:fill="auto"/>
            <w:vAlign w:val="bottom"/>
          </w:tcPr>
          <w:p>
            <w:pPr>
              <w:pStyle w:val="107"/>
            </w:pPr>
            <w:r>
              <w:rPr>
                <w:rFonts w:hint="eastAsia"/>
              </w:rPr>
              <w:t>0</w:t>
            </w:r>
          </w:p>
        </w:tc>
        <w:tc>
          <w:tcPr>
            <w:tcW w:w="2353" w:type="dxa"/>
            <w:gridSpan w:val="2"/>
            <w:tcBorders>
              <w:top w:val="single" w:color="auto" w:sz="4" w:space="0"/>
              <w:left w:val="nil"/>
              <w:bottom w:val="single" w:color="auto" w:sz="4" w:space="0"/>
              <w:right w:val="single" w:color="auto" w:sz="4" w:space="0"/>
            </w:tcBorders>
            <w:shd w:val="clear" w:color="auto" w:fill="auto"/>
            <w:vAlign w:val="bottom"/>
          </w:tcPr>
          <w:p>
            <w:pPr>
              <w:pStyle w:val="107"/>
            </w:pPr>
            <w:r>
              <w:rPr>
                <w:rFonts w:hint="eastAsia"/>
              </w:rPr>
              <w:t>0</w:t>
            </w:r>
          </w:p>
        </w:tc>
        <w:tc>
          <w:tcPr>
            <w:tcW w:w="2353" w:type="dxa"/>
            <w:gridSpan w:val="2"/>
            <w:tcBorders>
              <w:top w:val="single" w:color="auto" w:sz="4" w:space="0"/>
              <w:left w:val="nil"/>
              <w:bottom w:val="single" w:color="auto" w:sz="4" w:space="0"/>
              <w:right w:val="single" w:color="auto" w:sz="4" w:space="0"/>
            </w:tcBorders>
            <w:shd w:val="clear" w:color="auto" w:fill="auto"/>
            <w:vAlign w:val="bottom"/>
          </w:tcPr>
          <w:p>
            <w:pPr>
              <w:pStyle w:val="107"/>
            </w:pPr>
            <w:r>
              <w:rPr>
                <w:rFonts w:hint="eastAsia"/>
              </w:rPr>
              <w:t>0</w:t>
            </w:r>
          </w:p>
        </w:tc>
      </w:tr>
    </w:tbl>
    <w:p>
      <w:pPr>
        <w:ind w:firstLine="480"/>
      </w:pPr>
      <w:r>
        <w:rPr>
          <w:rFonts w:hint="eastAsia"/>
        </w:rPr>
        <w:t>密炼围蔽区面源中TSP预测结果相对最大,浓度值为</w:t>
      </w:r>
      <w:r>
        <w:t>60.42μg</w:t>
      </w:r>
      <w:r>
        <w:rPr>
          <w:rFonts w:hint="eastAsia"/>
        </w:rPr>
        <w:t xml:space="preserve"> /m³,标准值为900.0</w:t>
      </w:r>
      <w:r>
        <w:t>μg</w:t>
      </w:r>
      <w:r>
        <w:rPr>
          <w:rFonts w:hint="eastAsia"/>
        </w:rPr>
        <w:t xml:space="preserve"> /m³,占标率为</w:t>
      </w:r>
      <w:r>
        <w:t>6.71</w:t>
      </w:r>
      <w:r>
        <w:rPr>
          <w:rFonts w:hint="eastAsia"/>
        </w:rPr>
        <w:t>%,判定该污染源的评价等级为二级。</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17</w:t>
      </w:r>
      <w:r>
        <w:fldChar w:fldCharType="end"/>
      </w:r>
      <w:r>
        <w:rPr>
          <w:rFonts w:hint="eastAsia"/>
        </w:rPr>
        <w:t>混炼车间面污染源估算模型计算结果表</w:t>
      </w:r>
    </w:p>
    <w:tbl>
      <w:tblPr>
        <w:tblStyle w:val="56"/>
        <w:tblW w:w="9060" w:type="dxa"/>
        <w:tblInd w:w="0" w:type="dxa"/>
        <w:tblLayout w:type="fixed"/>
        <w:tblCellMar>
          <w:top w:w="0" w:type="dxa"/>
          <w:left w:w="108" w:type="dxa"/>
          <w:bottom w:w="0" w:type="dxa"/>
          <w:right w:w="108" w:type="dxa"/>
        </w:tblCellMar>
      </w:tblPr>
      <w:tblGrid>
        <w:gridCol w:w="2704"/>
        <w:gridCol w:w="2174"/>
        <w:gridCol w:w="1004"/>
        <w:gridCol w:w="2174"/>
        <w:gridCol w:w="1004"/>
      </w:tblGrid>
      <w:tr>
        <w:tblPrEx>
          <w:tblLayout w:type="fixed"/>
          <w:tblCellMar>
            <w:top w:w="0" w:type="dxa"/>
            <w:left w:w="108" w:type="dxa"/>
            <w:bottom w:w="0" w:type="dxa"/>
            <w:right w:w="108" w:type="dxa"/>
          </w:tblCellMar>
        </w:tblPrEx>
        <w:trPr>
          <w:trHeight w:val="255" w:hRule="atLeast"/>
          <w:tblHeader/>
        </w:trPr>
        <w:tc>
          <w:tcPr>
            <w:tcW w:w="2704" w:type="dxa"/>
            <w:vMerge w:val="restart"/>
            <w:tcBorders>
              <w:top w:val="single" w:color="auto" w:sz="4" w:space="0"/>
              <w:left w:val="single" w:color="auto" w:sz="4" w:space="0"/>
              <w:right w:val="single" w:color="auto" w:sz="4" w:space="0"/>
            </w:tcBorders>
            <w:shd w:val="clear" w:color="auto" w:fill="auto"/>
            <w:vAlign w:val="center"/>
          </w:tcPr>
          <w:p>
            <w:pPr>
              <w:pStyle w:val="107"/>
            </w:pPr>
            <w:r>
              <w:rPr>
                <w:b/>
              </w:rPr>
              <w:t>下风向距离(m)</w:t>
            </w:r>
          </w:p>
        </w:tc>
        <w:tc>
          <w:tcPr>
            <w:tcW w:w="3178"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b/>
              </w:rPr>
              <w:t>NMHC</w:t>
            </w:r>
          </w:p>
        </w:tc>
        <w:tc>
          <w:tcPr>
            <w:tcW w:w="3178"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b/>
              </w:rPr>
              <w:t>H</w:t>
            </w:r>
            <w:r>
              <w:rPr>
                <w:b/>
                <w:vertAlign w:val="subscript"/>
              </w:rPr>
              <w:t>2</w:t>
            </w:r>
            <w:r>
              <w:rPr>
                <w:b/>
              </w:rPr>
              <w:t>S</w:t>
            </w:r>
          </w:p>
        </w:tc>
      </w:tr>
      <w:tr>
        <w:tblPrEx>
          <w:tblLayout w:type="fixed"/>
          <w:tblCellMar>
            <w:top w:w="0" w:type="dxa"/>
            <w:left w:w="108" w:type="dxa"/>
            <w:bottom w:w="0" w:type="dxa"/>
            <w:right w:w="108" w:type="dxa"/>
          </w:tblCellMar>
        </w:tblPrEx>
        <w:trPr>
          <w:trHeight w:val="255" w:hRule="atLeast"/>
          <w:tblHeader/>
        </w:trPr>
        <w:tc>
          <w:tcPr>
            <w:tcW w:w="2704" w:type="dxa"/>
            <w:vMerge w:val="continue"/>
            <w:tcBorders>
              <w:left w:val="single" w:color="auto" w:sz="4" w:space="0"/>
              <w:bottom w:val="single" w:color="auto" w:sz="4" w:space="0"/>
              <w:right w:val="single" w:color="auto" w:sz="4" w:space="0"/>
            </w:tcBorders>
            <w:shd w:val="clear" w:color="auto" w:fill="auto"/>
            <w:vAlign w:val="bottom"/>
          </w:tcPr>
          <w:p>
            <w:pPr>
              <w:pStyle w:val="107"/>
            </w:pPr>
          </w:p>
        </w:tc>
        <w:tc>
          <w:tcPr>
            <w:tcW w:w="2174" w:type="dxa"/>
            <w:tcBorders>
              <w:top w:val="nil"/>
              <w:left w:val="nil"/>
              <w:bottom w:val="nil"/>
              <w:right w:val="single" w:color="auto" w:sz="4" w:space="0"/>
            </w:tcBorders>
            <w:shd w:val="clear" w:color="auto" w:fill="auto"/>
            <w:vAlign w:val="center"/>
          </w:tcPr>
          <w:p>
            <w:pPr>
              <w:pStyle w:val="107"/>
            </w:pPr>
            <w:r>
              <w:rPr>
                <w:rFonts w:hint="eastAsia"/>
                <w:b/>
              </w:rPr>
              <w:t>预测质量浓度/（</w:t>
            </w:r>
            <w:r>
              <w:rPr>
                <w:b/>
              </w:rPr>
              <w:t>μg/m</w:t>
            </w:r>
            <w:r>
              <w:rPr>
                <w:b/>
                <w:vertAlign w:val="superscript"/>
              </w:rPr>
              <w:t>3</w:t>
            </w:r>
            <w:r>
              <w:rPr>
                <w:rFonts w:hint="eastAsia"/>
                <w:b/>
              </w:rPr>
              <w:t>）</w:t>
            </w:r>
          </w:p>
        </w:tc>
        <w:tc>
          <w:tcPr>
            <w:tcW w:w="1004" w:type="dxa"/>
            <w:tcBorders>
              <w:top w:val="nil"/>
              <w:left w:val="nil"/>
              <w:bottom w:val="nil"/>
              <w:right w:val="single" w:color="auto" w:sz="4" w:space="0"/>
            </w:tcBorders>
            <w:shd w:val="clear" w:color="auto" w:fill="auto"/>
            <w:vAlign w:val="center"/>
          </w:tcPr>
          <w:p>
            <w:pPr>
              <w:pStyle w:val="107"/>
            </w:pPr>
            <w:r>
              <w:rPr>
                <w:rFonts w:hint="eastAsia"/>
                <w:b/>
              </w:rPr>
              <w:t>占标率/</w:t>
            </w:r>
            <w:r>
              <w:rPr>
                <w:b/>
              </w:rPr>
              <w:t>%</w:t>
            </w:r>
          </w:p>
        </w:tc>
        <w:tc>
          <w:tcPr>
            <w:tcW w:w="2174" w:type="dxa"/>
            <w:tcBorders>
              <w:top w:val="nil"/>
              <w:left w:val="nil"/>
              <w:bottom w:val="nil"/>
              <w:right w:val="single" w:color="auto" w:sz="4" w:space="0"/>
            </w:tcBorders>
            <w:shd w:val="clear" w:color="auto" w:fill="auto"/>
            <w:vAlign w:val="center"/>
          </w:tcPr>
          <w:p>
            <w:pPr>
              <w:pStyle w:val="107"/>
            </w:pPr>
            <w:r>
              <w:rPr>
                <w:rFonts w:hint="eastAsia"/>
                <w:b/>
              </w:rPr>
              <w:t>预测质量浓度/（</w:t>
            </w:r>
            <w:r>
              <w:rPr>
                <w:b/>
              </w:rPr>
              <w:t>μg/m</w:t>
            </w:r>
            <w:r>
              <w:rPr>
                <w:b/>
                <w:vertAlign w:val="superscript"/>
              </w:rPr>
              <w:t>3</w:t>
            </w:r>
            <w:r>
              <w:rPr>
                <w:rFonts w:hint="eastAsia"/>
                <w:b/>
              </w:rPr>
              <w:t>）</w:t>
            </w:r>
          </w:p>
        </w:tc>
        <w:tc>
          <w:tcPr>
            <w:tcW w:w="1004" w:type="dxa"/>
            <w:tcBorders>
              <w:top w:val="nil"/>
              <w:left w:val="nil"/>
              <w:bottom w:val="nil"/>
              <w:right w:val="single" w:color="auto" w:sz="4" w:space="0"/>
            </w:tcBorders>
            <w:shd w:val="clear" w:color="auto" w:fill="auto"/>
            <w:vAlign w:val="center"/>
          </w:tcPr>
          <w:p>
            <w:pPr>
              <w:pStyle w:val="107"/>
            </w:pPr>
            <w:r>
              <w:rPr>
                <w:rFonts w:hint="eastAsia"/>
                <w:b/>
              </w:rPr>
              <w:t>占标率/</w:t>
            </w:r>
            <w:r>
              <w:rPr>
                <w:b/>
              </w:rPr>
              <w:t>%</w:t>
            </w:r>
          </w:p>
        </w:tc>
      </w:tr>
      <w:tr>
        <w:tblPrEx>
          <w:tblLayout w:type="fixed"/>
          <w:tblCellMar>
            <w:top w:w="0" w:type="dxa"/>
            <w:left w:w="108" w:type="dxa"/>
            <w:bottom w:w="0" w:type="dxa"/>
            <w:right w:w="108" w:type="dxa"/>
          </w:tblCellMar>
        </w:tblPrEx>
        <w:trPr>
          <w:trHeight w:val="255" w:hRule="atLeast"/>
        </w:trPr>
        <w:tc>
          <w:tcPr>
            <w:tcW w:w="2704"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25</w:t>
            </w:r>
          </w:p>
        </w:tc>
        <w:tc>
          <w:tcPr>
            <w:tcW w:w="2174" w:type="dxa"/>
            <w:tcBorders>
              <w:top w:val="single" w:color="auto" w:sz="4" w:space="0"/>
              <w:left w:val="nil"/>
              <w:bottom w:val="single" w:color="auto" w:sz="4" w:space="0"/>
              <w:right w:val="single" w:color="auto" w:sz="4" w:space="0"/>
            </w:tcBorders>
            <w:shd w:val="clear" w:color="auto" w:fill="auto"/>
            <w:vAlign w:val="bottom"/>
          </w:tcPr>
          <w:p>
            <w:pPr>
              <w:pStyle w:val="107"/>
            </w:pPr>
            <w:r>
              <w:t xml:space="preserve">6.730  </w:t>
            </w:r>
          </w:p>
        </w:tc>
        <w:tc>
          <w:tcPr>
            <w:tcW w:w="1004"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0.34 </w:t>
            </w:r>
          </w:p>
        </w:tc>
        <w:tc>
          <w:tcPr>
            <w:tcW w:w="2174" w:type="dxa"/>
            <w:tcBorders>
              <w:top w:val="single" w:color="auto" w:sz="4" w:space="0"/>
              <w:left w:val="nil"/>
              <w:bottom w:val="single" w:color="auto" w:sz="4" w:space="0"/>
              <w:right w:val="single" w:color="auto" w:sz="4" w:space="0"/>
            </w:tcBorders>
            <w:shd w:val="clear" w:color="auto" w:fill="auto"/>
            <w:vAlign w:val="bottom"/>
          </w:tcPr>
          <w:p>
            <w:pPr>
              <w:pStyle w:val="107"/>
            </w:pPr>
            <w:r>
              <w:t>0.4823</w:t>
            </w:r>
          </w:p>
        </w:tc>
        <w:tc>
          <w:tcPr>
            <w:tcW w:w="1004"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4.82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50</w:t>
            </w:r>
          </w:p>
        </w:tc>
        <w:tc>
          <w:tcPr>
            <w:tcW w:w="2174" w:type="dxa"/>
            <w:tcBorders>
              <w:top w:val="nil"/>
              <w:left w:val="nil"/>
              <w:bottom w:val="single" w:color="auto" w:sz="4" w:space="0"/>
              <w:right w:val="single" w:color="auto" w:sz="4" w:space="0"/>
            </w:tcBorders>
            <w:shd w:val="clear" w:color="auto" w:fill="auto"/>
            <w:vAlign w:val="bottom"/>
          </w:tcPr>
          <w:p>
            <w:pPr>
              <w:pStyle w:val="107"/>
            </w:pPr>
            <w:r>
              <w:t>5.200</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0.26 </w:t>
            </w:r>
          </w:p>
        </w:tc>
        <w:tc>
          <w:tcPr>
            <w:tcW w:w="2174" w:type="dxa"/>
            <w:tcBorders>
              <w:top w:val="nil"/>
              <w:left w:val="nil"/>
              <w:bottom w:val="single" w:color="auto" w:sz="4" w:space="0"/>
              <w:right w:val="single" w:color="auto" w:sz="4" w:space="0"/>
            </w:tcBorders>
            <w:shd w:val="clear" w:color="auto" w:fill="auto"/>
            <w:vAlign w:val="bottom"/>
          </w:tcPr>
          <w:p>
            <w:pPr>
              <w:pStyle w:val="107"/>
            </w:pPr>
            <w:r>
              <w:t>0.3663</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3.66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75</w:t>
            </w:r>
          </w:p>
        </w:tc>
        <w:tc>
          <w:tcPr>
            <w:tcW w:w="2174" w:type="dxa"/>
            <w:tcBorders>
              <w:top w:val="nil"/>
              <w:left w:val="nil"/>
              <w:bottom w:val="single" w:color="auto" w:sz="4" w:space="0"/>
              <w:right w:val="single" w:color="auto" w:sz="4" w:space="0"/>
            </w:tcBorders>
            <w:shd w:val="clear" w:color="auto" w:fill="auto"/>
            <w:vAlign w:val="bottom"/>
          </w:tcPr>
          <w:p>
            <w:pPr>
              <w:pStyle w:val="107"/>
            </w:pPr>
            <w:r>
              <w:t>3.733</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0.19 </w:t>
            </w:r>
          </w:p>
        </w:tc>
        <w:tc>
          <w:tcPr>
            <w:tcW w:w="2174" w:type="dxa"/>
            <w:tcBorders>
              <w:top w:val="nil"/>
              <w:left w:val="nil"/>
              <w:bottom w:val="single" w:color="auto" w:sz="4" w:space="0"/>
              <w:right w:val="single" w:color="auto" w:sz="4" w:space="0"/>
            </w:tcBorders>
            <w:shd w:val="clear" w:color="auto" w:fill="auto"/>
            <w:vAlign w:val="bottom"/>
          </w:tcPr>
          <w:p>
            <w:pPr>
              <w:pStyle w:val="107"/>
            </w:pPr>
            <w:r>
              <w:t>0.2634</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2.63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100</w:t>
            </w:r>
          </w:p>
        </w:tc>
        <w:tc>
          <w:tcPr>
            <w:tcW w:w="2174" w:type="dxa"/>
            <w:tcBorders>
              <w:top w:val="nil"/>
              <w:left w:val="nil"/>
              <w:bottom w:val="single" w:color="auto" w:sz="4" w:space="0"/>
              <w:right w:val="single" w:color="auto" w:sz="4" w:space="0"/>
            </w:tcBorders>
            <w:shd w:val="clear" w:color="auto" w:fill="auto"/>
            <w:vAlign w:val="bottom"/>
          </w:tcPr>
          <w:p>
            <w:pPr>
              <w:pStyle w:val="107"/>
            </w:pPr>
            <w:r>
              <w:t>2.822</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0.14 </w:t>
            </w:r>
          </w:p>
        </w:tc>
        <w:tc>
          <w:tcPr>
            <w:tcW w:w="2174" w:type="dxa"/>
            <w:tcBorders>
              <w:top w:val="nil"/>
              <w:left w:val="nil"/>
              <w:bottom w:val="single" w:color="auto" w:sz="4" w:space="0"/>
              <w:right w:val="single" w:color="auto" w:sz="4" w:space="0"/>
            </w:tcBorders>
            <w:shd w:val="clear" w:color="auto" w:fill="auto"/>
            <w:vAlign w:val="bottom"/>
          </w:tcPr>
          <w:p>
            <w:pPr>
              <w:pStyle w:val="107"/>
            </w:pPr>
            <w:r>
              <w:t>0.1991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1.99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200</w:t>
            </w:r>
          </w:p>
        </w:tc>
        <w:tc>
          <w:tcPr>
            <w:tcW w:w="2174" w:type="dxa"/>
            <w:tcBorders>
              <w:top w:val="nil"/>
              <w:left w:val="nil"/>
              <w:bottom w:val="single" w:color="auto" w:sz="4" w:space="0"/>
              <w:right w:val="single" w:color="auto" w:sz="4" w:space="0"/>
            </w:tcBorders>
            <w:shd w:val="clear" w:color="auto" w:fill="auto"/>
            <w:vAlign w:val="bottom"/>
          </w:tcPr>
          <w:p>
            <w:pPr>
              <w:pStyle w:val="107"/>
            </w:pPr>
            <w:r>
              <w:t>2.071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0.10 </w:t>
            </w:r>
          </w:p>
        </w:tc>
        <w:tc>
          <w:tcPr>
            <w:tcW w:w="2174" w:type="dxa"/>
            <w:tcBorders>
              <w:top w:val="nil"/>
              <w:left w:val="nil"/>
              <w:bottom w:val="single" w:color="auto" w:sz="4" w:space="0"/>
              <w:right w:val="single" w:color="auto" w:sz="4" w:space="0"/>
            </w:tcBorders>
            <w:shd w:val="clear" w:color="auto" w:fill="auto"/>
            <w:vAlign w:val="bottom"/>
          </w:tcPr>
          <w:p>
            <w:pPr>
              <w:pStyle w:val="107"/>
            </w:pPr>
            <w:r>
              <w:t>0.1461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1.46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300</w:t>
            </w:r>
          </w:p>
        </w:tc>
        <w:tc>
          <w:tcPr>
            <w:tcW w:w="2174" w:type="dxa"/>
            <w:tcBorders>
              <w:top w:val="single" w:color="auto" w:sz="4" w:space="0"/>
              <w:left w:val="nil"/>
              <w:bottom w:val="single" w:color="auto" w:sz="4" w:space="0"/>
              <w:right w:val="single" w:color="auto" w:sz="4" w:space="0"/>
            </w:tcBorders>
            <w:shd w:val="clear" w:color="auto" w:fill="auto"/>
            <w:vAlign w:val="bottom"/>
          </w:tcPr>
          <w:p>
            <w:pPr>
              <w:pStyle w:val="107"/>
            </w:pPr>
            <w:r>
              <w:t>1.796</w:t>
            </w:r>
          </w:p>
        </w:tc>
        <w:tc>
          <w:tcPr>
            <w:tcW w:w="1004"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0.09 </w:t>
            </w:r>
          </w:p>
        </w:tc>
        <w:tc>
          <w:tcPr>
            <w:tcW w:w="2174" w:type="dxa"/>
            <w:tcBorders>
              <w:top w:val="single" w:color="auto" w:sz="4" w:space="0"/>
              <w:left w:val="nil"/>
              <w:bottom w:val="single" w:color="auto" w:sz="4" w:space="0"/>
              <w:right w:val="single" w:color="auto" w:sz="4" w:space="0"/>
            </w:tcBorders>
            <w:shd w:val="clear" w:color="auto" w:fill="auto"/>
            <w:vAlign w:val="bottom"/>
          </w:tcPr>
          <w:p>
            <w:pPr>
              <w:pStyle w:val="107"/>
            </w:pPr>
            <w:r>
              <w:t>0.1267</w:t>
            </w:r>
          </w:p>
        </w:tc>
        <w:tc>
          <w:tcPr>
            <w:tcW w:w="1004"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1.27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400</w:t>
            </w:r>
          </w:p>
        </w:tc>
        <w:tc>
          <w:tcPr>
            <w:tcW w:w="2174" w:type="dxa"/>
            <w:tcBorders>
              <w:top w:val="nil"/>
              <w:left w:val="nil"/>
              <w:bottom w:val="single" w:color="auto" w:sz="4" w:space="0"/>
              <w:right w:val="single" w:color="auto" w:sz="4" w:space="0"/>
            </w:tcBorders>
            <w:shd w:val="clear" w:color="auto" w:fill="auto"/>
            <w:vAlign w:val="bottom"/>
          </w:tcPr>
          <w:p>
            <w:pPr>
              <w:pStyle w:val="107"/>
            </w:pPr>
            <w:r>
              <w:t>1.587</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0.08 </w:t>
            </w:r>
          </w:p>
        </w:tc>
        <w:tc>
          <w:tcPr>
            <w:tcW w:w="2174" w:type="dxa"/>
            <w:tcBorders>
              <w:top w:val="nil"/>
              <w:left w:val="nil"/>
              <w:bottom w:val="single" w:color="auto" w:sz="4" w:space="0"/>
              <w:right w:val="single" w:color="auto" w:sz="4" w:space="0"/>
            </w:tcBorders>
            <w:shd w:val="clear" w:color="auto" w:fill="auto"/>
            <w:vAlign w:val="bottom"/>
          </w:tcPr>
          <w:p>
            <w:pPr>
              <w:pStyle w:val="107"/>
            </w:pPr>
            <w:r>
              <w:t>0.1120</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1.12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500</w:t>
            </w:r>
          </w:p>
        </w:tc>
        <w:tc>
          <w:tcPr>
            <w:tcW w:w="2174" w:type="dxa"/>
            <w:tcBorders>
              <w:top w:val="nil"/>
              <w:left w:val="nil"/>
              <w:bottom w:val="single" w:color="auto" w:sz="4" w:space="0"/>
              <w:right w:val="single" w:color="auto" w:sz="4" w:space="0"/>
            </w:tcBorders>
            <w:shd w:val="clear" w:color="auto" w:fill="auto"/>
            <w:vAlign w:val="bottom"/>
          </w:tcPr>
          <w:p>
            <w:pPr>
              <w:pStyle w:val="107"/>
            </w:pPr>
            <w:r>
              <w:t>1.421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0.07 </w:t>
            </w:r>
          </w:p>
        </w:tc>
        <w:tc>
          <w:tcPr>
            <w:tcW w:w="2174" w:type="dxa"/>
            <w:tcBorders>
              <w:top w:val="nil"/>
              <w:left w:val="nil"/>
              <w:bottom w:val="single" w:color="auto" w:sz="4" w:space="0"/>
              <w:right w:val="single" w:color="auto" w:sz="4" w:space="0"/>
            </w:tcBorders>
            <w:shd w:val="clear" w:color="auto" w:fill="auto"/>
            <w:vAlign w:val="bottom"/>
          </w:tcPr>
          <w:p>
            <w:pPr>
              <w:pStyle w:val="107"/>
            </w:pPr>
            <w:r>
              <w:t>0.1002</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1.00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600</w:t>
            </w:r>
          </w:p>
        </w:tc>
        <w:tc>
          <w:tcPr>
            <w:tcW w:w="2174" w:type="dxa"/>
            <w:tcBorders>
              <w:top w:val="nil"/>
              <w:left w:val="nil"/>
              <w:bottom w:val="single" w:color="auto" w:sz="4" w:space="0"/>
              <w:right w:val="single" w:color="auto" w:sz="4" w:space="0"/>
            </w:tcBorders>
            <w:shd w:val="clear" w:color="auto" w:fill="auto"/>
            <w:vAlign w:val="bottom"/>
          </w:tcPr>
          <w:p>
            <w:pPr>
              <w:pStyle w:val="107"/>
            </w:pPr>
            <w:r>
              <w:t>1.284</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0.06 </w:t>
            </w:r>
          </w:p>
        </w:tc>
        <w:tc>
          <w:tcPr>
            <w:tcW w:w="2174" w:type="dxa"/>
            <w:tcBorders>
              <w:top w:val="nil"/>
              <w:left w:val="nil"/>
              <w:bottom w:val="single" w:color="auto" w:sz="4" w:space="0"/>
              <w:right w:val="single" w:color="auto" w:sz="4" w:space="0"/>
            </w:tcBorders>
            <w:shd w:val="clear" w:color="auto" w:fill="auto"/>
            <w:vAlign w:val="bottom"/>
          </w:tcPr>
          <w:p>
            <w:pPr>
              <w:pStyle w:val="107"/>
            </w:pPr>
            <w:r>
              <w:t>0.9057E-01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0.91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700</w:t>
            </w:r>
          </w:p>
        </w:tc>
        <w:tc>
          <w:tcPr>
            <w:tcW w:w="2174" w:type="dxa"/>
            <w:tcBorders>
              <w:top w:val="nil"/>
              <w:left w:val="nil"/>
              <w:bottom w:val="single" w:color="auto" w:sz="4" w:space="0"/>
              <w:right w:val="single" w:color="auto" w:sz="4" w:space="0"/>
            </w:tcBorders>
            <w:shd w:val="clear" w:color="auto" w:fill="auto"/>
            <w:vAlign w:val="bottom"/>
          </w:tcPr>
          <w:p>
            <w:pPr>
              <w:pStyle w:val="107"/>
            </w:pPr>
            <w:r>
              <w:t>1.169</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0.06 </w:t>
            </w:r>
          </w:p>
        </w:tc>
        <w:tc>
          <w:tcPr>
            <w:tcW w:w="2174" w:type="dxa"/>
            <w:tcBorders>
              <w:top w:val="nil"/>
              <w:left w:val="nil"/>
              <w:bottom w:val="single" w:color="auto" w:sz="4" w:space="0"/>
              <w:right w:val="single" w:color="auto" w:sz="4" w:space="0"/>
            </w:tcBorders>
            <w:shd w:val="clear" w:color="auto" w:fill="auto"/>
            <w:vAlign w:val="bottom"/>
          </w:tcPr>
          <w:p>
            <w:pPr>
              <w:pStyle w:val="107"/>
            </w:pPr>
            <w:r>
              <w:t>0.8245E-01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0.82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800</w:t>
            </w:r>
          </w:p>
        </w:tc>
        <w:tc>
          <w:tcPr>
            <w:tcW w:w="2174" w:type="dxa"/>
            <w:tcBorders>
              <w:top w:val="nil"/>
              <w:left w:val="nil"/>
              <w:bottom w:val="single" w:color="auto" w:sz="4" w:space="0"/>
              <w:right w:val="single" w:color="auto" w:sz="4" w:space="0"/>
            </w:tcBorders>
            <w:shd w:val="clear" w:color="auto" w:fill="auto"/>
            <w:vAlign w:val="bottom"/>
          </w:tcPr>
          <w:p>
            <w:pPr>
              <w:pStyle w:val="107"/>
            </w:pPr>
            <w:r>
              <w:t>1.071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0.05 </w:t>
            </w:r>
          </w:p>
        </w:tc>
        <w:tc>
          <w:tcPr>
            <w:tcW w:w="2174" w:type="dxa"/>
            <w:tcBorders>
              <w:top w:val="nil"/>
              <w:left w:val="nil"/>
              <w:bottom w:val="single" w:color="auto" w:sz="4" w:space="0"/>
              <w:right w:val="single" w:color="auto" w:sz="4" w:space="0"/>
            </w:tcBorders>
            <w:shd w:val="clear" w:color="auto" w:fill="auto"/>
            <w:vAlign w:val="bottom"/>
          </w:tcPr>
          <w:p>
            <w:pPr>
              <w:pStyle w:val="107"/>
            </w:pPr>
            <w:r>
              <w:t>0.7556E-01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0.76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900</w:t>
            </w:r>
          </w:p>
        </w:tc>
        <w:tc>
          <w:tcPr>
            <w:tcW w:w="2174" w:type="dxa"/>
            <w:tcBorders>
              <w:top w:val="nil"/>
              <w:left w:val="nil"/>
              <w:bottom w:val="single" w:color="auto" w:sz="4" w:space="0"/>
              <w:right w:val="single" w:color="auto" w:sz="4" w:space="0"/>
            </w:tcBorders>
            <w:shd w:val="clear" w:color="auto" w:fill="auto"/>
            <w:vAlign w:val="bottom"/>
          </w:tcPr>
          <w:p>
            <w:pPr>
              <w:pStyle w:val="107"/>
            </w:pPr>
            <w:r>
              <w:t>0.9869</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0.05 </w:t>
            </w:r>
          </w:p>
        </w:tc>
        <w:tc>
          <w:tcPr>
            <w:tcW w:w="2174" w:type="dxa"/>
            <w:tcBorders>
              <w:top w:val="nil"/>
              <w:left w:val="nil"/>
              <w:bottom w:val="single" w:color="auto" w:sz="4" w:space="0"/>
              <w:right w:val="single" w:color="auto" w:sz="4" w:space="0"/>
            </w:tcBorders>
            <w:shd w:val="clear" w:color="auto" w:fill="auto"/>
            <w:vAlign w:val="bottom"/>
          </w:tcPr>
          <w:p>
            <w:pPr>
              <w:pStyle w:val="107"/>
            </w:pPr>
            <w:r>
              <w:t>0.6963E-01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0.70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1000</w:t>
            </w:r>
          </w:p>
        </w:tc>
        <w:tc>
          <w:tcPr>
            <w:tcW w:w="2174" w:type="dxa"/>
            <w:tcBorders>
              <w:top w:val="nil"/>
              <w:left w:val="nil"/>
              <w:bottom w:val="single" w:color="auto" w:sz="4" w:space="0"/>
              <w:right w:val="single" w:color="auto" w:sz="4" w:space="0"/>
            </w:tcBorders>
            <w:shd w:val="clear" w:color="auto" w:fill="auto"/>
            <w:vAlign w:val="bottom"/>
          </w:tcPr>
          <w:p>
            <w:pPr>
              <w:pStyle w:val="107"/>
            </w:pPr>
            <w:r>
              <w:t>0.9150</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0.05 </w:t>
            </w:r>
          </w:p>
        </w:tc>
        <w:tc>
          <w:tcPr>
            <w:tcW w:w="2174" w:type="dxa"/>
            <w:tcBorders>
              <w:top w:val="nil"/>
              <w:left w:val="nil"/>
              <w:bottom w:val="single" w:color="auto" w:sz="4" w:space="0"/>
              <w:right w:val="single" w:color="auto" w:sz="4" w:space="0"/>
            </w:tcBorders>
            <w:shd w:val="clear" w:color="auto" w:fill="auto"/>
            <w:vAlign w:val="bottom"/>
          </w:tcPr>
          <w:p>
            <w:pPr>
              <w:pStyle w:val="107"/>
            </w:pPr>
            <w:r>
              <w:t>0.6456E-01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0.65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1100</w:t>
            </w:r>
          </w:p>
        </w:tc>
        <w:tc>
          <w:tcPr>
            <w:tcW w:w="2174" w:type="dxa"/>
            <w:tcBorders>
              <w:top w:val="nil"/>
              <w:left w:val="nil"/>
              <w:bottom w:val="single" w:color="auto" w:sz="4" w:space="0"/>
              <w:right w:val="single" w:color="auto" w:sz="4" w:space="0"/>
            </w:tcBorders>
            <w:shd w:val="clear" w:color="auto" w:fill="auto"/>
            <w:vAlign w:val="bottom"/>
          </w:tcPr>
          <w:p>
            <w:pPr>
              <w:pStyle w:val="107"/>
            </w:pPr>
            <w:r>
              <w:t>0.8614</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0.04 </w:t>
            </w:r>
          </w:p>
        </w:tc>
        <w:tc>
          <w:tcPr>
            <w:tcW w:w="2174" w:type="dxa"/>
            <w:tcBorders>
              <w:top w:val="nil"/>
              <w:left w:val="nil"/>
              <w:bottom w:val="single" w:color="auto" w:sz="4" w:space="0"/>
              <w:right w:val="single" w:color="auto" w:sz="4" w:space="0"/>
            </w:tcBorders>
            <w:shd w:val="clear" w:color="auto" w:fill="auto"/>
            <w:vAlign w:val="bottom"/>
          </w:tcPr>
          <w:p>
            <w:pPr>
              <w:pStyle w:val="107"/>
            </w:pPr>
            <w:r>
              <w:t>0.6077E-01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0.61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1200</w:t>
            </w:r>
          </w:p>
        </w:tc>
        <w:tc>
          <w:tcPr>
            <w:tcW w:w="2174" w:type="dxa"/>
            <w:tcBorders>
              <w:top w:val="nil"/>
              <w:left w:val="nil"/>
              <w:bottom w:val="single" w:color="auto" w:sz="4" w:space="0"/>
              <w:right w:val="single" w:color="auto" w:sz="4" w:space="0"/>
            </w:tcBorders>
            <w:shd w:val="clear" w:color="auto" w:fill="auto"/>
            <w:vAlign w:val="bottom"/>
          </w:tcPr>
          <w:p>
            <w:pPr>
              <w:pStyle w:val="107"/>
            </w:pPr>
            <w:r>
              <w:t>0.8131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0.04 </w:t>
            </w:r>
          </w:p>
        </w:tc>
        <w:tc>
          <w:tcPr>
            <w:tcW w:w="2174" w:type="dxa"/>
            <w:tcBorders>
              <w:top w:val="nil"/>
              <w:left w:val="nil"/>
              <w:bottom w:val="single" w:color="auto" w:sz="4" w:space="0"/>
              <w:right w:val="single" w:color="auto" w:sz="4" w:space="0"/>
            </w:tcBorders>
            <w:shd w:val="clear" w:color="auto" w:fill="auto"/>
            <w:vAlign w:val="bottom"/>
          </w:tcPr>
          <w:p>
            <w:pPr>
              <w:pStyle w:val="107"/>
            </w:pPr>
            <w:r>
              <w:t>0.5737E-01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0.57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1300</w:t>
            </w:r>
          </w:p>
        </w:tc>
        <w:tc>
          <w:tcPr>
            <w:tcW w:w="2174" w:type="dxa"/>
            <w:tcBorders>
              <w:top w:val="nil"/>
              <w:left w:val="nil"/>
              <w:bottom w:val="single" w:color="auto" w:sz="4" w:space="0"/>
              <w:right w:val="single" w:color="auto" w:sz="4" w:space="0"/>
            </w:tcBorders>
            <w:shd w:val="clear" w:color="auto" w:fill="auto"/>
            <w:vAlign w:val="bottom"/>
          </w:tcPr>
          <w:p>
            <w:pPr>
              <w:pStyle w:val="107"/>
            </w:pPr>
            <w:r>
              <w:t>0.7694</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0.04 </w:t>
            </w:r>
          </w:p>
        </w:tc>
        <w:tc>
          <w:tcPr>
            <w:tcW w:w="2174" w:type="dxa"/>
            <w:tcBorders>
              <w:top w:val="nil"/>
              <w:left w:val="nil"/>
              <w:bottom w:val="single" w:color="auto" w:sz="4" w:space="0"/>
              <w:right w:val="single" w:color="auto" w:sz="4" w:space="0"/>
            </w:tcBorders>
            <w:shd w:val="clear" w:color="auto" w:fill="auto"/>
            <w:vAlign w:val="bottom"/>
          </w:tcPr>
          <w:p>
            <w:pPr>
              <w:pStyle w:val="107"/>
            </w:pPr>
            <w:r>
              <w:t>0.5429E-01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0.54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1400</w:t>
            </w:r>
          </w:p>
        </w:tc>
        <w:tc>
          <w:tcPr>
            <w:tcW w:w="2174" w:type="dxa"/>
            <w:tcBorders>
              <w:top w:val="nil"/>
              <w:left w:val="nil"/>
              <w:bottom w:val="single" w:color="auto" w:sz="4" w:space="0"/>
              <w:right w:val="single" w:color="auto" w:sz="4" w:space="0"/>
            </w:tcBorders>
            <w:shd w:val="clear" w:color="auto" w:fill="auto"/>
            <w:vAlign w:val="bottom"/>
          </w:tcPr>
          <w:p>
            <w:pPr>
              <w:pStyle w:val="107"/>
            </w:pPr>
            <w:r>
              <w:t>0.7298</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0.04 </w:t>
            </w:r>
          </w:p>
        </w:tc>
        <w:tc>
          <w:tcPr>
            <w:tcW w:w="2174" w:type="dxa"/>
            <w:tcBorders>
              <w:top w:val="nil"/>
              <w:left w:val="nil"/>
              <w:bottom w:val="single" w:color="auto" w:sz="4" w:space="0"/>
              <w:right w:val="single" w:color="auto" w:sz="4" w:space="0"/>
            </w:tcBorders>
            <w:shd w:val="clear" w:color="auto" w:fill="auto"/>
            <w:vAlign w:val="bottom"/>
          </w:tcPr>
          <w:p>
            <w:pPr>
              <w:pStyle w:val="107"/>
            </w:pPr>
            <w:r>
              <w:t>0.5149E-01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0.51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1500</w:t>
            </w:r>
          </w:p>
        </w:tc>
        <w:tc>
          <w:tcPr>
            <w:tcW w:w="2174" w:type="dxa"/>
            <w:tcBorders>
              <w:top w:val="nil"/>
              <w:left w:val="nil"/>
              <w:bottom w:val="single" w:color="auto" w:sz="4" w:space="0"/>
              <w:right w:val="single" w:color="auto" w:sz="4" w:space="0"/>
            </w:tcBorders>
            <w:shd w:val="clear" w:color="auto" w:fill="auto"/>
            <w:vAlign w:val="bottom"/>
          </w:tcPr>
          <w:p>
            <w:pPr>
              <w:pStyle w:val="107"/>
            </w:pPr>
            <w:r>
              <w:t>0.6937</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0.03 </w:t>
            </w:r>
          </w:p>
        </w:tc>
        <w:tc>
          <w:tcPr>
            <w:tcW w:w="2174" w:type="dxa"/>
            <w:tcBorders>
              <w:top w:val="nil"/>
              <w:left w:val="nil"/>
              <w:bottom w:val="single" w:color="auto" w:sz="4" w:space="0"/>
              <w:right w:val="single" w:color="auto" w:sz="4" w:space="0"/>
            </w:tcBorders>
            <w:shd w:val="clear" w:color="auto" w:fill="auto"/>
            <w:vAlign w:val="bottom"/>
          </w:tcPr>
          <w:p>
            <w:pPr>
              <w:pStyle w:val="107"/>
            </w:pPr>
            <w:r>
              <w:t>0.4895E-01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0.49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1600</w:t>
            </w:r>
          </w:p>
        </w:tc>
        <w:tc>
          <w:tcPr>
            <w:tcW w:w="2174" w:type="dxa"/>
            <w:tcBorders>
              <w:top w:val="nil"/>
              <w:left w:val="nil"/>
              <w:bottom w:val="single" w:color="auto" w:sz="4" w:space="0"/>
              <w:right w:val="single" w:color="auto" w:sz="4" w:space="0"/>
            </w:tcBorders>
            <w:shd w:val="clear" w:color="auto" w:fill="auto"/>
            <w:vAlign w:val="bottom"/>
          </w:tcPr>
          <w:p>
            <w:pPr>
              <w:pStyle w:val="107"/>
            </w:pPr>
            <w:r>
              <w:t>0.6620</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0.03 </w:t>
            </w:r>
          </w:p>
        </w:tc>
        <w:tc>
          <w:tcPr>
            <w:tcW w:w="2174" w:type="dxa"/>
            <w:tcBorders>
              <w:top w:val="nil"/>
              <w:left w:val="nil"/>
              <w:bottom w:val="single" w:color="auto" w:sz="4" w:space="0"/>
              <w:right w:val="single" w:color="auto" w:sz="4" w:space="0"/>
            </w:tcBorders>
            <w:shd w:val="clear" w:color="auto" w:fill="auto"/>
            <w:vAlign w:val="bottom"/>
          </w:tcPr>
          <w:p>
            <w:pPr>
              <w:pStyle w:val="107"/>
            </w:pPr>
            <w:r>
              <w:t>0.4671E-01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0.47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1700</w:t>
            </w:r>
          </w:p>
        </w:tc>
        <w:tc>
          <w:tcPr>
            <w:tcW w:w="2174" w:type="dxa"/>
            <w:tcBorders>
              <w:top w:val="nil"/>
              <w:left w:val="nil"/>
              <w:bottom w:val="single" w:color="auto" w:sz="4" w:space="0"/>
              <w:right w:val="single" w:color="auto" w:sz="4" w:space="0"/>
            </w:tcBorders>
            <w:shd w:val="clear" w:color="auto" w:fill="auto"/>
            <w:vAlign w:val="bottom"/>
          </w:tcPr>
          <w:p>
            <w:pPr>
              <w:pStyle w:val="107"/>
            </w:pPr>
            <w:r>
              <w:t>0.6340</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0.03 </w:t>
            </w:r>
          </w:p>
        </w:tc>
        <w:tc>
          <w:tcPr>
            <w:tcW w:w="2174" w:type="dxa"/>
            <w:tcBorders>
              <w:top w:val="nil"/>
              <w:left w:val="nil"/>
              <w:bottom w:val="single" w:color="auto" w:sz="4" w:space="0"/>
              <w:right w:val="single" w:color="auto" w:sz="4" w:space="0"/>
            </w:tcBorders>
            <w:shd w:val="clear" w:color="auto" w:fill="auto"/>
            <w:vAlign w:val="bottom"/>
          </w:tcPr>
          <w:p>
            <w:pPr>
              <w:pStyle w:val="107"/>
            </w:pPr>
            <w:r>
              <w:t>0.4473E-01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0.45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1800</w:t>
            </w:r>
          </w:p>
        </w:tc>
        <w:tc>
          <w:tcPr>
            <w:tcW w:w="2174" w:type="dxa"/>
            <w:tcBorders>
              <w:top w:val="nil"/>
              <w:left w:val="nil"/>
              <w:bottom w:val="single" w:color="auto" w:sz="4" w:space="0"/>
              <w:right w:val="single" w:color="auto" w:sz="4" w:space="0"/>
            </w:tcBorders>
            <w:shd w:val="clear" w:color="auto" w:fill="auto"/>
            <w:vAlign w:val="bottom"/>
          </w:tcPr>
          <w:p>
            <w:pPr>
              <w:pStyle w:val="107"/>
            </w:pPr>
            <w:r>
              <w:t>0.6081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0.03 </w:t>
            </w:r>
          </w:p>
        </w:tc>
        <w:tc>
          <w:tcPr>
            <w:tcW w:w="2174" w:type="dxa"/>
            <w:tcBorders>
              <w:top w:val="nil"/>
              <w:left w:val="nil"/>
              <w:bottom w:val="single" w:color="auto" w:sz="4" w:space="0"/>
              <w:right w:val="single" w:color="auto" w:sz="4" w:space="0"/>
            </w:tcBorders>
            <w:shd w:val="clear" w:color="auto" w:fill="auto"/>
            <w:vAlign w:val="bottom"/>
          </w:tcPr>
          <w:p>
            <w:pPr>
              <w:pStyle w:val="107"/>
            </w:pPr>
            <w:r>
              <w:t>0.4290E-01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0.43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1900</w:t>
            </w:r>
          </w:p>
        </w:tc>
        <w:tc>
          <w:tcPr>
            <w:tcW w:w="2174" w:type="dxa"/>
            <w:tcBorders>
              <w:top w:val="nil"/>
              <w:left w:val="nil"/>
              <w:bottom w:val="single" w:color="auto" w:sz="4" w:space="0"/>
              <w:right w:val="single" w:color="auto" w:sz="4" w:space="0"/>
            </w:tcBorders>
            <w:shd w:val="clear" w:color="auto" w:fill="auto"/>
            <w:vAlign w:val="bottom"/>
          </w:tcPr>
          <w:p>
            <w:pPr>
              <w:pStyle w:val="107"/>
            </w:pPr>
            <w:r>
              <w:t>0.5847</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0.03 </w:t>
            </w:r>
          </w:p>
        </w:tc>
        <w:tc>
          <w:tcPr>
            <w:tcW w:w="2174" w:type="dxa"/>
            <w:tcBorders>
              <w:top w:val="nil"/>
              <w:left w:val="nil"/>
              <w:bottom w:val="single" w:color="auto" w:sz="4" w:space="0"/>
              <w:right w:val="single" w:color="auto" w:sz="4" w:space="0"/>
            </w:tcBorders>
            <w:shd w:val="clear" w:color="auto" w:fill="auto"/>
            <w:vAlign w:val="bottom"/>
          </w:tcPr>
          <w:p>
            <w:pPr>
              <w:pStyle w:val="107"/>
            </w:pPr>
            <w:r>
              <w:t>0.4126E-01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0.41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2000</w:t>
            </w:r>
          </w:p>
        </w:tc>
        <w:tc>
          <w:tcPr>
            <w:tcW w:w="2174" w:type="dxa"/>
            <w:tcBorders>
              <w:top w:val="single" w:color="auto" w:sz="4" w:space="0"/>
              <w:left w:val="nil"/>
              <w:bottom w:val="single" w:color="auto" w:sz="4" w:space="0"/>
              <w:right w:val="single" w:color="auto" w:sz="4" w:space="0"/>
            </w:tcBorders>
            <w:shd w:val="clear" w:color="auto" w:fill="auto"/>
            <w:vAlign w:val="bottom"/>
          </w:tcPr>
          <w:p>
            <w:pPr>
              <w:pStyle w:val="107"/>
            </w:pPr>
            <w:r>
              <w:t>0.5630</w:t>
            </w:r>
          </w:p>
        </w:tc>
        <w:tc>
          <w:tcPr>
            <w:tcW w:w="1004"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0.03 </w:t>
            </w:r>
          </w:p>
        </w:tc>
        <w:tc>
          <w:tcPr>
            <w:tcW w:w="2174" w:type="dxa"/>
            <w:tcBorders>
              <w:top w:val="single" w:color="auto" w:sz="4" w:space="0"/>
              <w:left w:val="nil"/>
              <w:bottom w:val="single" w:color="auto" w:sz="4" w:space="0"/>
              <w:right w:val="single" w:color="auto" w:sz="4" w:space="0"/>
            </w:tcBorders>
            <w:shd w:val="clear" w:color="auto" w:fill="auto"/>
            <w:vAlign w:val="bottom"/>
          </w:tcPr>
          <w:p>
            <w:pPr>
              <w:pStyle w:val="107"/>
            </w:pPr>
            <w:r>
              <w:t>0.3972E-01</w:t>
            </w:r>
          </w:p>
        </w:tc>
        <w:tc>
          <w:tcPr>
            <w:tcW w:w="1004"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0.40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2100</w:t>
            </w:r>
          </w:p>
        </w:tc>
        <w:tc>
          <w:tcPr>
            <w:tcW w:w="2174" w:type="dxa"/>
            <w:tcBorders>
              <w:top w:val="nil"/>
              <w:left w:val="nil"/>
              <w:bottom w:val="single" w:color="auto" w:sz="4" w:space="0"/>
              <w:right w:val="single" w:color="auto" w:sz="4" w:space="0"/>
            </w:tcBorders>
            <w:shd w:val="clear" w:color="auto" w:fill="auto"/>
            <w:vAlign w:val="bottom"/>
          </w:tcPr>
          <w:p>
            <w:pPr>
              <w:pStyle w:val="107"/>
            </w:pPr>
            <w:r>
              <w:t>0.5427</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0.03 </w:t>
            </w:r>
          </w:p>
        </w:tc>
        <w:tc>
          <w:tcPr>
            <w:tcW w:w="2174" w:type="dxa"/>
            <w:tcBorders>
              <w:top w:val="nil"/>
              <w:left w:val="nil"/>
              <w:bottom w:val="single" w:color="auto" w:sz="4" w:space="0"/>
              <w:right w:val="single" w:color="auto" w:sz="4" w:space="0"/>
            </w:tcBorders>
            <w:shd w:val="clear" w:color="auto" w:fill="auto"/>
            <w:vAlign w:val="bottom"/>
          </w:tcPr>
          <w:p>
            <w:pPr>
              <w:pStyle w:val="107"/>
            </w:pPr>
            <w:r>
              <w:t>0.3829E-01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0.38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2200</w:t>
            </w:r>
          </w:p>
        </w:tc>
        <w:tc>
          <w:tcPr>
            <w:tcW w:w="2174" w:type="dxa"/>
            <w:tcBorders>
              <w:top w:val="nil"/>
              <w:left w:val="nil"/>
              <w:bottom w:val="single" w:color="auto" w:sz="4" w:space="0"/>
              <w:right w:val="single" w:color="auto" w:sz="4" w:space="0"/>
            </w:tcBorders>
            <w:shd w:val="clear" w:color="auto" w:fill="auto"/>
            <w:vAlign w:val="bottom"/>
          </w:tcPr>
          <w:p>
            <w:pPr>
              <w:pStyle w:val="107"/>
            </w:pPr>
            <w:r>
              <w:t>0.5236</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0.03 </w:t>
            </w:r>
          </w:p>
        </w:tc>
        <w:tc>
          <w:tcPr>
            <w:tcW w:w="2174" w:type="dxa"/>
            <w:tcBorders>
              <w:top w:val="nil"/>
              <w:left w:val="nil"/>
              <w:bottom w:val="single" w:color="auto" w:sz="4" w:space="0"/>
              <w:right w:val="single" w:color="auto" w:sz="4" w:space="0"/>
            </w:tcBorders>
            <w:shd w:val="clear" w:color="auto" w:fill="auto"/>
            <w:vAlign w:val="bottom"/>
          </w:tcPr>
          <w:p>
            <w:pPr>
              <w:pStyle w:val="107"/>
            </w:pPr>
            <w:r>
              <w:t>0.3694E-01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0.37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2300</w:t>
            </w:r>
          </w:p>
        </w:tc>
        <w:tc>
          <w:tcPr>
            <w:tcW w:w="2174" w:type="dxa"/>
            <w:tcBorders>
              <w:top w:val="nil"/>
              <w:left w:val="nil"/>
              <w:bottom w:val="single" w:color="auto" w:sz="4" w:space="0"/>
              <w:right w:val="single" w:color="auto" w:sz="4" w:space="0"/>
            </w:tcBorders>
            <w:shd w:val="clear" w:color="auto" w:fill="auto"/>
            <w:vAlign w:val="bottom"/>
          </w:tcPr>
          <w:p>
            <w:pPr>
              <w:pStyle w:val="107"/>
            </w:pPr>
            <w:r>
              <w:t>0.5057</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0.03 </w:t>
            </w:r>
          </w:p>
        </w:tc>
        <w:tc>
          <w:tcPr>
            <w:tcW w:w="2174" w:type="dxa"/>
            <w:tcBorders>
              <w:top w:val="nil"/>
              <w:left w:val="nil"/>
              <w:bottom w:val="single" w:color="auto" w:sz="4" w:space="0"/>
              <w:right w:val="single" w:color="auto" w:sz="4" w:space="0"/>
            </w:tcBorders>
            <w:shd w:val="clear" w:color="auto" w:fill="auto"/>
            <w:vAlign w:val="bottom"/>
          </w:tcPr>
          <w:p>
            <w:pPr>
              <w:pStyle w:val="107"/>
            </w:pPr>
            <w:r>
              <w:t>0.3568E-01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0.36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2400</w:t>
            </w:r>
          </w:p>
        </w:tc>
        <w:tc>
          <w:tcPr>
            <w:tcW w:w="2174" w:type="dxa"/>
            <w:tcBorders>
              <w:top w:val="nil"/>
              <w:left w:val="nil"/>
              <w:bottom w:val="single" w:color="auto" w:sz="4" w:space="0"/>
              <w:right w:val="single" w:color="auto" w:sz="4" w:space="0"/>
            </w:tcBorders>
            <w:shd w:val="clear" w:color="auto" w:fill="auto"/>
            <w:vAlign w:val="bottom"/>
          </w:tcPr>
          <w:p>
            <w:pPr>
              <w:pStyle w:val="107"/>
            </w:pPr>
            <w:r>
              <w:t xml:space="preserve">0.4889  </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2174" w:type="dxa"/>
            <w:tcBorders>
              <w:top w:val="nil"/>
              <w:left w:val="nil"/>
              <w:bottom w:val="single" w:color="auto" w:sz="4" w:space="0"/>
              <w:right w:val="single" w:color="auto" w:sz="4" w:space="0"/>
            </w:tcBorders>
            <w:shd w:val="clear" w:color="auto" w:fill="auto"/>
            <w:vAlign w:val="bottom"/>
          </w:tcPr>
          <w:p>
            <w:pPr>
              <w:pStyle w:val="107"/>
            </w:pPr>
            <w:r>
              <w:t>0.3450E-01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0.35 </w:t>
            </w:r>
          </w:p>
        </w:tc>
      </w:tr>
      <w:tr>
        <w:tblPrEx>
          <w:tblLayout w:type="fixed"/>
          <w:tblCellMar>
            <w:top w:w="0" w:type="dxa"/>
            <w:left w:w="108" w:type="dxa"/>
            <w:bottom w:w="0" w:type="dxa"/>
            <w:right w:w="108" w:type="dxa"/>
          </w:tblCellMar>
        </w:tblPrEx>
        <w:trPr>
          <w:trHeight w:val="255" w:hRule="atLeast"/>
        </w:trPr>
        <w:tc>
          <w:tcPr>
            <w:tcW w:w="2704" w:type="dxa"/>
            <w:tcBorders>
              <w:top w:val="nil"/>
              <w:left w:val="single" w:color="auto" w:sz="4" w:space="0"/>
              <w:bottom w:val="single" w:color="auto" w:sz="4" w:space="0"/>
              <w:right w:val="single" w:color="auto" w:sz="4" w:space="0"/>
            </w:tcBorders>
            <w:shd w:val="clear" w:color="auto" w:fill="auto"/>
            <w:vAlign w:val="bottom"/>
          </w:tcPr>
          <w:p>
            <w:pPr>
              <w:pStyle w:val="107"/>
            </w:pPr>
            <w:r>
              <w:t>2500</w:t>
            </w:r>
          </w:p>
        </w:tc>
        <w:tc>
          <w:tcPr>
            <w:tcW w:w="2174" w:type="dxa"/>
            <w:tcBorders>
              <w:top w:val="nil"/>
              <w:left w:val="nil"/>
              <w:bottom w:val="single" w:color="auto" w:sz="4" w:space="0"/>
              <w:right w:val="single" w:color="auto" w:sz="4" w:space="0"/>
            </w:tcBorders>
            <w:shd w:val="clear" w:color="auto" w:fill="auto"/>
            <w:vAlign w:val="bottom"/>
          </w:tcPr>
          <w:p>
            <w:pPr>
              <w:pStyle w:val="107"/>
            </w:pPr>
            <w:r>
              <w:t>0.4731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0.02 </w:t>
            </w:r>
          </w:p>
        </w:tc>
        <w:tc>
          <w:tcPr>
            <w:tcW w:w="2174" w:type="dxa"/>
            <w:tcBorders>
              <w:top w:val="nil"/>
              <w:left w:val="nil"/>
              <w:bottom w:val="single" w:color="auto" w:sz="4" w:space="0"/>
              <w:right w:val="single" w:color="auto" w:sz="4" w:space="0"/>
            </w:tcBorders>
            <w:shd w:val="clear" w:color="auto" w:fill="auto"/>
            <w:vAlign w:val="bottom"/>
          </w:tcPr>
          <w:p>
            <w:pPr>
              <w:pStyle w:val="107"/>
            </w:pPr>
            <w:r>
              <w:t>0.3338E-01</w:t>
            </w:r>
          </w:p>
        </w:tc>
        <w:tc>
          <w:tcPr>
            <w:tcW w:w="1004"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0.33 </w:t>
            </w:r>
          </w:p>
        </w:tc>
      </w:tr>
      <w:tr>
        <w:tblPrEx>
          <w:tblLayout w:type="fixed"/>
          <w:tblCellMar>
            <w:top w:w="0" w:type="dxa"/>
            <w:left w:w="108" w:type="dxa"/>
            <w:bottom w:w="0" w:type="dxa"/>
            <w:right w:w="108" w:type="dxa"/>
          </w:tblCellMar>
        </w:tblPrEx>
        <w:trPr>
          <w:trHeight w:val="255" w:hRule="atLeast"/>
        </w:trPr>
        <w:tc>
          <w:tcPr>
            <w:tcW w:w="270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下风向最大质量浓度及占标率/</w:t>
            </w:r>
            <w:r>
              <w:t>%</w:t>
            </w:r>
          </w:p>
        </w:tc>
        <w:tc>
          <w:tcPr>
            <w:tcW w:w="2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color w:val="auto"/>
              </w:rPr>
            </w:pPr>
            <w:r>
              <w:t>6.730</w:t>
            </w:r>
          </w:p>
        </w:tc>
        <w:tc>
          <w:tcPr>
            <w:tcW w:w="100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rPr>
              <w:t>0.34</w:t>
            </w:r>
          </w:p>
        </w:tc>
        <w:tc>
          <w:tcPr>
            <w:tcW w:w="2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color w:val="auto"/>
              </w:rPr>
            </w:pPr>
            <w:r>
              <w:t>0.4823</w:t>
            </w:r>
          </w:p>
        </w:tc>
        <w:tc>
          <w:tcPr>
            <w:tcW w:w="100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rPr>
              <w:t>4.82</w:t>
            </w:r>
          </w:p>
        </w:tc>
      </w:tr>
      <w:tr>
        <w:tblPrEx>
          <w:tblLayout w:type="fixed"/>
          <w:tblCellMar>
            <w:top w:w="0" w:type="dxa"/>
            <w:left w:w="108" w:type="dxa"/>
            <w:bottom w:w="0" w:type="dxa"/>
            <w:right w:w="108" w:type="dxa"/>
          </w:tblCellMar>
        </w:tblPrEx>
        <w:trPr>
          <w:trHeight w:val="255" w:hRule="atLeast"/>
        </w:trPr>
        <w:tc>
          <w:tcPr>
            <w:tcW w:w="270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D10%</w:t>
            </w:r>
            <w:r>
              <w:rPr>
                <w:rFonts w:hint="eastAsia"/>
              </w:rPr>
              <w:t>最远距离/</w:t>
            </w:r>
            <w:r>
              <w:t>m</w:t>
            </w:r>
          </w:p>
        </w:tc>
        <w:tc>
          <w:tcPr>
            <w:tcW w:w="3178" w:type="dxa"/>
            <w:gridSpan w:val="2"/>
            <w:tcBorders>
              <w:top w:val="single" w:color="auto" w:sz="4" w:space="0"/>
              <w:left w:val="nil"/>
              <w:bottom w:val="single" w:color="auto" w:sz="4" w:space="0"/>
              <w:right w:val="single" w:color="auto" w:sz="4" w:space="0"/>
            </w:tcBorders>
            <w:shd w:val="clear" w:color="auto" w:fill="auto"/>
            <w:vAlign w:val="bottom"/>
          </w:tcPr>
          <w:p>
            <w:pPr>
              <w:pStyle w:val="107"/>
            </w:pPr>
            <w:r>
              <w:rPr>
                <w:rFonts w:hint="eastAsia"/>
              </w:rPr>
              <w:t>0</w:t>
            </w:r>
          </w:p>
        </w:tc>
        <w:tc>
          <w:tcPr>
            <w:tcW w:w="3178" w:type="dxa"/>
            <w:gridSpan w:val="2"/>
            <w:tcBorders>
              <w:top w:val="single" w:color="auto" w:sz="4" w:space="0"/>
              <w:left w:val="nil"/>
              <w:bottom w:val="single" w:color="auto" w:sz="4" w:space="0"/>
              <w:right w:val="single" w:color="auto" w:sz="4" w:space="0"/>
            </w:tcBorders>
            <w:shd w:val="clear" w:color="auto" w:fill="auto"/>
            <w:vAlign w:val="bottom"/>
          </w:tcPr>
          <w:p>
            <w:pPr>
              <w:pStyle w:val="107"/>
            </w:pPr>
            <w:r>
              <w:rPr>
                <w:rFonts w:hint="eastAsia"/>
              </w:rPr>
              <w:t>0</w:t>
            </w:r>
          </w:p>
        </w:tc>
      </w:tr>
    </w:tbl>
    <w:p>
      <w:pPr>
        <w:ind w:firstLine="480"/>
      </w:pPr>
      <w:r>
        <w:rPr>
          <w:rFonts w:hint="eastAsia"/>
        </w:rPr>
        <w:t>混炼车间面源中</w:t>
      </w:r>
      <w:r>
        <w:t>H</w:t>
      </w:r>
      <w:r>
        <w:rPr>
          <w:vertAlign w:val="subscript"/>
        </w:rPr>
        <w:t>2</w:t>
      </w:r>
      <w:r>
        <w:t>S</w:t>
      </w:r>
      <w:r>
        <w:rPr>
          <w:rFonts w:hint="eastAsia"/>
        </w:rPr>
        <w:t>预测结果相对最大,浓度值为</w:t>
      </w:r>
      <w:r>
        <w:t>0.4823μg</w:t>
      </w:r>
      <w:r>
        <w:rPr>
          <w:rFonts w:hint="eastAsia"/>
        </w:rPr>
        <w:t>/m³,标准值为</w:t>
      </w:r>
      <w:r>
        <w:t>10.0μg</w:t>
      </w:r>
      <w:r>
        <w:rPr>
          <w:rFonts w:hint="eastAsia"/>
        </w:rPr>
        <w:t>/m³,占标率为</w:t>
      </w:r>
      <w:r>
        <w:t>4.82</w:t>
      </w:r>
      <w:r>
        <w:rPr>
          <w:rFonts w:hint="eastAsia"/>
        </w:rPr>
        <w:t>%,判定该 污染源的评价等级为二级。</w:t>
      </w:r>
    </w:p>
    <w:p>
      <w:pPr>
        <w:pStyle w:val="18"/>
      </w:pPr>
      <w:bookmarkStart w:id="459" w:name="_Ref3475665"/>
      <w:bookmarkStart w:id="460" w:name="_Ref532412267"/>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18</w:t>
      </w:r>
      <w:r>
        <w:fldChar w:fldCharType="end"/>
      </w:r>
      <w:bookmarkEnd w:id="459"/>
      <w:bookmarkEnd w:id="460"/>
      <w:r>
        <w:rPr>
          <w:rFonts w:hint="eastAsia"/>
        </w:rPr>
        <w:t>硫化车间面污染源估算模型计算结果表</w:t>
      </w:r>
    </w:p>
    <w:tbl>
      <w:tblPr>
        <w:tblStyle w:val="56"/>
        <w:tblW w:w="8931" w:type="dxa"/>
        <w:tblInd w:w="-5" w:type="dxa"/>
        <w:tblLayout w:type="fixed"/>
        <w:tblCellMar>
          <w:top w:w="0" w:type="dxa"/>
          <w:left w:w="108" w:type="dxa"/>
          <w:bottom w:w="0" w:type="dxa"/>
          <w:right w:w="108" w:type="dxa"/>
        </w:tblCellMar>
      </w:tblPr>
      <w:tblGrid>
        <w:gridCol w:w="1560"/>
        <w:gridCol w:w="1720"/>
        <w:gridCol w:w="2200"/>
        <w:gridCol w:w="2200"/>
        <w:gridCol w:w="1251"/>
      </w:tblGrid>
      <w:tr>
        <w:tblPrEx>
          <w:tblLayout w:type="fixed"/>
          <w:tblCellMar>
            <w:top w:w="0" w:type="dxa"/>
            <w:left w:w="108" w:type="dxa"/>
            <w:bottom w:w="0" w:type="dxa"/>
            <w:right w:w="108" w:type="dxa"/>
          </w:tblCellMar>
        </w:tblPrEx>
        <w:trPr>
          <w:trHeight w:val="255" w:hRule="atLeast"/>
          <w:tblHeader/>
        </w:trPr>
        <w:tc>
          <w:tcPr>
            <w:tcW w:w="1560" w:type="dxa"/>
            <w:vMerge w:val="restart"/>
            <w:tcBorders>
              <w:top w:val="single" w:color="auto" w:sz="4" w:space="0"/>
              <w:left w:val="single" w:color="auto" w:sz="4" w:space="0"/>
              <w:right w:val="single" w:color="auto" w:sz="4" w:space="0"/>
            </w:tcBorders>
            <w:shd w:val="clear" w:color="auto" w:fill="auto"/>
            <w:vAlign w:val="center"/>
          </w:tcPr>
          <w:p>
            <w:pPr>
              <w:pStyle w:val="107"/>
            </w:pPr>
            <w:r>
              <w:rPr>
                <w:b/>
              </w:rPr>
              <w:t>下风向距离(m)</w:t>
            </w:r>
          </w:p>
        </w:tc>
        <w:tc>
          <w:tcPr>
            <w:tcW w:w="3920"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b/>
              </w:rPr>
              <w:t>H</w:t>
            </w:r>
            <w:r>
              <w:rPr>
                <w:b/>
                <w:vertAlign w:val="subscript"/>
              </w:rPr>
              <w:t>2</w:t>
            </w:r>
            <w:r>
              <w:rPr>
                <w:b/>
              </w:rPr>
              <w:t>S</w:t>
            </w:r>
          </w:p>
        </w:tc>
        <w:tc>
          <w:tcPr>
            <w:tcW w:w="3451"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b/>
              </w:rPr>
              <w:t>NMHC</w:t>
            </w:r>
          </w:p>
        </w:tc>
      </w:tr>
      <w:tr>
        <w:tblPrEx>
          <w:tblLayout w:type="fixed"/>
          <w:tblCellMar>
            <w:top w:w="0" w:type="dxa"/>
            <w:left w:w="108" w:type="dxa"/>
            <w:bottom w:w="0" w:type="dxa"/>
            <w:right w:w="108" w:type="dxa"/>
          </w:tblCellMar>
        </w:tblPrEx>
        <w:trPr>
          <w:trHeight w:val="255" w:hRule="atLeast"/>
          <w:tblHeader/>
        </w:trPr>
        <w:tc>
          <w:tcPr>
            <w:tcW w:w="1560" w:type="dxa"/>
            <w:vMerge w:val="continue"/>
            <w:tcBorders>
              <w:left w:val="single" w:color="auto" w:sz="4" w:space="0"/>
              <w:bottom w:val="single" w:color="auto" w:sz="4" w:space="0"/>
              <w:right w:val="single" w:color="auto" w:sz="4" w:space="0"/>
            </w:tcBorders>
            <w:shd w:val="clear" w:color="auto" w:fill="auto"/>
            <w:vAlign w:val="center"/>
          </w:tcPr>
          <w:p>
            <w:pPr>
              <w:pStyle w:val="107"/>
            </w:pPr>
          </w:p>
        </w:tc>
        <w:tc>
          <w:tcPr>
            <w:tcW w:w="1720"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b/>
              </w:rPr>
              <w:t>预测质量浓度/（</w:t>
            </w:r>
            <w:r>
              <w:rPr>
                <w:b/>
              </w:rPr>
              <w:t>μg/m</w:t>
            </w:r>
            <w:r>
              <w:rPr>
                <w:b/>
                <w:vertAlign w:val="superscript"/>
              </w:rPr>
              <w:t>3</w:t>
            </w:r>
            <w:r>
              <w:rPr>
                <w:rFonts w:hint="eastAsia"/>
                <w:b/>
              </w:rPr>
              <w:t>）</w:t>
            </w:r>
          </w:p>
        </w:tc>
        <w:tc>
          <w:tcPr>
            <w:tcW w:w="2200"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b/>
              </w:rPr>
              <w:t>占标率/</w:t>
            </w:r>
            <w:r>
              <w:rPr>
                <w:b/>
              </w:rPr>
              <w:t>%</w:t>
            </w:r>
          </w:p>
        </w:tc>
        <w:tc>
          <w:tcPr>
            <w:tcW w:w="2200"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b/>
              </w:rPr>
              <w:t>预测质量浓度/（</w:t>
            </w:r>
            <w:r>
              <w:rPr>
                <w:b/>
              </w:rPr>
              <w:t>μg/m</w:t>
            </w:r>
            <w:r>
              <w:rPr>
                <w:b/>
                <w:vertAlign w:val="superscript"/>
              </w:rPr>
              <w:t>3</w:t>
            </w:r>
            <w:r>
              <w:rPr>
                <w:rFonts w:hint="eastAsia"/>
                <w:b/>
              </w:rPr>
              <w:t>）</w:t>
            </w:r>
          </w:p>
        </w:tc>
        <w:tc>
          <w:tcPr>
            <w:tcW w:w="1251"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b/>
              </w:rPr>
              <w:t>占标率/</w:t>
            </w:r>
            <w:r>
              <w:rPr>
                <w:b/>
              </w:rPr>
              <w:t>%</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25</w:t>
            </w:r>
          </w:p>
        </w:tc>
        <w:tc>
          <w:tcPr>
            <w:tcW w:w="1720" w:type="dxa"/>
            <w:tcBorders>
              <w:top w:val="nil"/>
              <w:left w:val="nil"/>
              <w:bottom w:val="single" w:color="auto" w:sz="4" w:space="0"/>
              <w:right w:val="single" w:color="auto" w:sz="4" w:space="0"/>
            </w:tcBorders>
            <w:shd w:val="clear" w:color="auto" w:fill="auto"/>
            <w:vAlign w:val="bottom"/>
          </w:tcPr>
          <w:p>
            <w:pPr>
              <w:pStyle w:val="107"/>
            </w:pPr>
            <w:r>
              <w:t xml:space="preserve">0.4748  </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4.75 </w:t>
            </w:r>
          </w:p>
        </w:tc>
        <w:tc>
          <w:tcPr>
            <w:tcW w:w="2200" w:type="dxa"/>
            <w:tcBorders>
              <w:top w:val="nil"/>
              <w:left w:val="nil"/>
              <w:bottom w:val="single" w:color="auto" w:sz="4" w:space="0"/>
              <w:right w:val="single" w:color="auto" w:sz="4" w:space="0"/>
            </w:tcBorders>
            <w:shd w:val="clear" w:color="auto" w:fill="auto"/>
            <w:vAlign w:val="bottom"/>
          </w:tcPr>
          <w:p>
            <w:pPr>
              <w:pStyle w:val="107"/>
            </w:pPr>
            <w:r>
              <w:t>12.53</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0.63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50</w:t>
            </w:r>
          </w:p>
        </w:tc>
        <w:tc>
          <w:tcPr>
            <w:tcW w:w="1720" w:type="dxa"/>
            <w:tcBorders>
              <w:top w:val="nil"/>
              <w:left w:val="nil"/>
              <w:bottom w:val="single" w:color="auto" w:sz="4" w:space="0"/>
              <w:right w:val="single" w:color="auto" w:sz="4" w:space="0"/>
            </w:tcBorders>
            <w:shd w:val="clear" w:color="auto" w:fill="auto"/>
            <w:vAlign w:val="bottom"/>
          </w:tcPr>
          <w:p>
            <w:pPr>
              <w:pStyle w:val="107"/>
            </w:pPr>
            <w:r>
              <w:t>0.3669</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3.67 </w:t>
            </w:r>
          </w:p>
        </w:tc>
        <w:tc>
          <w:tcPr>
            <w:tcW w:w="2200" w:type="dxa"/>
            <w:tcBorders>
              <w:top w:val="nil"/>
              <w:left w:val="nil"/>
              <w:bottom w:val="single" w:color="auto" w:sz="4" w:space="0"/>
              <w:right w:val="single" w:color="auto" w:sz="4" w:space="0"/>
            </w:tcBorders>
            <w:shd w:val="clear" w:color="auto" w:fill="auto"/>
            <w:vAlign w:val="bottom"/>
          </w:tcPr>
          <w:p>
            <w:pPr>
              <w:pStyle w:val="107"/>
            </w:pPr>
            <w:r>
              <w:t>9.678</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0.48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75</w:t>
            </w:r>
          </w:p>
        </w:tc>
        <w:tc>
          <w:tcPr>
            <w:tcW w:w="1720" w:type="dxa"/>
            <w:tcBorders>
              <w:top w:val="nil"/>
              <w:left w:val="nil"/>
              <w:bottom w:val="single" w:color="auto" w:sz="4" w:space="0"/>
              <w:right w:val="single" w:color="auto" w:sz="4" w:space="0"/>
            </w:tcBorders>
            <w:shd w:val="clear" w:color="auto" w:fill="auto"/>
            <w:vAlign w:val="bottom"/>
          </w:tcPr>
          <w:p>
            <w:pPr>
              <w:pStyle w:val="107"/>
            </w:pPr>
            <w:r>
              <w:t>0.2634</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2.63 </w:t>
            </w:r>
          </w:p>
        </w:tc>
        <w:tc>
          <w:tcPr>
            <w:tcW w:w="2200" w:type="dxa"/>
            <w:tcBorders>
              <w:top w:val="nil"/>
              <w:left w:val="nil"/>
              <w:bottom w:val="single" w:color="auto" w:sz="4" w:space="0"/>
              <w:right w:val="single" w:color="auto" w:sz="4" w:space="0"/>
            </w:tcBorders>
            <w:shd w:val="clear" w:color="auto" w:fill="auto"/>
            <w:vAlign w:val="bottom"/>
          </w:tcPr>
          <w:p>
            <w:pPr>
              <w:pStyle w:val="107"/>
            </w:pPr>
            <w:r>
              <w:t>6.948</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0.35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100</w:t>
            </w:r>
          </w:p>
        </w:tc>
        <w:tc>
          <w:tcPr>
            <w:tcW w:w="1720" w:type="dxa"/>
            <w:tcBorders>
              <w:top w:val="nil"/>
              <w:left w:val="nil"/>
              <w:bottom w:val="single" w:color="auto" w:sz="4" w:space="0"/>
              <w:right w:val="single" w:color="auto" w:sz="4" w:space="0"/>
            </w:tcBorders>
            <w:shd w:val="clear" w:color="auto" w:fill="auto"/>
            <w:vAlign w:val="bottom"/>
          </w:tcPr>
          <w:p>
            <w:pPr>
              <w:pStyle w:val="107"/>
            </w:pPr>
            <w:r>
              <w:t>0.1991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1.99 </w:t>
            </w:r>
          </w:p>
        </w:tc>
        <w:tc>
          <w:tcPr>
            <w:tcW w:w="2200" w:type="dxa"/>
            <w:tcBorders>
              <w:top w:val="nil"/>
              <w:left w:val="nil"/>
              <w:bottom w:val="single" w:color="auto" w:sz="4" w:space="0"/>
              <w:right w:val="single" w:color="auto" w:sz="4" w:space="0"/>
            </w:tcBorders>
            <w:shd w:val="clear" w:color="auto" w:fill="auto"/>
            <w:vAlign w:val="bottom"/>
          </w:tcPr>
          <w:p>
            <w:pPr>
              <w:pStyle w:val="107"/>
            </w:pPr>
            <w:r>
              <w:t>5.252</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0.26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200</w:t>
            </w:r>
          </w:p>
        </w:tc>
        <w:tc>
          <w:tcPr>
            <w:tcW w:w="1720" w:type="dxa"/>
            <w:tcBorders>
              <w:top w:val="nil"/>
              <w:left w:val="nil"/>
              <w:bottom w:val="single" w:color="auto" w:sz="4" w:space="0"/>
              <w:right w:val="single" w:color="auto" w:sz="4" w:space="0"/>
            </w:tcBorders>
            <w:shd w:val="clear" w:color="auto" w:fill="auto"/>
            <w:vAlign w:val="bottom"/>
          </w:tcPr>
          <w:p>
            <w:pPr>
              <w:pStyle w:val="107"/>
            </w:pPr>
            <w:r>
              <w:t>0.1462</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1.46 </w:t>
            </w:r>
          </w:p>
        </w:tc>
        <w:tc>
          <w:tcPr>
            <w:tcW w:w="2200" w:type="dxa"/>
            <w:tcBorders>
              <w:top w:val="nil"/>
              <w:left w:val="nil"/>
              <w:bottom w:val="single" w:color="auto" w:sz="4" w:space="0"/>
              <w:right w:val="single" w:color="auto" w:sz="4" w:space="0"/>
            </w:tcBorders>
            <w:shd w:val="clear" w:color="auto" w:fill="auto"/>
            <w:vAlign w:val="bottom"/>
          </w:tcPr>
          <w:p>
            <w:pPr>
              <w:pStyle w:val="107"/>
            </w:pPr>
            <w:r>
              <w:t>3.855</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0.19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300</w:t>
            </w:r>
          </w:p>
        </w:tc>
        <w:tc>
          <w:tcPr>
            <w:tcW w:w="1720" w:type="dxa"/>
            <w:tcBorders>
              <w:top w:val="nil"/>
              <w:left w:val="nil"/>
              <w:bottom w:val="single" w:color="auto" w:sz="4" w:space="0"/>
              <w:right w:val="single" w:color="auto" w:sz="4" w:space="0"/>
            </w:tcBorders>
            <w:shd w:val="clear" w:color="auto" w:fill="auto"/>
            <w:vAlign w:val="bottom"/>
          </w:tcPr>
          <w:p>
            <w:pPr>
              <w:pStyle w:val="107"/>
            </w:pPr>
            <w:r>
              <w:t>0.1267</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1.27 </w:t>
            </w:r>
          </w:p>
        </w:tc>
        <w:tc>
          <w:tcPr>
            <w:tcW w:w="2200" w:type="dxa"/>
            <w:tcBorders>
              <w:top w:val="nil"/>
              <w:left w:val="nil"/>
              <w:bottom w:val="single" w:color="auto" w:sz="4" w:space="0"/>
              <w:right w:val="single" w:color="auto" w:sz="4" w:space="0"/>
            </w:tcBorders>
            <w:shd w:val="clear" w:color="auto" w:fill="auto"/>
            <w:vAlign w:val="bottom"/>
          </w:tcPr>
          <w:p>
            <w:pPr>
              <w:pStyle w:val="107"/>
            </w:pPr>
            <w:r>
              <w:t xml:space="preserve">3.343  </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0.17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400</w:t>
            </w:r>
          </w:p>
        </w:tc>
        <w:tc>
          <w:tcPr>
            <w:tcW w:w="1720" w:type="dxa"/>
            <w:tcBorders>
              <w:top w:val="nil"/>
              <w:left w:val="nil"/>
              <w:bottom w:val="single" w:color="auto" w:sz="4" w:space="0"/>
              <w:right w:val="single" w:color="auto" w:sz="4" w:space="0"/>
            </w:tcBorders>
            <w:shd w:val="clear" w:color="auto" w:fill="auto"/>
            <w:vAlign w:val="bottom"/>
          </w:tcPr>
          <w:p>
            <w:pPr>
              <w:pStyle w:val="107"/>
            </w:pPr>
            <w:r>
              <w:t>0.1120</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1.12 </w:t>
            </w:r>
          </w:p>
        </w:tc>
        <w:tc>
          <w:tcPr>
            <w:tcW w:w="2200" w:type="dxa"/>
            <w:tcBorders>
              <w:top w:val="nil"/>
              <w:left w:val="nil"/>
              <w:bottom w:val="single" w:color="auto" w:sz="4" w:space="0"/>
              <w:right w:val="single" w:color="auto" w:sz="4" w:space="0"/>
            </w:tcBorders>
            <w:shd w:val="clear" w:color="auto" w:fill="auto"/>
            <w:vAlign w:val="bottom"/>
          </w:tcPr>
          <w:p>
            <w:pPr>
              <w:pStyle w:val="107"/>
            </w:pPr>
            <w:r>
              <w:t>2.954</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0.15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500</w:t>
            </w:r>
          </w:p>
        </w:tc>
        <w:tc>
          <w:tcPr>
            <w:tcW w:w="1720" w:type="dxa"/>
            <w:tcBorders>
              <w:top w:val="nil"/>
              <w:left w:val="nil"/>
              <w:bottom w:val="single" w:color="auto" w:sz="4" w:space="0"/>
              <w:right w:val="single" w:color="auto" w:sz="4" w:space="0"/>
            </w:tcBorders>
            <w:shd w:val="clear" w:color="auto" w:fill="auto"/>
            <w:vAlign w:val="bottom"/>
          </w:tcPr>
          <w:p>
            <w:pPr>
              <w:pStyle w:val="107"/>
            </w:pPr>
            <w:r>
              <w:t>0.1002</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1.00 </w:t>
            </w:r>
          </w:p>
        </w:tc>
        <w:tc>
          <w:tcPr>
            <w:tcW w:w="2200" w:type="dxa"/>
            <w:tcBorders>
              <w:top w:val="nil"/>
              <w:left w:val="nil"/>
              <w:bottom w:val="single" w:color="auto" w:sz="4" w:space="0"/>
              <w:right w:val="single" w:color="auto" w:sz="4" w:space="0"/>
            </w:tcBorders>
            <w:shd w:val="clear" w:color="auto" w:fill="auto"/>
            <w:vAlign w:val="bottom"/>
          </w:tcPr>
          <w:p>
            <w:pPr>
              <w:pStyle w:val="107"/>
            </w:pPr>
            <w:r>
              <w:t>2.644</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0.13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600</w:t>
            </w:r>
          </w:p>
        </w:tc>
        <w:tc>
          <w:tcPr>
            <w:tcW w:w="1720" w:type="dxa"/>
            <w:tcBorders>
              <w:top w:val="nil"/>
              <w:left w:val="nil"/>
              <w:bottom w:val="single" w:color="auto" w:sz="4" w:space="0"/>
              <w:right w:val="single" w:color="auto" w:sz="4" w:space="0"/>
            </w:tcBorders>
            <w:shd w:val="clear" w:color="auto" w:fill="auto"/>
            <w:vAlign w:val="bottom"/>
          </w:tcPr>
          <w:p>
            <w:pPr>
              <w:pStyle w:val="107"/>
            </w:pPr>
            <w:r>
              <w:t>0.9057E-01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0.91 </w:t>
            </w:r>
          </w:p>
        </w:tc>
        <w:tc>
          <w:tcPr>
            <w:tcW w:w="2200" w:type="dxa"/>
            <w:tcBorders>
              <w:top w:val="nil"/>
              <w:left w:val="nil"/>
              <w:bottom w:val="single" w:color="auto" w:sz="4" w:space="0"/>
              <w:right w:val="single" w:color="auto" w:sz="4" w:space="0"/>
            </w:tcBorders>
            <w:shd w:val="clear" w:color="auto" w:fill="auto"/>
            <w:vAlign w:val="bottom"/>
          </w:tcPr>
          <w:p>
            <w:pPr>
              <w:pStyle w:val="107"/>
            </w:pPr>
            <w:r>
              <w:t>2.389</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0.12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700</w:t>
            </w:r>
          </w:p>
        </w:tc>
        <w:tc>
          <w:tcPr>
            <w:tcW w:w="1720" w:type="dxa"/>
            <w:tcBorders>
              <w:top w:val="nil"/>
              <w:left w:val="nil"/>
              <w:bottom w:val="single" w:color="auto" w:sz="4" w:space="0"/>
              <w:right w:val="single" w:color="auto" w:sz="4" w:space="0"/>
            </w:tcBorders>
            <w:shd w:val="clear" w:color="auto" w:fill="auto"/>
            <w:vAlign w:val="bottom"/>
          </w:tcPr>
          <w:p>
            <w:pPr>
              <w:pStyle w:val="107"/>
            </w:pPr>
            <w:r>
              <w:t>0.8245E-01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0.82 </w:t>
            </w:r>
          </w:p>
        </w:tc>
        <w:tc>
          <w:tcPr>
            <w:tcW w:w="2200" w:type="dxa"/>
            <w:tcBorders>
              <w:top w:val="nil"/>
              <w:left w:val="nil"/>
              <w:bottom w:val="single" w:color="auto" w:sz="4" w:space="0"/>
              <w:right w:val="single" w:color="auto" w:sz="4" w:space="0"/>
            </w:tcBorders>
            <w:shd w:val="clear" w:color="auto" w:fill="auto"/>
            <w:vAlign w:val="bottom"/>
          </w:tcPr>
          <w:p>
            <w:pPr>
              <w:pStyle w:val="107"/>
            </w:pPr>
            <w:r>
              <w:t>2.175</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0.11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800</w:t>
            </w:r>
          </w:p>
        </w:tc>
        <w:tc>
          <w:tcPr>
            <w:tcW w:w="1720" w:type="dxa"/>
            <w:tcBorders>
              <w:top w:val="nil"/>
              <w:left w:val="nil"/>
              <w:bottom w:val="single" w:color="auto" w:sz="4" w:space="0"/>
              <w:right w:val="single" w:color="auto" w:sz="4" w:space="0"/>
            </w:tcBorders>
            <w:shd w:val="clear" w:color="auto" w:fill="auto"/>
            <w:vAlign w:val="bottom"/>
          </w:tcPr>
          <w:p>
            <w:pPr>
              <w:pStyle w:val="107"/>
            </w:pPr>
            <w:r>
              <w:t>0.7556E-01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0.76 </w:t>
            </w:r>
          </w:p>
        </w:tc>
        <w:tc>
          <w:tcPr>
            <w:tcW w:w="2200" w:type="dxa"/>
            <w:tcBorders>
              <w:top w:val="nil"/>
              <w:left w:val="nil"/>
              <w:bottom w:val="single" w:color="auto" w:sz="4" w:space="0"/>
              <w:right w:val="single" w:color="auto" w:sz="4" w:space="0"/>
            </w:tcBorders>
            <w:shd w:val="clear" w:color="auto" w:fill="auto"/>
            <w:vAlign w:val="bottom"/>
          </w:tcPr>
          <w:p>
            <w:pPr>
              <w:pStyle w:val="107"/>
            </w:pPr>
            <w:r>
              <w:t>1.993</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0.10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900</w:t>
            </w:r>
          </w:p>
        </w:tc>
        <w:tc>
          <w:tcPr>
            <w:tcW w:w="1720" w:type="dxa"/>
            <w:tcBorders>
              <w:top w:val="nil"/>
              <w:left w:val="nil"/>
              <w:bottom w:val="single" w:color="auto" w:sz="4" w:space="0"/>
              <w:right w:val="single" w:color="auto" w:sz="4" w:space="0"/>
            </w:tcBorders>
            <w:shd w:val="clear" w:color="auto" w:fill="auto"/>
            <w:vAlign w:val="bottom"/>
          </w:tcPr>
          <w:p>
            <w:pPr>
              <w:pStyle w:val="107"/>
            </w:pPr>
            <w:r>
              <w:t>0.6963E-01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0.70 </w:t>
            </w:r>
          </w:p>
        </w:tc>
        <w:tc>
          <w:tcPr>
            <w:tcW w:w="2200" w:type="dxa"/>
            <w:tcBorders>
              <w:top w:val="nil"/>
              <w:left w:val="nil"/>
              <w:bottom w:val="single" w:color="auto" w:sz="4" w:space="0"/>
              <w:right w:val="single" w:color="auto" w:sz="4" w:space="0"/>
            </w:tcBorders>
            <w:shd w:val="clear" w:color="auto" w:fill="auto"/>
            <w:vAlign w:val="bottom"/>
          </w:tcPr>
          <w:p>
            <w:pPr>
              <w:pStyle w:val="107"/>
            </w:pPr>
            <w:r>
              <w:t>1.837</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0.09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1000</w:t>
            </w:r>
          </w:p>
        </w:tc>
        <w:tc>
          <w:tcPr>
            <w:tcW w:w="1720" w:type="dxa"/>
            <w:tcBorders>
              <w:top w:val="nil"/>
              <w:left w:val="nil"/>
              <w:bottom w:val="single" w:color="auto" w:sz="4" w:space="0"/>
              <w:right w:val="single" w:color="auto" w:sz="4" w:space="0"/>
            </w:tcBorders>
            <w:shd w:val="clear" w:color="auto" w:fill="auto"/>
            <w:vAlign w:val="bottom"/>
          </w:tcPr>
          <w:p>
            <w:pPr>
              <w:pStyle w:val="107"/>
            </w:pPr>
            <w:r>
              <w:t>0.6456E-01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0.65 </w:t>
            </w:r>
          </w:p>
        </w:tc>
        <w:tc>
          <w:tcPr>
            <w:tcW w:w="2200" w:type="dxa"/>
            <w:tcBorders>
              <w:top w:val="nil"/>
              <w:left w:val="nil"/>
              <w:bottom w:val="single" w:color="auto" w:sz="4" w:space="0"/>
              <w:right w:val="single" w:color="auto" w:sz="4" w:space="0"/>
            </w:tcBorders>
            <w:shd w:val="clear" w:color="auto" w:fill="auto"/>
            <w:vAlign w:val="bottom"/>
          </w:tcPr>
          <w:p>
            <w:pPr>
              <w:pStyle w:val="107"/>
            </w:pPr>
            <w:r>
              <w:t>1.703</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0.09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1100</w:t>
            </w:r>
          </w:p>
        </w:tc>
        <w:tc>
          <w:tcPr>
            <w:tcW w:w="1720" w:type="dxa"/>
            <w:tcBorders>
              <w:top w:val="nil"/>
              <w:left w:val="nil"/>
              <w:bottom w:val="single" w:color="auto" w:sz="4" w:space="0"/>
              <w:right w:val="single" w:color="auto" w:sz="4" w:space="0"/>
            </w:tcBorders>
            <w:shd w:val="clear" w:color="auto" w:fill="auto"/>
            <w:vAlign w:val="bottom"/>
          </w:tcPr>
          <w:p>
            <w:pPr>
              <w:pStyle w:val="107"/>
            </w:pPr>
            <w:r>
              <w:t>0.6077E-01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0.61 </w:t>
            </w:r>
          </w:p>
        </w:tc>
        <w:tc>
          <w:tcPr>
            <w:tcW w:w="2200" w:type="dxa"/>
            <w:tcBorders>
              <w:top w:val="nil"/>
              <w:left w:val="nil"/>
              <w:bottom w:val="single" w:color="auto" w:sz="4" w:space="0"/>
              <w:right w:val="single" w:color="auto" w:sz="4" w:space="0"/>
            </w:tcBorders>
            <w:shd w:val="clear" w:color="auto" w:fill="auto"/>
            <w:vAlign w:val="bottom"/>
          </w:tcPr>
          <w:p>
            <w:pPr>
              <w:pStyle w:val="107"/>
            </w:pPr>
            <w:r>
              <w:t>1.603</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0.08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1200</w:t>
            </w:r>
          </w:p>
        </w:tc>
        <w:tc>
          <w:tcPr>
            <w:tcW w:w="1720" w:type="dxa"/>
            <w:tcBorders>
              <w:top w:val="nil"/>
              <w:left w:val="nil"/>
              <w:bottom w:val="single" w:color="auto" w:sz="4" w:space="0"/>
              <w:right w:val="single" w:color="auto" w:sz="4" w:space="0"/>
            </w:tcBorders>
            <w:shd w:val="clear" w:color="auto" w:fill="auto"/>
            <w:vAlign w:val="bottom"/>
          </w:tcPr>
          <w:p>
            <w:pPr>
              <w:pStyle w:val="107"/>
            </w:pPr>
            <w:r>
              <w:t xml:space="preserve">0.5737E-01  </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0.57 </w:t>
            </w:r>
          </w:p>
        </w:tc>
        <w:tc>
          <w:tcPr>
            <w:tcW w:w="2200" w:type="dxa"/>
            <w:tcBorders>
              <w:top w:val="nil"/>
              <w:left w:val="nil"/>
              <w:bottom w:val="single" w:color="auto" w:sz="4" w:space="0"/>
              <w:right w:val="single" w:color="auto" w:sz="4" w:space="0"/>
            </w:tcBorders>
            <w:shd w:val="clear" w:color="auto" w:fill="auto"/>
            <w:vAlign w:val="bottom"/>
          </w:tcPr>
          <w:p>
            <w:pPr>
              <w:pStyle w:val="107"/>
            </w:pPr>
            <w:r>
              <w:t>1.513</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0.08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1300</w:t>
            </w:r>
          </w:p>
        </w:tc>
        <w:tc>
          <w:tcPr>
            <w:tcW w:w="1720" w:type="dxa"/>
            <w:tcBorders>
              <w:top w:val="nil"/>
              <w:left w:val="nil"/>
              <w:bottom w:val="single" w:color="auto" w:sz="4" w:space="0"/>
              <w:right w:val="single" w:color="auto" w:sz="4" w:space="0"/>
            </w:tcBorders>
            <w:shd w:val="clear" w:color="auto" w:fill="auto"/>
            <w:vAlign w:val="bottom"/>
          </w:tcPr>
          <w:p>
            <w:pPr>
              <w:pStyle w:val="107"/>
            </w:pPr>
            <w:r>
              <w:t>0.5429E-01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0.54 </w:t>
            </w:r>
          </w:p>
        </w:tc>
        <w:tc>
          <w:tcPr>
            <w:tcW w:w="2200" w:type="dxa"/>
            <w:tcBorders>
              <w:top w:val="nil"/>
              <w:left w:val="nil"/>
              <w:bottom w:val="single" w:color="auto" w:sz="4" w:space="0"/>
              <w:right w:val="single" w:color="auto" w:sz="4" w:space="0"/>
            </w:tcBorders>
            <w:shd w:val="clear" w:color="auto" w:fill="auto"/>
            <w:vAlign w:val="bottom"/>
          </w:tcPr>
          <w:p>
            <w:pPr>
              <w:pStyle w:val="107"/>
            </w:pPr>
            <w:r>
              <w:t>1.432</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0.07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1400</w:t>
            </w:r>
          </w:p>
        </w:tc>
        <w:tc>
          <w:tcPr>
            <w:tcW w:w="1720" w:type="dxa"/>
            <w:tcBorders>
              <w:top w:val="nil"/>
              <w:left w:val="nil"/>
              <w:bottom w:val="single" w:color="auto" w:sz="4" w:space="0"/>
              <w:right w:val="single" w:color="auto" w:sz="4" w:space="0"/>
            </w:tcBorders>
            <w:shd w:val="clear" w:color="auto" w:fill="auto"/>
            <w:vAlign w:val="bottom"/>
          </w:tcPr>
          <w:p>
            <w:pPr>
              <w:pStyle w:val="107"/>
            </w:pPr>
            <w:r>
              <w:t>0.5149E-01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0.51 </w:t>
            </w:r>
          </w:p>
        </w:tc>
        <w:tc>
          <w:tcPr>
            <w:tcW w:w="2200" w:type="dxa"/>
            <w:tcBorders>
              <w:top w:val="nil"/>
              <w:left w:val="nil"/>
              <w:bottom w:val="single" w:color="auto" w:sz="4" w:space="0"/>
              <w:right w:val="single" w:color="auto" w:sz="4" w:space="0"/>
            </w:tcBorders>
            <w:shd w:val="clear" w:color="auto" w:fill="auto"/>
            <w:vAlign w:val="bottom"/>
          </w:tcPr>
          <w:p>
            <w:pPr>
              <w:pStyle w:val="107"/>
            </w:pPr>
            <w:r>
              <w:t>1.358</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0.07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1500</w:t>
            </w:r>
          </w:p>
        </w:tc>
        <w:tc>
          <w:tcPr>
            <w:tcW w:w="1720" w:type="dxa"/>
            <w:tcBorders>
              <w:top w:val="nil"/>
              <w:left w:val="nil"/>
              <w:bottom w:val="single" w:color="auto" w:sz="4" w:space="0"/>
              <w:right w:val="single" w:color="auto" w:sz="4" w:space="0"/>
            </w:tcBorders>
            <w:shd w:val="clear" w:color="auto" w:fill="auto"/>
            <w:vAlign w:val="bottom"/>
          </w:tcPr>
          <w:p>
            <w:pPr>
              <w:pStyle w:val="107"/>
            </w:pPr>
            <w:r>
              <w:t>0.4895E-01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0.49 </w:t>
            </w:r>
          </w:p>
        </w:tc>
        <w:tc>
          <w:tcPr>
            <w:tcW w:w="2200" w:type="dxa"/>
            <w:tcBorders>
              <w:top w:val="nil"/>
              <w:left w:val="nil"/>
              <w:bottom w:val="single" w:color="auto" w:sz="4" w:space="0"/>
              <w:right w:val="single" w:color="auto" w:sz="4" w:space="0"/>
            </w:tcBorders>
            <w:shd w:val="clear" w:color="auto" w:fill="auto"/>
            <w:vAlign w:val="bottom"/>
          </w:tcPr>
          <w:p>
            <w:pPr>
              <w:pStyle w:val="107"/>
            </w:pPr>
            <w:r>
              <w:t>1.291</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0.06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1600</w:t>
            </w:r>
          </w:p>
        </w:tc>
        <w:tc>
          <w:tcPr>
            <w:tcW w:w="1720" w:type="dxa"/>
            <w:tcBorders>
              <w:top w:val="nil"/>
              <w:left w:val="nil"/>
              <w:bottom w:val="single" w:color="auto" w:sz="4" w:space="0"/>
              <w:right w:val="single" w:color="auto" w:sz="4" w:space="0"/>
            </w:tcBorders>
            <w:shd w:val="clear" w:color="auto" w:fill="auto"/>
            <w:vAlign w:val="bottom"/>
          </w:tcPr>
          <w:p>
            <w:pPr>
              <w:pStyle w:val="107"/>
            </w:pPr>
            <w:r>
              <w:t>0.4671E-01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0.47 </w:t>
            </w:r>
          </w:p>
        </w:tc>
        <w:tc>
          <w:tcPr>
            <w:tcW w:w="2200" w:type="dxa"/>
            <w:tcBorders>
              <w:top w:val="nil"/>
              <w:left w:val="nil"/>
              <w:bottom w:val="single" w:color="auto" w:sz="4" w:space="0"/>
              <w:right w:val="single" w:color="auto" w:sz="4" w:space="0"/>
            </w:tcBorders>
            <w:shd w:val="clear" w:color="auto" w:fill="auto"/>
            <w:vAlign w:val="bottom"/>
          </w:tcPr>
          <w:p>
            <w:pPr>
              <w:pStyle w:val="107"/>
            </w:pPr>
            <w:r>
              <w:t xml:space="preserve">1.232  </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0.06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1700</w:t>
            </w:r>
          </w:p>
        </w:tc>
        <w:tc>
          <w:tcPr>
            <w:tcW w:w="1720" w:type="dxa"/>
            <w:tcBorders>
              <w:top w:val="nil"/>
              <w:left w:val="nil"/>
              <w:bottom w:val="single" w:color="auto" w:sz="4" w:space="0"/>
              <w:right w:val="single" w:color="auto" w:sz="4" w:space="0"/>
            </w:tcBorders>
            <w:shd w:val="clear" w:color="auto" w:fill="auto"/>
            <w:vAlign w:val="bottom"/>
          </w:tcPr>
          <w:p>
            <w:pPr>
              <w:pStyle w:val="107"/>
            </w:pPr>
            <w:r>
              <w:t>0.4473E-01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0.45 </w:t>
            </w:r>
          </w:p>
        </w:tc>
        <w:tc>
          <w:tcPr>
            <w:tcW w:w="2200" w:type="dxa"/>
            <w:tcBorders>
              <w:top w:val="nil"/>
              <w:left w:val="nil"/>
              <w:bottom w:val="single" w:color="auto" w:sz="4" w:space="0"/>
              <w:right w:val="single" w:color="auto" w:sz="4" w:space="0"/>
            </w:tcBorders>
            <w:shd w:val="clear" w:color="auto" w:fill="auto"/>
            <w:vAlign w:val="bottom"/>
          </w:tcPr>
          <w:p>
            <w:pPr>
              <w:pStyle w:val="107"/>
            </w:pPr>
            <w:r>
              <w:t>1.180</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0.06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1800</w:t>
            </w:r>
          </w:p>
        </w:tc>
        <w:tc>
          <w:tcPr>
            <w:tcW w:w="1720" w:type="dxa"/>
            <w:tcBorders>
              <w:top w:val="nil"/>
              <w:left w:val="nil"/>
              <w:bottom w:val="single" w:color="auto" w:sz="4" w:space="0"/>
              <w:right w:val="single" w:color="auto" w:sz="4" w:space="0"/>
            </w:tcBorders>
            <w:shd w:val="clear" w:color="auto" w:fill="auto"/>
            <w:vAlign w:val="bottom"/>
          </w:tcPr>
          <w:p>
            <w:pPr>
              <w:pStyle w:val="107"/>
            </w:pPr>
            <w:r>
              <w:t>0.4290E-01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0.43 </w:t>
            </w:r>
          </w:p>
        </w:tc>
        <w:tc>
          <w:tcPr>
            <w:tcW w:w="2200" w:type="dxa"/>
            <w:tcBorders>
              <w:top w:val="nil"/>
              <w:left w:val="nil"/>
              <w:bottom w:val="single" w:color="auto" w:sz="4" w:space="0"/>
              <w:right w:val="single" w:color="auto" w:sz="4" w:space="0"/>
            </w:tcBorders>
            <w:shd w:val="clear" w:color="auto" w:fill="auto"/>
            <w:vAlign w:val="bottom"/>
          </w:tcPr>
          <w:p>
            <w:pPr>
              <w:pStyle w:val="107"/>
            </w:pPr>
            <w:r>
              <w:t>1.132</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0.06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1900</w:t>
            </w:r>
          </w:p>
        </w:tc>
        <w:tc>
          <w:tcPr>
            <w:tcW w:w="1720" w:type="dxa"/>
            <w:tcBorders>
              <w:top w:val="nil"/>
              <w:left w:val="nil"/>
              <w:bottom w:val="single" w:color="auto" w:sz="4" w:space="0"/>
              <w:right w:val="single" w:color="auto" w:sz="4" w:space="0"/>
            </w:tcBorders>
            <w:shd w:val="clear" w:color="auto" w:fill="auto"/>
            <w:vAlign w:val="bottom"/>
          </w:tcPr>
          <w:p>
            <w:pPr>
              <w:pStyle w:val="107"/>
            </w:pPr>
            <w:r>
              <w:t>0.4126E-01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0.41 </w:t>
            </w:r>
          </w:p>
        </w:tc>
        <w:tc>
          <w:tcPr>
            <w:tcW w:w="2200" w:type="dxa"/>
            <w:tcBorders>
              <w:top w:val="nil"/>
              <w:left w:val="nil"/>
              <w:bottom w:val="single" w:color="auto" w:sz="4" w:space="0"/>
              <w:right w:val="single" w:color="auto" w:sz="4" w:space="0"/>
            </w:tcBorders>
            <w:shd w:val="clear" w:color="auto" w:fill="auto"/>
            <w:vAlign w:val="bottom"/>
          </w:tcPr>
          <w:p>
            <w:pPr>
              <w:pStyle w:val="107"/>
            </w:pPr>
            <w:r>
              <w:t>1.088</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0.05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2000</w:t>
            </w:r>
          </w:p>
        </w:tc>
        <w:tc>
          <w:tcPr>
            <w:tcW w:w="1720" w:type="dxa"/>
            <w:tcBorders>
              <w:top w:val="nil"/>
              <w:left w:val="nil"/>
              <w:bottom w:val="single" w:color="auto" w:sz="4" w:space="0"/>
              <w:right w:val="single" w:color="auto" w:sz="4" w:space="0"/>
            </w:tcBorders>
            <w:shd w:val="clear" w:color="auto" w:fill="auto"/>
            <w:vAlign w:val="bottom"/>
          </w:tcPr>
          <w:p>
            <w:pPr>
              <w:pStyle w:val="107"/>
            </w:pPr>
            <w:r>
              <w:t>0.3972E-01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0.40 </w:t>
            </w:r>
          </w:p>
        </w:tc>
        <w:tc>
          <w:tcPr>
            <w:tcW w:w="2200" w:type="dxa"/>
            <w:tcBorders>
              <w:top w:val="nil"/>
              <w:left w:val="nil"/>
              <w:bottom w:val="single" w:color="auto" w:sz="4" w:space="0"/>
              <w:right w:val="single" w:color="auto" w:sz="4" w:space="0"/>
            </w:tcBorders>
            <w:shd w:val="clear" w:color="auto" w:fill="auto"/>
            <w:vAlign w:val="bottom"/>
          </w:tcPr>
          <w:p>
            <w:pPr>
              <w:pStyle w:val="107"/>
            </w:pPr>
            <w:r>
              <w:t>1.048</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0.05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2100</w:t>
            </w:r>
          </w:p>
        </w:tc>
        <w:tc>
          <w:tcPr>
            <w:tcW w:w="1720" w:type="dxa"/>
            <w:tcBorders>
              <w:top w:val="nil"/>
              <w:left w:val="nil"/>
              <w:bottom w:val="single" w:color="auto" w:sz="4" w:space="0"/>
              <w:right w:val="single" w:color="auto" w:sz="4" w:space="0"/>
            </w:tcBorders>
            <w:shd w:val="clear" w:color="auto" w:fill="auto"/>
            <w:vAlign w:val="bottom"/>
          </w:tcPr>
          <w:p>
            <w:pPr>
              <w:pStyle w:val="107"/>
            </w:pPr>
            <w:r>
              <w:t>0.3829E-01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0.38 </w:t>
            </w:r>
          </w:p>
        </w:tc>
        <w:tc>
          <w:tcPr>
            <w:tcW w:w="2200" w:type="dxa"/>
            <w:tcBorders>
              <w:top w:val="nil"/>
              <w:left w:val="nil"/>
              <w:bottom w:val="single" w:color="auto" w:sz="4" w:space="0"/>
              <w:right w:val="single" w:color="auto" w:sz="4" w:space="0"/>
            </w:tcBorders>
            <w:shd w:val="clear" w:color="auto" w:fill="auto"/>
            <w:vAlign w:val="bottom"/>
          </w:tcPr>
          <w:p>
            <w:pPr>
              <w:pStyle w:val="107"/>
            </w:pPr>
            <w:r>
              <w:t>1.010</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0.05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2200</w:t>
            </w:r>
          </w:p>
        </w:tc>
        <w:tc>
          <w:tcPr>
            <w:tcW w:w="1720" w:type="dxa"/>
            <w:tcBorders>
              <w:top w:val="nil"/>
              <w:left w:val="nil"/>
              <w:bottom w:val="single" w:color="auto" w:sz="4" w:space="0"/>
              <w:right w:val="single" w:color="auto" w:sz="4" w:space="0"/>
            </w:tcBorders>
            <w:shd w:val="clear" w:color="auto" w:fill="auto"/>
            <w:vAlign w:val="bottom"/>
          </w:tcPr>
          <w:p>
            <w:pPr>
              <w:pStyle w:val="107"/>
            </w:pPr>
            <w:r>
              <w:t>0.3694E-01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0.37 </w:t>
            </w:r>
          </w:p>
        </w:tc>
        <w:tc>
          <w:tcPr>
            <w:tcW w:w="2200" w:type="dxa"/>
            <w:tcBorders>
              <w:top w:val="nil"/>
              <w:left w:val="nil"/>
              <w:bottom w:val="single" w:color="auto" w:sz="4" w:space="0"/>
              <w:right w:val="single" w:color="auto" w:sz="4" w:space="0"/>
            </w:tcBorders>
            <w:shd w:val="clear" w:color="auto" w:fill="auto"/>
            <w:vAlign w:val="bottom"/>
          </w:tcPr>
          <w:p>
            <w:pPr>
              <w:pStyle w:val="107"/>
            </w:pPr>
            <w:r>
              <w:t xml:space="preserve">0.9745  </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0.05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2300</w:t>
            </w:r>
          </w:p>
        </w:tc>
        <w:tc>
          <w:tcPr>
            <w:tcW w:w="1720" w:type="dxa"/>
            <w:tcBorders>
              <w:top w:val="nil"/>
              <w:left w:val="nil"/>
              <w:bottom w:val="single" w:color="auto" w:sz="4" w:space="0"/>
              <w:right w:val="single" w:color="auto" w:sz="4" w:space="0"/>
            </w:tcBorders>
            <w:shd w:val="clear" w:color="auto" w:fill="auto"/>
            <w:vAlign w:val="bottom"/>
          </w:tcPr>
          <w:p>
            <w:pPr>
              <w:pStyle w:val="107"/>
            </w:pPr>
            <w:r>
              <w:t>0.3568E-01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0.36 </w:t>
            </w:r>
          </w:p>
        </w:tc>
        <w:tc>
          <w:tcPr>
            <w:tcW w:w="2200" w:type="dxa"/>
            <w:tcBorders>
              <w:top w:val="nil"/>
              <w:left w:val="nil"/>
              <w:bottom w:val="single" w:color="auto" w:sz="4" w:space="0"/>
              <w:right w:val="single" w:color="auto" w:sz="4" w:space="0"/>
            </w:tcBorders>
            <w:shd w:val="clear" w:color="auto" w:fill="auto"/>
            <w:vAlign w:val="bottom"/>
          </w:tcPr>
          <w:p>
            <w:pPr>
              <w:pStyle w:val="107"/>
            </w:pPr>
            <w:r>
              <w:t>0.9412</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0.05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2400</w:t>
            </w:r>
          </w:p>
        </w:tc>
        <w:tc>
          <w:tcPr>
            <w:tcW w:w="1720" w:type="dxa"/>
            <w:tcBorders>
              <w:top w:val="nil"/>
              <w:left w:val="nil"/>
              <w:bottom w:val="single" w:color="auto" w:sz="4" w:space="0"/>
              <w:right w:val="single" w:color="auto" w:sz="4" w:space="0"/>
            </w:tcBorders>
            <w:shd w:val="clear" w:color="auto" w:fill="auto"/>
            <w:vAlign w:val="bottom"/>
          </w:tcPr>
          <w:p>
            <w:pPr>
              <w:pStyle w:val="107"/>
            </w:pPr>
            <w:r>
              <w:t>0.3450E-01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0.35 </w:t>
            </w:r>
          </w:p>
        </w:tc>
        <w:tc>
          <w:tcPr>
            <w:tcW w:w="2200" w:type="dxa"/>
            <w:tcBorders>
              <w:top w:val="nil"/>
              <w:left w:val="nil"/>
              <w:bottom w:val="single" w:color="auto" w:sz="4" w:space="0"/>
              <w:right w:val="single" w:color="auto" w:sz="4" w:space="0"/>
            </w:tcBorders>
            <w:shd w:val="clear" w:color="auto" w:fill="auto"/>
            <w:vAlign w:val="bottom"/>
          </w:tcPr>
          <w:p>
            <w:pPr>
              <w:pStyle w:val="107"/>
            </w:pPr>
            <w:r>
              <w:t>0.9099</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0.05 </w:t>
            </w:r>
          </w:p>
        </w:tc>
      </w:tr>
      <w:tr>
        <w:tblPrEx>
          <w:tblLayout w:type="fixed"/>
          <w:tblCellMar>
            <w:top w:w="0" w:type="dxa"/>
            <w:left w:w="108" w:type="dxa"/>
            <w:bottom w:w="0" w:type="dxa"/>
            <w:right w:w="108" w:type="dxa"/>
          </w:tblCellMar>
        </w:tblPrEx>
        <w:trPr>
          <w:trHeight w:val="255" w:hRule="atLeast"/>
        </w:trPr>
        <w:tc>
          <w:tcPr>
            <w:tcW w:w="1560" w:type="dxa"/>
            <w:tcBorders>
              <w:top w:val="nil"/>
              <w:left w:val="single" w:color="auto" w:sz="4" w:space="0"/>
              <w:bottom w:val="single" w:color="auto" w:sz="4" w:space="0"/>
              <w:right w:val="single" w:color="auto" w:sz="4" w:space="0"/>
            </w:tcBorders>
            <w:shd w:val="clear" w:color="auto" w:fill="auto"/>
            <w:vAlign w:val="center"/>
          </w:tcPr>
          <w:p>
            <w:pPr>
              <w:pStyle w:val="107"/>
            </w:pPr>
            <w:r>
              <w:t>2500</w:t>
            </w:r>
          </w:p>
        </w:tc>
        <w:tc>
          <w:tcPr>
            <w:tcW w:w="1720" w:type="dxa"/>
            <w:tcBorders>
              <w:top w:val="nil"/>
              <w:left w:val="nil"/>
              <w:bottom w:val="single" w:color="auto" w:sz="4" w:space="0"/>
              <w:right w:val="single" w:color="auto" w:sz="4" w:space="0"/>
            </w:tcBorders>
            <w:shd w:val="clear" w:color="auto" w:fill="auto"/>
            <w:vAlign w:val="bottom"/>
          </w:tcPr>
          <w:p>
            <w:pPr>
              <w:pStyle w:val="107"/>
            </w:pPr>
            <w:r>
              <w:t>0.3338E-01</w:t>
            </w:r>
          </w:p>
        </w:tc>
        <w:tc>
          <w:tcPr>
            <w:tcW w:w="2200"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0.33 </w:t>
            </w:r>
          </w:p>
        </w:tc>
        <w:tc>
          <w:tcPr>
            <w:tcW w:w="2200" w:type="dxa"/>
            <w:tcBorders>
              <w:top w:val="nil"/>
              <w:left w:val="nil"/>
              <w:bottom w:val="single" w:color="auto" w:sz="4" w:space="0"/>
              <w:right w:val="single" w:color="auto" w:sz="4" w:space="0"/>
            </w:tcBorders>
            <w:shd w:val="clear" w:color="auto" w:fill="auto"/>
            <w:vAlign w:val="bottom"/>
          </w:tcPr>
          <w:p>
            <w:pPr>
              <w:pStyle w:val="107"/>
            </w:pPr>
            <w:r>
              <w:t>0.8805</w:t>
            </w:r>
          </w:p>
        </w:tc>
        <w:tc>
          <w:tcPr>
            <w:tcW w:w="1251"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0.04 </w:t>
            </w:r>
          </w:p>
        </w:tc>
      </w:tr>
      <w:tr>
        <w:tblPrEx>
          <w:tblLayout w:type="fixed"/>
          <w:tblCellMar>
            <w:top w:w="0" w:type="dxa"/>
            <w:left w:w="108" w:type="dxa"/>
            <w:bottom w:w="0" w:type="dxa"/>
            <w:right w:w="108" w:type="dxa"/>
          </w:tblCellMar>
        </w:tblPrEx>
        <w:trPr>
          <w:trHeight w:val="255" w:hRule="atLeast"/>
        </w:trPr>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下风向最大质量浓度及占标率/</w:t>
            </w:r>
            <w:r>
              <w:t>%</w:t>
            </w:r>
          </w:p>
        </w:tc>
        <w:tc>
          <w:tcPr>
            <w:tcW w:w="1720" w:type="dxa"/>
            <w:tcBorders>
              <w:top w:val="single" w:color="auto" w:sz="4" w:space="0"/>
              <w:left w:val="nil"/>
              <w:bottom w:val="single" w:color="auto" w:sz="4" w:space="0"/>
              <w:right w:val="single" w:color="auto" w:sz="4" w:space="0"/>
            </w:tcBorders>
            <w:shd w:val="clear" w:color="auto" w:fill="auto"/>
            <w:vAlign w:val="center"/>
          </w:tcPr>
          <w:p>
            <w:pPr>
              <w:pStyle w:val="107"/>
              <w:rPr>
                <w:color w:val="auto"/>
              </w:rPr>
            </w:pPr>
            <w:r>
              <w:t>0.4748</w:t>
            </w:r>
          </w:p>
        </w:tc>
        <w:tc>
          <w:tcPr>
            <w:tcW w:w="220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rPr>
              <w:t>4.75</w:t>
            </w:r>
          </w:p>
        </w:tc>
        <w:tc>
          <w:tcPr>
            <w:tcW w:w="220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color w:val="auto"/>
              </w:rPr>
            </w:pPr>
            <w:r>
              <w:t>12.53</w:t>
            </w:r>
          </w:p>
        </w:tc>
        <w:tc>
          <w:tcPr>
            <w:tcW w:w="125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rPr>
              <w:t>0.63</w:t>
            </w:r>
          </w:p>
        </w:tc>
      </w:tr>
      <w:tr>
        <w:tblPrEx>
          <w:tblLayout w:type="fixed"/>
          <w:tblCellMar>
            <w:top w:w="0" w:type="dxa"/>
            <w:left w:w="108" w:type="dxa"/>
            <w:bottom w:w="0" w:type="dxa"/>
            <w:right w:w="108" w:type="dxa"/>
          </w:tblCellMar>
        </w:tblPrEx>
        <w:trPr>
          <w:trHeight w:val="255" w:hRule="atLeast"/>
        </w:trPr>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D10%</w:t>
            </w:r>
            <w:r>
              <w:rPr>
                <w:rFonts w:hint="eastAsia"/>
              </w:rPr>
              <w:t>最远距离/</w:t>
            </w:r>
            <w:r>
              <w:t>m</w:t>
            </w:r>
          </w:p>
        </w:tc>
        <w:tc>
          <w:tcPr>
            <w:tcW w:w="3920"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0</w:t>
            </w:r>
          </w:p>
        </w:tc>
        <w:tc>
          <w:tcPr>
            <w:tcW w:w="3451" w:type="dxa"/>
            <w:gridSpan w:val="2"/>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0</w:t>
            </w:r>
          </w:p>
        </w:tc>
      </w:tr>
    </w:tbl>
    <w:p>
      <w:pPr>
        <w:ind w:firstLine="480"/>
      </w:pPr>
      <w:r>
        <w:rPr>
          <w:rFonts w:hint="eastAsia"/>
        </w:rPr>
        <w:t>硫化车间面源中硫化氢预测结果相对最大,浓度值为</w:t>
      </w:r>
      <w:r>
        <w:t>0.4748μg</w:t>
      </w:r>
      <w:r>
        <w:rPr>
          <w:rFonts w:hint="eastAsia"/>
        </w:rPr>
        <w:t>/m³,标准值为</w:t>
      </w:r>
      <w:r>
        <w:t>10μg</w:t>
      </w:r>
      <w:r>
        <w:rPr>
          <w:rFonts w:hint="eastAsia"/>
        </w:rPr>
        <w:t>/m</w:t>
      </w:r>
      <w:r>
        <w:rPr>
          <w:rFonts w:hint="eastAsia"/>
          <w:vertAlign w:val="superscript"/>
        </w:rPr>
        <w:t>3</w:t>
      </w:r>
      <w:r>
        <w:rPr>
          <w:rFonts w:hint="eastAsia"/>
        </w:rPr>
        <w:t>,占标率为</w:t>
      </w:r>
      <w:r>
        <w:t>4.75</w:t>
      </w:r>
      <w:r>
        <w:rPr>
          <w:rFonts w:hint="eastAsia"/>
        </w:rPr>
        <w:t>%,判定该污染源的评价等级为二级。</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19</w:t>
      </w:r>
      <w:r>
        <w:fldChar w:fldCharType="end"/>
      </w:r>
      <w:r>
        <w:rPr>
          <w:rFonts w:hint="eastAsia"/>
        </w:rPr>
        <w:t>包装车间面污染源估算模型计算结果表</w:t>
      </w:r>
    </w:p>
    <w:tbl>
      <w:tblPr>
        <w:tblStyle w:val="56"/>
        <w:tblW w:w="9060" w:type="dxa"/>
        <w:tblInd w:w="0" w:type="dxa"/>
        <w:tblLayout w:type="fixed"/>
        <w:tblCellMar>
          <w:top w:w="0" w:type="dxa"/>
          <w:left w:w="108" w:type="dxa"/>
          <w:bottom w:w="0" w:type="dxa"/>
          <w:right w:w="108" w:type="dxa"/>
        </w:tblCellMar>
      </w:tblPr>
      <w:tblGrid>
        <w:gridCol w:w="2001"/>
        <w:gridCol w:w="3381"/>
        <w:gridCol w:w="3678"/>
      </w:tblGrid>
      <w:tr>
        <w:tblPrEx>
          <w:tblLayout w:type="fixed"/>
          <w:tblCellMar>
            <w:top w:w="0" w:type="dxa"/>
            <w:left w:w="108" w:type="dxa"/>
            <w:bottom w:w="0" w:type="dxa"/>
            <w:right w:w="108" w:type="dxa"/>
          </w:tblCellMar>
        </w:tblPrEx>
        <w:trPr>
          <w:trHeight w:val="255" w:hRule="atLeast"/>
          <w:tblHeader/>
        </w:trPr>
        <w:tc>
          <w:tcPr>
            <w:tcW w:w="2001" w:type="dxa"/>
            <w:vMerge w:val="restart"/>
            <w:tcBorders>
              <w:top w:val="single" w:color="auto" w:sz="4" w:space="0"/>
              <w:left w:val="single" w:color="auto" w:sz="4" w:space="0"/>
              <w:right w:val="single" w:color="auto" w:sz="4" w:space="0"/>
            </w:tcBorders>
            <w:shd w:val="clear" w:color="auto" w:fill="auto"/>
            <w:vAlign w:val="center"/>
          </w:tcPr>
          <w:p>
            <w:pPr>
              <w:pStyle w:val="107"/>
              <w:rPr>
                <w:b/>
              </w:rPr>
            </w:pPr>
            <w:r>
              <w:rPr>
                <w:b/>
              </w:rPr>
              <w:t>下风向距离(m)</w:t>
            </w:r>
          </w:p>
        </w:tc>
        <w:tc>
          <w:tcPr>
            <w:tcW w:w="7059" w:type="dxa"/>
            <w:gridSpan w:val="2"/>
            <w:tcBorders>
              <w:top w:val="single" w:color="auto" w:sz="4" w:space="0"/>
              <w:left w:val="nil"/>
              <w:bottom w:val="single" w:color="auto" w:sz="4" w:space="0"/>
              <w:right w:val="single" w:color="auto" w:sz="4" w:space="0"/>
            </w:tcBorders>
            <w:shd w:val="clear" w:color="auto" w:fill="auto"/>
            <w:vAlign w:val="center"/>
          </w:tcPr>
          <w:p>
            <w:pPr>
              <w:pStyle w:val="107"/>
              <w:rPr>
                <w:b/>
              </w:rPr>
            </w:pPr>
            <w:r>
              <w:rPr>
                <w:b/>
              </w:rPr>
              <w:t>VOCs</w:t>
            </w:r>
          </w:p>
        </w:tc>
      </w:tr>
      <w:tr>
        <w:tblPrEx>
          <w:tblLayout w:type="fixed"/>
          <w:tblCellMar>
            <w:top w:w="0" w:type="dxa"/>
            <w:left w:w="108" w:type="dxa"/>
            <w:bottom w:w="0" w:type="dxa"/>
            <w:right w:w="108" w:type="dxa"/>
          </w:tblCellMar>
        </w:tblPrEx>
        <w:trPr>
          <w:trHeight w:val="255" w:hRule="atLeast"/>
          <w:tblHeader/>
        </w:trPr>
        <w:tc>
          <w:tcPr>
            <w:tcW w:w="2001" w:type="dxa"/>
            <w:vMerge w:val="continue"/>
            <w:tcBorders>
              <w:left w:val="single" w:color="auto" w:sz="4" w:space="0"/>
              <w:bottom w:val="nil"/>
              <w:right w:val="single" w:color="auto" w:sz="4" w:space="0"/>
            </w:tcBorders>
            <w:shd w:val="clear" w:color="auto" w:fill="auto"/>
            <w:vAlign w:val="bottom"/>
          </w:tcPr>
          <w:p>
            <w:pPr>
              <w:pStyle w:val="107"/>
              <w:rPr>
                <w:b/>
              </w:rPr>
            </w:pPr>
          </w:p>
        </w:tc>
        <w:tc>
          <w:tcPr>
            <w:tcW w:w="3381" w:type="dxa"/>
            <w:tcBorders>
              <w:top w:val="nil"/>
              <w:left w:val="nil"/>
              <w:bottom w:val="nil"/>
              <w:right w:val="single" w:color="auto" w:sz="4" w:space="0"/>
            </w:tcBorders>
            <w:shd w:val="clear" w:color="auto" w:fill="auto"/>
            <w:vAlign w:val="center"/>
          </w:tcPr>
          <w:p>
            <w:pPr>
              <w:pStyle w:val="107"/>
              <w:rPr>
                <w:b/>
              </w:rPr>
            </w:pPr>
            <w:r>
              <w:rPr>
                <w:rFonts w:hint="eastAsia"/>
                <w:b/>
              </w:rPr>
              <w:t>预测质量浓度/（</w:t>
            </w:r>
            <w:r>
              <w:rPr>
                <w:b/>
              </w:rPr>
              <w:t>μg/m</w:t>
            </w:r>
            <w:r>
              <w:rPr>
                <w:b/>
                <w:vertAlign w:val="superscript"/>
              </w:rPr>
              <w:t>3</w:t>
            </w:r>
            <w:r>
              <w:rPr>
                <w:rFonts w:hint="eastAsia"/>
                <w:b/>
              </w:rPr>
              <w:t>）</w:t>
            </w:r>
          </w:p>
        </w:tc>
        <w:tc>
          <w:tcPr>
            <w:tcW w:w="3678" w:type="dxa"/>
            <w:tcBorders>
              <w:top w:val="nil"/>
              <w:left w:val="nil"/>
              <w:bottom w:val="nil"/>
              <w:right w:val="single" w:color="auto" w:sz="4" w:space="0"/>
            </w:tcBorders>
            <w:shd w:val="clear" w:color="auto" w:fill="auto"/>
            <w:vAlign w:val="center"/>
          </w:tcPr>
          <w:p>
            <w:pPr>
              <w:pStyle w:val="107"/>
              <w:rPr>
                <w:b/>
              </w:rPr>
            </w:pPr>
            <w:r>
              <w:rPr>
                <w:rFonts w:hint="eastAsia"/>
                <w:b/>
              </w:rPr>
              <w:t>占标率/</w:t>
            </w:r>
            <w:r>
              <w:rPr>
                <w:b/>
              </w:rPr>
              <w:t>%</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25</w:t>
            </w:r>
          </w:p>
        </w:tc>
        <w:tc>
          <w:tcPr>
            <w:tcW w:w="3381" w:type="dxa"/>
            <w:tcBorders>
              <w:top w:val="single" w:color="auto" w:sz="4" w:space="0"/>
              <w:left w:val="nil"/>
              <w:bottom w:val="single" w:color="auto" w:sz="4" w:space="0"/>
              <w:right w:val="single" w:color="auto" w:sz="4" w:space="0"/>
            </w:tcBorders>
            <w:shd w:val="clear" w:color="auto" w:fill="auto"/>
            <w:vAlign w:val="bottom"/>
          </w:tcPr>
          <w:p>
            <w:pPr>
              <w:pStyle w:val="107"/>
            </w:pPr>
            <w:r>
              <w:t xml:space="preserve">8.727 </w:t>
            </w:r>
          </w:p>
        </w:tc>
        <w:tc>
          <w:tcPr>
            <w:tcW w:w="3678"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0.73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50</w:t>
            </w:r>
          </w:p>
        </w:tc>
        <w:tc>
          <w:tcPr>
            <w:tcW w:w="3381" w:type="dxa"/>
            <w:tcBorders>
              <w:top w:val="nil"/>
              <w:left w:val="nil"/>
              <w:bottom w:val="single" w:color="auto" w:sz="4" w:space="0"/>
              <w:right w:val="single" w:color="auto" w:sz="4" w:space="0"/>
            </w:tcBorders>
            <w:shd w:val="clear" w:color="auto" w:fill="auto"/>
            <w:vAlign w:val="bottom"/>
          </w:tcPr>
          <w:p>
            <w:pPr>
              <w:pStyle w:val="107"/>
            </w:pPr>
            <w:r>
              <w:t>6.672</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0.56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75</w:t>
            </w:r>
          </w:p>
        </w:tc>
        <w:tc>
          <w:tcPr>
            <w:tcW w:w="3381" w:type="dxa"/>
            <w:tcBorders>
              <w:top w:val="nil"/>
              <w:left w:val="nil"/>
              <w:bottom w:val="single" w:color="auto" w:sz="4" w:space="0"/>
              <w:right w:val="single" w:color="auto" w:sz="4" w:space="0"/>
            </w:tcBorders>
            <w:shd w:val="clear" w:color="auto" w:fill="auto"/>
            <w:vAlign w:val="bottom"/>
          </w:tcPr>
          <w:p>
            <w:pPr>
              <w:pStyle w:val="107"/>
            </w:pPr>
            <w:r>
              <w:t>4.796</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0.40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100</w:t>
            </w:r>
          </w:p>
        </w:tc>
        <w:tc>
          <w:tcPr>
            <w:tcW w:w="3381" w:type="dxa"/>
            <w:tcBorders>
              <w:top w:val="nil"/>
              <w:left w:val="nil"/>
              <w:bottom w:val="single" w:color="auto" w:sz="4" w:space="0"/>
              <w:right w:val="single" w:color="auto" w:sz="4" w:space="0"/>
            </w:tcBorders>
            <w:shd w:val="clear" w:color="auto" w:fill="auto"/>
            <w:vAlign w:val="bottom"/>
          </w:tcPr>
          <w:p>
            <w:pPr>
              <w:pStyle w:val="107"/>
            </w:pPr>
            <w:r>
              <w:t>3.625</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0.30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200</w:t>
            </w:r>
          </w:p>
        </w:tc>
        <w:tc>
          <w:tcPr>
            <w:tcW w:w="3381" w:type="dxa"/>
            <w:tcBorders>
              <w:top w:val="nil"/>
              <w:left w:val="nil"/>
              <w:bottom w:val="single" w:color="auto" w:sz="4" w:space="0"/>
              <w:right w:val="single" w:color="auto" w:sz="4" w:space="0"/>
            </w:tcBorders>
            <w:shd w:val="clear" w:color="auto" w:fill="auto"/>
            <w:vAlign w:val="bottom"/>
          </w:tcPr>
          <w:p>
            <w:pPr>
              <w:pStyle w:val="107"/>
              <w:rPr>
                <w:highlight w:val="lightGray"/>
              </w:rPr>
            </w:pPr>
            <w:r>
              <w:t>2.661</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0.22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300</w:t>
            </w:r>
          </w:p>
        </w:tc>
        <w:tc>
          <w:tcPr>
            <w:tcW w:w="3381" w:type="dxa"/>
            <w:tcBorders>
              <w:top w:val="nil"/>
              <w:left w:val="nil"/>
              <w:bottom w:val="single" w:color="auto" w:sz="4" w:space="0"/>
              <w:right w:val="single" w:color="auto" w:sz="4" w:space="0"/>
            </w:tcBorders>
            <w:shd w:val="clear" w:color="auto" w:fill="auto"/>
            <w:vAlign w:val="bottom"/>
          </w:tcPr>
          <w:p>
            <w:pPr>
              <w:pStyle w:val="107"/>
            </w:pPr>
            <w:r>
              <w:t>2.308</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0.19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400</w:t>
            </w:r>
          </w:p>
        </w:tc>
        <w:tc>
          <w:tcPr>
            <w:tcW w:w="3381" w:type="dxa"/>
            <w:tcBorders>
              <w:top w:val="nil"/>
              <w:left w:val="nil"/>
              <w:bottom w:val="single" w:color="auto" w:sz="4" w:space="0"/>
              <w:right w:val="single" w:color="auto" w:sz="4" w:space="0"/>
            </w:tcBorders>
            <w:shd w:val="clear" w:color="auto" w:fill="auto"/>
            <w:vAlign w:val="bottom"/>
          </w:tcPr>
          <w:p>
            <w:pPr>
              <w:pStyle w:val="107"/>
            </w:pPr>
            <w:r>
              <w:t>2.039</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0.17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500</w:t>
            </w:r>
          </w:p>
        </w:tc>
        <w:tc>
          <w:tcPr>
            <w:tcW w:w="3381" w:type="dxa"/>
            <w:tcBorders>
              <w:top w:val="nil"/>
              <w:left w:val="nil"/>
              <w:bottom w:val="single" w:color="auto" w:sz="4" w:space="0"/>
              <w:right w:val="single" w:color="auto" w:sz="4" w:space="0"/>
            </w:tcBorders>
            <w:shd w:val="clear" w:color="auto" w:fill="auto"/>
            <w:vAlign w:val="bottom"/>
          </w:tcPr>
          <w:p>
            <w:pPr>
              <w:pStyle w:val="107"/>
            </w:pPr>
            <w:r>
              <w:t>1.825</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0.15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600</w:t>
            </w:r>
          </w:p>
        </w:tc>
        <w:tc>
          <w:tcPr>
            <w:tcW w:w="3381" w:type="dxa"/>
            <w:tcBorders>
              <w:top w:val="nil"/>
              <w:left w:val="nil"/>
              <w:bottom w:val="single" w:color="auto" w:sz="4" w:space="0"/>
              <w:right w:val="single" w:color="auto" w:sz="4" w:space="0"/>
            </w:tcBorders>
            <w:shd w:val="clear" w:color="auto" w:fill="auto"/>
            <w:vAlign w:val="bottom"/>
          </w:tcPr>
          <w:p>
            <w:pPr>
              <w:pStyle w:val="107"/>
            </w:pPr>
            <w:r>
              <w:t xml:space="preserve">1.649  </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0.14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700</w:t>
            </w:r>
          </w:p>
        </w:tc>
        <w:tc>
          <w:tcPr>
            <w:tcW w:w="3381" w:type="dxa"/>
            <w:tcBorders>
              <w:top w:val="nil"/>
              <w:left w:val="nil"/>
              <w:bottom w:val="single" w:color="auto" w:sz="4" w:space="0"/>
              <w:right w:val="single" w:color="auto" w:sz="4" w:space="0"/>
            </w:tcBorders>
            <w:shd w:val="clear" w:color="auto" w:fill="auto"/>
            <w:vAlign w:val="bottom"/>
          </w:tcPr>
          <w:p>
            <w:pPr>
              <w:pStyle w:val="107"/>
            </w:pPr>
            <w:r>
              <w:t>1.501</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0.13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800</w:t>
            </w:r>
          </w:p>
        </w:tc>
        <w:tc>
          <w:tcPr>
            <w:tcW w:w="3381" w:type="dxa"/>
            <w:tcBorders>
              <w:top w:val="nil"/>
              <w:left w:val="nil"/>
              <w:bottom w:val="single" w:color="auto" w:sz="4" w:space="0"/>
              <w:right w:val="single" w:color="auto" w:sz="4" w:space="0"/>
            </w:tcBorders>
            <w:shd w:val="clear" w:color="auto" w:fill="auto"/>
            <w:vAlign w:val="bottom"/>
          </w:tcPr>
          <w:p>
            <w:pPr>
              <w:pStyle w:val="107"/>
            </w:pPr>
            <w:r>
              <w:t>1.376</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900</w:t>
            </w:r>
          </w:p>
        </w:tc>
        <w:tc>
          <w:tcPr>
            <w:tcW w:w="3381" w:type="dxa"/>
            <w:tcBorders>
              <w:top w:val="nil"/>
              <w:left w:val="nil"/>
              <w:bottom w:val="single" w:color="auto" w:sz="4" w:space="0"/>
              <w:right w:val="single" w:color="auto" w:sz="4" w:space="0"/>
            </w:tcBorders>
            <w:shd w:val="clear" w:color="auto" w:fill="auto"/>
            <w:vAlign w:val="bottom"/>
          </w:tcPr>
          <w:p>
            <w:pPr>
              <w:pStyle w:val="107"/>
            </w:pPr>
            <w:r>
              <w:t>1.268</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0.11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1000</w:t>
            </w:r>
          </w:p>
        </w:tc>
        <w:tc>
          <w:tcPr>
            <w:tcW w:w="3381" w:type="dxa"/>
            <w:tcBorders>
              <w:top w:val="nil"/>
              <w:left w:val="nil"/>
              <w:bottom w:val="single" w:color="auto" w:sz="4" w:space="0"/>
              <w:right w:val="single" w:color="auto" w:sz="4" w:space="0"/>
            </w:tcBorders>
            <w:shd w:val="clear" w:color="auto" w:fill="auto"/>
            <w:vAlign w:val="bottom"/>
          </w:tcPr>
          <w:p>
            <w:pPr>
              <w:pStyle w:val="107"/>
            </w:pPr>
            <w:r>
              <w:t>1.176</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0.10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1100</w:t>
            </w:r>
          </w:p>
        </w:tc>
        <w:tc>
          <w:tcPr>
            <w:tcW w:w="3381" w:type="dxa"/>
            <w:tcBorders>
              <w:top w:val="nil"/>
              <w:left w:val="nil"/>
              <w:bottom w:val="single" w:color="auto" w:sz="4" w:space="0"/>
              <w:right w:val="single" w:color="auto" w:sz="4" w:space="0"/>
            </w:tcBorders>
            <w:shd w:val="clear" w:color="auto" w:fill="auto"/>
            <w:vAlign w:val="bottom"/>
          </w:tcPr>
          <w:p>
            <w:pPr>
              <w:pStyle w:val="107"/>
            </w:pPr>
            <w:r>
              <w:t>1.107</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0.09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1200</w:t>
            </w:r>
          </w:p>
        </w:tc>
        <w:tc>
          <w:tcPr>
            <w:tcW w:w="3381" w:type="dxa"/>
            <w:tcBorders>
              <w:top w:val="nil"/>
              <w:left w:val="nil"/>
              <w:bottom w:val="single" w:color="auto" w:sz="4" w:space="0"/>
              <w:right w:val="single" w:color="auto" w:sz="4" w:space="0"/>
            </w:tcBorders>
            <w:shd w:val="clear" w:color="auto" w:fill="auto"/>
            <w:vAlign w:val="bottom"/>
          </w:tcPr>
          <w:p>
            <w:pPr>
              <w:pStyle w:val="107"/>
            </w:pPr>
            <w:r>
              <w:t>1.045</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0.09 </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1300</w:t>
            </w:r>
          </w:p>
        </w:tc>
        <w:tc>
          <w:tcPr>
            <w:tcW w:w="3381" w:type="dxa"/>
            <w:tcBorders>
              <w:top w:val="single" w:color="auto" w:sz="4" w:space="0"/>
              <w:left w:val="nil"/>
              <w:bottom w:val="single" w:color="auto" w:sz="4" w:space="0"/>
              <w:right w:val="single" w:color="auto" w:sz="4" w:space="0"/>
            </w:tcBorders>
            <w:shd w:val="clear" w:color="auto" w:fill="auto"/>
            <w:vAlign w:val="bottom"/>
          </w:tcPr>
          <w:p>
            <w:pPr>
              <w:pStyle w:val="107"/>
            </w:pPr>
            <w:r>
              <w:t>0.9885</w:t>
            </w:r>
          </w:p>
        </w:tc>
        <w:tc>
          <w:tcPr>
            <w:tcW w:w="3678"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0.08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1400</w:t>
            </w:r>
          </w:p>
        </w:tc>
        <w:tc>
          <w:tcPr>
            <w:tcW w:w="3381" w:type="dxa"/>
            <w:tcBorders>
              <w:top w:val="nil"/>
              <w:left w:val="nil"/>
              <w:bottom w:val="single" w:color="auto" w:sz="4" w:space="0"/>
              <w:right w:val="single" w:color="auto" w:sz="4" w:space="0"/>
            </w:tcBorders>
            <w:shd w:val="clear" w:color="auto" w:fill="auto"/>
            <w:vAlign w:val="bottom"/>
          </w:tcPr>
          <w:p>
            <w:pPr>
              <w:pStyle w:val="107"/>
            </w:pPr>
            <w:r>
              <w:t>0.9376</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0.08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1500</w:t>
            </w:r>
          </w:p>
        </w:tc>
        <w:tc>
          <w:tcPr>
            <w:tcW w:w="3381" w:type="dxa"/>
            <w:tcBorders>
              <w:top w:val="nil"/>
              <w:left w:val="nil"/>
              <w:bottom w:val="single" w:color="auto" w:sz="4" w:space="0"/>
              <w:right w:val="single" w:color="auto" w:sz="4" w:space="0"/>
            </w:tcBorders>
            <w:shd w:val="clear" w:color="auto" w:fill="auto"/>
            <w:vAlign w:val="bottom"/>
          </w:tcPr>
          <w:p>
            <w:pPr>
              <w:pStyle w:val="107"/>
            </w:pPr>
            <w:r>
              <w:t>0.8912</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0.07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1600</w:t>
            </w:r>
          </w:p>
        </w:tc>
        <w:tc>
          <w:tcPr>
            <w:tcW w:w="3381" w:type="dxa"/>
            <w:tcBorders>
              <w:top w:val="nil"/>
              <w:left w:val="nil"/>
              <w:bottom w:val="single" w:color="auto" w:sz="4" w:space="0"/>
              <w:right w:val="single" w:color="auto" w:sz="4" w:space="0"/>
            </w:tcBorders>
            <w:shd w:val="clear" w:color="auto" w:fill="auto"/>
            <w:vAlign w:val="bottom"/>
          </w:tcPr>
          <w:p>
            <w:pPr>
              <w:pStyle w:val="107"/>
            </w:pPr>
            <w:r>
              <w:t>0.8505</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0.07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1700</w:t>
            </w:r>
          </w:p>
        </w:tc>
        <w:tc>
          <w:tcPr>
            <w:tcW w:w="3381" w:type="dxa"/>
            <w:tcBorders>
              <w:top w:val="nil"/>
              <w:left w:val="nil"/>
              <w:bottom w:val="single" w:color="auto" w:sz="4" w:space="0"/>
              <w:right w:val="single" w:color="auto" w:sz="4" w:space="0"/>
            </w:tcBorders>
            <w:shd w:val="clear" w:color="auto" w:fill="auto"/>
            <w:vAlign w:val="bottom"/>
          </w:tcPr>
          <w:p>
            <w:pPr>
              <w:pStyle w:val="107"/>
            </w:pPr>
            <w:r>
              <w:t>0.8145</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0.07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1800</w:t>
            </w:r>
          </w:p>
        </w:tc>
        <w:tc>
          <w:tcPr>
            <w:tcW w:w="3381" w:type="dxa"/>
            <w:tcBorders>
              <w:top w:val="nil"/>
              <w:left w:val="nil"/>
              <w:bottom w:val="single" w:color="auto" w:sz="4" w:space="0"/>
              <w:right w:val="single" w:color="auto" w:sz="4" w:space="0"/>
            </w:tcBorders>
            <w:shd w:val="clear" w:color="auto" w:fill="auto"/>
            <w:vAlign w:val="bottom"/>
          </w:tcPr>
          <w:p>
            <w:pPr>
              <w:pStyle w:val="107"/>
            </w:pPr>
            <w:r>
              <w:t>0.7812</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0.07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1900</w:t>
            </w:r>
          </w:p>
        </w:tc>
        <w:tc>
          <w:tcPr>
            <w:tcW w:w="3381" w:type="dxa"/>
            <w:tcBorders>
              <w:top w:val="nil"/>
              <w:left w:val="nil"/>
              <w:bottom w:val="single" w:color="auto" w:sz="4" w:space="0"/>
              <w:right w:val="single" w:color="auto" w:sz="4" w:space="0"/>
            </w:tcBorders>
            <w:shd w:val="clear" w:color="auto" w:fill="auto"/>
            <w:vAlign w:val="bottom"/>
          </w:tcPr>
          <w:p>
            <w:pPr>
              <w:pStyle w:val="107"/>
            </w:pPr>
            <w:r>
              <w:t>0.7512</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0.06 </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2000</w:t>
            </w:r>
          </w:p>
        </w:tc>
        <w:tc>
          <w:tcPr>
            <w:tcW w:w="3381" w:type="dxa"/>
            <w:tcBorders>
              <w:top w:val="single" w:color="auto" w:sz="4" w:space="0"/>
              <w:left w:val="nil"/>
              <w:bottom w:val="single" w:color="auto" w:sz="4" w:space="0"/>
              <w:right w:val="single" w:color="auto" w:sz="4" w:space="0"/>
            </w:tcBorders>
            <w:shd w:val="clear" w:color="auto" w:fill="auto"/>
            <w:vAlign w:val="bottom"/>
          </w:tcPr>
          <w:p>
            <w:pPr>
              <w:pStyle w:val="107"/>
            </w:pPr>
            <w:r>
              <w:t>0.7233</w:t>
            </w:r>
          </w:p>
        </w:tc>
        <w:tc>
          <w:tcPr>
            <w:tcW w:w="3678"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0.06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2100</w:t>
            </w:r>
          </w:p>
        </w:tc>
        <w:tc>
          <w:tcPr>
            <w:tcW w:w="3381" w:type="dxa"/>
            <w:tcBorders>
              <w:top w:val="nil"/>
              <w:left w:val="nil"/>
              <w:bottom w:val="single" w:color="auto" w:sz="4" w:space="0"/>
              <w:right w:val="single" w:color="auto" w:sz="4" w:space="0"/>
            </w:tcBorders>
            <w:shd w:val="clear" w:color="auto" w:fill="auto"/>
            <w:vAlign w:val="bottom"/>
          </w:tcPr>
          <w:p>
            <w:pPr>
              <w:pStyle w:val="107"/>
            </w:pPr>
            <w:r>
              <w:t>0.6971</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0.06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2200</w:t>
            </w:r>
          </w:p>
        </w:tc>
        <w:tc>
          <w:tcPr>
            <w:tcW w:w="3381" w:type="dxa"/>
            <w:tcBorders>
              <w:top w:val="nil"/>
              <w:left w:val="nil"/>
              <w:bottom w:val="single" w:color="auto" w:sz="4" w:space="0"/>
              <w:right w:val="single" w:color="auto" w:sz="4" w:space="0"/>
            </w:tcBorders>
            <w:shd w:val="clear" w:color="auto" w:fill="auto"/>
            <w:vAlign w:val="bottom"/>
          </w:tcPr>
          <w:p>
            <w:pPr>
              <w:pStyle w:val="107"/>
            </w:pPr>
            <w:r>
              <w:t>0.6727</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0.06 </w:t>
            </w:r>
          </w:p>
        </w:tc>
      </w:tr>
      <w:tr>
        <w:tblPrEx>
          <w:tblLayout w:type="fixed"/>
          <w:tblCellMar>
            <w:top w:w="0" w:type="dxa"/>
            <w:left w:w="108" w:type="dxa"/>
            <w:bottom w:w="0" w:type="dxa"/>
            <w:right w:w="108" w:type="dxa"/>
          </w:tblCellMar>
        </w:tblPrEx>
        <w:trPr>
          <w:trHeight w:val="255"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2300</w:t>
            </w:r>
          </w:p>
        </w:tc>
        <w:tc>
          <w:tcPr>
            <w:tcW w:w="3381" w:type="dxa"/>
            <w:tcBorders>
              <w:top w:val="nil"/>
              <w:left w:val="nil"/>
              <w:bottom w:val="single" w:color="auto" w:sz="4" w:space="0"/>
              <w:right w:val="single" w:color="auto" w:sz="4" w:space="0"/>
            </w:tcBorders>
            <w:shd w:val="clear" w:color="auto" w:fill="auto"/>
            <w:vAlign w:val="bottom"/>
          </w:tcPr>
          <w:p>
            <w:pPr>
              <w:pStyle w:val="107"/>
            </w:pPr>
            <w:r>
              <w:t xml:space="preserve">0.6497  </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0.05 </w:t>
            </w:r>
          </w:p>
        </w:tc>
      </w:tr>
      <w:tr>
        <w:tblPrEx>
          <w:tblLayout w:type="fixed"/>
          <w:tblCellMar>
            <w:top w:w="0" w:type="dxa"/>
            <w:left w:w="108" w:type="dxa"/>
            <w:bottom w:w="0" w:type="dxa"/>
            <w:right w:w="108" w:type="dxa"/>
          </w:tblCellMar>
        </w:tblPrEx>
        <w:trPr>
          <w:trHeight w:val="50" w:hRule="atLeast"/>
        </w:trPr>
        <w:tc>
          <w:tcPr>
            <w:tcW w:w="2001" w:type="dxa"/>
            <w:tcBorders>
              <w:top w:val="nil"/>
              <w:left w:val="single" w:color="auto" w:sz="4" w:space="0"/>
              <w:bottom w:val="single" w:color="auto" w:sz="4" w:space="0"/>
              <w:right w:val="single" w:color="auto" w:sz="4" w:space="0"/>
            </w:tcBorders>
            <w:shd w:val="clear" w:color="auto" w:fill="auto"/>
            <w:vAlign w:val="bottom"/>
          </w:tcPr>
          <w:p>
            <w:pPr>
              <w:pStyle w:val="107"/>
            </w:pPr>
            <w:r>
              <w:t>2400</w:t>
            </w:r>
          </w:p>
        </w:tc>
        <w:tc>
          <w:tcPr>
            <w:tcW w:w="3381" w:type="dxa"/>
            <w:tcBorders>
              <w:top w:val="nil"/>
              <w:left w:val="nil"/>
              <w:bottom w:val="single" w:color="auto" w:sz="4" w:space="0"/>
              <w:right w:val="single" w:color="auto" w:sz="4" w:space="0"/>
            </w:tcBorders>
            <w:shd w:val="clear" w:color="auto" w:fill="auto"/>
            <w:vAlign w:val="bottom"/>
          </w:tcPr>
          <w:p>
            <w:pPr>
              <w:pStyle w:val="107"/>
            </w:pPr>
            <w:r>
              <w:t>0.6281</w:t>
            </w:r>
          </w:p>
        </w:tc>
        <w:tc>
          <w:tcPr>
            <w:tcW w:w="3678" w:type="dxa"/>
            <w:tcBorders>
              <w:top w:val="nil"/>
              <w:left w:val="nil"/>
              <w:bottom w:val="single" w:color="auto" w:sz="4" w:space="0"/>
              <w:right w:val="single" w:color="auto" w:sz="4" w:space="0"/>
            </w:tcBorders>
            <w:shd w:val="clear" w:color="auto" w:fill="auto"/>
            <w:vAlign w:val="center"/>
          </w:tcPr>
          <w:p>
            <w:pPr>
              <w:pStyle w:val="107"/>
            </w:pPr>
            <w:r>
              <w:rPr>
                <w:rFonts w:hint="eastAsia"/>
              </w:rPr>
              <w:t xml:space="preserve">0.05 </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bottom"/>
          </w:tcPr>
          <w:p>
            <w:pPr>
              <w:pStyle w:val="107"/>
            </w:pPr>
            <w:r>
              <w:t>2500</w:t>
            </w:r>
          </w:p>
        </w:tc>
        <w:tc>
          <w:tcPr>
            <w:tcW w:w="3381" w:type="dxa"/>
            <w:tcBorders>
              <w:top w:val="single" w:color="auto" w:sz="4" w:space="0"/>
              <w:left w:val="nil"/>
              <w:bottom w:val="single" w:color="auto" w:sz="4" w:space="0"/>
              <w:right w:val="single" w:color="auto" w:sz="4" w:space="0"/>
            </w:tcBorders>
            <w:shd w:val="clear" w:color="auto" w:fill="auto"/>
            <w:vAlign w:val="bottom"/>
          </w:tcPr>
          <w:p>
            <w:pPr>
              <w:pStyle w:val="107"/>
            </w:pPr>
            <w:r>
              <w:t>0.6078</w:t>
            </w:r>
          </w:p>
        </w:tc>
        <w:tc>
          <w:tcPr>
            <w:tcW w:w="3678"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 xml:space="preserve">0.05 </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下风向最大质量浓度及占标率/</w:t>
            </w:r>
            <w:r>
              <w:t>%</w:t>
            </w:r>
          </w:p>
        </w:tc>
        <w:tc>
          <w:tcPr>
            <w:tcW w:w="3381" w:type="dxa"/>
            <w:tcBorders>
              <w:top w:val="single" w:color="auto" w:sz="4" w:space="0"/>
              <w:left w:val="nil"/>
              <w:bottom w:val="single" w:color="auto" w:sz="4" w:space="0"/>
              <w:right w:val="single" w:color="auto" w:sz="4" w:space="0"/>
            </w:tcBorders>
            <w:shd w:val="clear" w:color="auto" w:fill="auto"/>
            <w:vAlign w:val="center"/>
          </w:tcPr>
          <w:p>
            <w:pPr>
              <w:pStyle w:val="107"/>
            </w:pPr>
            <w:r>
              <w:t>8.727</w:t>
            </w:r>
          </w:p>
        </w:tc>
        <w:tc>
          <w:tcPr>
            <w:tcW w:w="367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0.73</w:t>
            </w:r>
          </w:p>
        </w:tc>
      </w:tr>
      <w:tr>
        <w:tblPrEx>
          <w:tblLayout w:type="fixed"/>
          <w:tblCellMar>
            <w:top w:w="0" w:type="dxa"/>
            <w:left w:w="108" w:type="dxa"/>
            <w:bottom w:w="0" w:type="dxa"/>
            <w:right w:w="108" w:type="dxa"/>
          </w:tblCellMar>
        </w:tblPrEx>
        <w:trPr>
          <w:trHeight w:val="255" w:hRule="atLeast"/>
        </w:trPr>
        <w:tc>
          <w:tcPr>
            <w:tcW w:w="200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D10%</w:t>
            </w:r>
            <w:r>
              <w:rPr>
                <w:rFonts w:hint="eastAsia"/>
              </w:rPr>
              <w:t>最远距离/</w:t>
            </w:r>
            <w:r>
              <w:t>m</w:t>
            </w:r>
          </w:p>
        </w:tc>
        <w:tc>
          <w:tcPr>
            <w:tcW w:w="3381"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0</w:t>
            </w:r>
          </w:p>
        </w:tc>
        <w:tc>
          <w:tcPr>
            <w:tcW w:w="3678"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0</w:t>
            </w:r>
          </w:p>
        </w:tc>
      </w:tr>
    </w:tbl>
    <w:p>
      <w:pPr>
        <w:ind w:firstLine="480"/>
        <w:rPr>
          <w:rFonts w:eastAsiaTheme="minorEastAsia"/>
        </w:rPr>
      </w:pPr>
      <w:r>
        <w:rPr>
          <w:rFonts w:hint="eastAsia"/>
        </w:rPr>
        <w:t>裁切车间面源中V</w:t>
      </w:r>
      <w:r>
        <w:t>OCs</w:t>
      </w:r>
      <w:r>
        <w:rPr>
          <w:rFonts w:hint="eastAsia"/>
        </w:rPr>
        <w:t>预测结果相对最大,浓度值为</w:t>
      </w:r>
      <w:r>
        <w:t>8.727μg</w:t>
      </w:r>
      <w:r>
        <w:rPr>
          <w:rFonts w:hint="eastAsia"/>
        </w:rPr>
        <w:t>/m³,标准值为</w:t>
      </w:r>
      <w:r>
        <w:t>10μg</w:t>
      </w:r>
      <w:r>
        <w:rPr>
          <w:rFonts w:hint="eastAsia"/>
        </w:rPr>
        <w:t>/m</w:t>
      </w:r>
      <w:r>
        <w:rPr>
          <w:rFonts w:hint="eastAsia"/>
          <w:vertAlign w:val="superscript"/>
        </w:rPr>
        <w:t>3</w:t>
      </w:r>
      <w:r>
        <w:rPr>
          <w:rFonts w:hint="eastAsia"/>
        </w:rPr>
        <w:t>,占标率为</w:t>
      </w:r>
      <w:r>
        <w:t>0.73</w:t>
      </w:r>
      <w:r>
        <w:rPr>
          <w:rFonts w:hint="eastAsia"/>
        </w:rPr>
        <w:t>%,判定该污染源的评价等级为三级</w:t>
      </w:r>
    </w:p>
    <w:p>
      <w:pPr>
        <w:ind w:firstLine="480"/>
        <w:rPr>
          <w:rFonts w:eastAsiaTheme="minorEastAsia"/>
        </w:rPr>
      </w:pPr>
      <w:r>
        <w:rPr>
          <w:rFonts w:hint="eastAsia" w:eastAsiaTheme="minorEastAsia"/>
        </w:rPr>
        <w:t>因此，本项目环境空气影响评价工作等级为二级。</w:t>
      </w:r>
      <w:r>
        <w:rPr>
          <w:rFonts w:eastAsiaTheme="minorEastAsia"/>
        </w:rPr>
        <w:t>正常工况下，本项目排放的</w:t>
      </w:r>
      <w:r>
        <w:rPr>
          <w:rFonts w:hint="eastAsia" w:eastAsiaTheme="minorEastAsia"/>
        </w:rPr>
        <w:t>非甲烷总烃、颗粒物、硫化氢</w:t>
      </w:r>
      <w:r>
        <w:rPr>
          <w:rFonts w:eastAsiaTheme="minorEastAsia"/>
        </w:rPr>
        <w:t>对周围环境的贡献值均较小，最大落地浓度均小于相应的环境标准限值，本项目废气排放对周围环境空气质量影响较小。</w:t>
      </w:r>
    </w:p>
    <w:p>
      <w:pPr>
        <w:pStyle w:val="5"/>
      </w:pPr>
      <w:r>
        <w:rPr>
          <w:rFonts w:hint="eastAsia"/>
        </w:rPr>
        <w:t>大气环境防护距离</w:t>
      </w:r>
    </w:p>
    <w:p>
      <w:pPr>
        <w:ind w:firstLine="480"/>
        <w:rPr>
          <w:rFonts w:cs="Times New Roman" w:eastAsiaTheme="minorEastAsia"/>
        </w:rPr>
      </w:pPr>
      <w:r>
        <w:rPr>
          <w:rFonts w:hint="eastAsia" w:eastAsiaTheme="minorEastAsia"/>
        </w:rPr>
        <w:t>根据《环境影响评价技术导则</w:t>
      </w:r>
      <w:r>
        <w:rPr>
          <w:rFonts w:eastAsiaTheme="minorEastAsia"/>
        </w:rPr>
        <w:t xml:space="preserve"> </w:t>
      </w:r>
      <w:r>
        <w:rPr>
          <w:rFonts w:hint="eastAsia" w:eastAsiaTheme="minorEastAsia"/>
        </w:rPr>
        <w:t>大气环境》（HJ</w:t>
      </w:r>
      <w:r>
        <w:rPr>
          <w:rFonts w:eastAsiaTheme="minorEastAsia"/>
        </w:rPr>
        <w:t xml:space="preserve"> </w:t>
      </w:r>
      <w:r>
        <w:rPr>
          <w:rFonts w:hint="eastAsia" w:eastAsiaTheme="minorEastAsia"/>
        </w:rPr>
        <w:t>2.2-2018），二级评价项目不进行进一步预测与评价，只对污染物排放量进行核算。本项目所有污染物对厂界外短期贡献浓度均未超过质量标准，无需设置大气环境防护距离，大气环境影响可接受。</w:t>
      </w:r>
    </w:p>
    <w:p>
      <w:pPr>
        <w:pStyle w:val="5"/>
      </w:pPr>
      <w:r>
        <w:rPr>
          <w:rFonts w:hint="eastAsia"/>
        </w:rPr>
        <w:t>臭气影响分析</w:t>
      </w:r>
    </w:p>
    <w:p>
      <w:pPr>
        <w:ind w:firstLine="480"/>
        <w:rPr>
          <w:rFonts w:eastAsiaTheme="minorEastAsia"/>
        </w:rPr>
      </w:pPr>
      <w:r>
        <w:rPr>
          <w:rFonts w:eastAsiaTheme="minorEastAsia"/>
        </w:rPr>
        <w:t>本项目炼胶</w:t>
      </w:r>
      <w:r>
        <w:rPr>
          <w:rFonts w:hint="eastAsia" w:eastAsiaTheme="minorEastAsia"/>
        </w:rPr>
        <w:t>（密炼、开炼）</w:t>
      </w:r>
      <w:r>
        <w:rPr>
          <w:rFonts w:eastAsiaTheme="minorEastAsia"/>
        </w:rPr>
        <w:t>、硫化工序产生废气因含有非甲烷总烃、微量的硫化氢等，具有一定程度的异味，综合感官表征为恶臭气体。通过废气收集系统引至</w:t>
      </w:r>
      <w:r>
        <w:rPr>
          <w:rFonts w:hint="eastAsia" w:eastAsiaTheme="minorEastAsia"/>
        </w:rPr>
        <w:t>废气</w:t>
      </w:r>
      <w:r>
        <w:rPr>
          <w:rFonts w:eastAsiaTheme="minorEastAsia"/>
        </w:rPr>
        <w:t>处理</w:t>
      </w:r>
      <w:r>
        <w:rPr>
          <w:rFonts w:hint="eastAsia" w:eastAsiaTheme="minorEastAsia"/>
        </w:rPr>
        <w:t>设施集</w:t>
      </w:r>
      <w:r>
        <w:rPr>
          <w:rFonts w:eastAsiaTheme="minorEastAsia"/>
        </w:rPr>
        <w:t>中处理，臭气浓度将明显消减，通过</w:t>
      </w:r>
      <w:r>
        <w:rPr>
          <w:rFonts w:hint="eastAsia" w:eastAsiaTheme="minorEastAsia"/>
        </w:rPr>
        <w:t>15m</w:t>
      </w:r>
      <w:r>
        <w:rPr>
          <w:rFonts w:eastAsiaTheme="minorEastAsia"/>
        </w:rPr>
        <w:t>高的排气筒高空排放，根据前</w:t>
      </w:r>
      <w:r>
        <w:rPr>
          <w:rFonts w:hint="eastAsia" w:eastAsiaTheme="minorEastAsia"/>
        </w:rPr>
        <w:t>文</w:t>
      </w:r>
      <w:r>
        <w:rPr>
          <w:rFonts w:eastAsiaTheme="minorEastAsia"/>
        </w:rPr>
        <w:t>分析结果显示，排放废气中H</w:t>
      </w:r>
      <w:r>
        <w:rPr>
          <w:rFonts w:eastAsiaTheme="minorEastAsia"/>
          <w:vertAlign w:val="subscript"/>
        </w:rPr>
        <w:t>2</w:t>
      </w:r>
      <w:r>
        <w:rPr>
          <w:rFonts w:eastAsiaTheme="minorEastAsia"/>
        </w:rPr>
        <w:t>S等恶臭污染物浓度较低。</w:t>
      </w:r>
    </w:p>
    <w:p>
      <w:pPr>
        <w:snapToGrid w:val="0"/>
        <w:ind w:firstLine="480"/>
        <w:rPr>
          <w:rStyle w:val="63"/>
          <w:color w:val="auto"/>
        </w:rPr>
      </w:pPr>
      <w:r>
        <w:rPr>
          <w:rStyle w:val="63"/>
          <w:rFonts w:hint="eastAsia"/>
          <w:color w:val="auto"/>
        </w:rPr>
        <w:t>根据本项目满负荷运行时项目废气污染物的排气筒有组织排放浓度和厂界无组织排放浓度实际监测结果，炼胶工序、硫化工序处理前臭气浓度均低于500（无量纲），经处理后有组织排放的臭气排放浓度低于</w:t>
      </w:r>
      <w:r>
        <w:rPr>
          <w:rStyle w:val="63"/>
          <w:color w:val="auto"/>
        </w:rPr>
        <w:t>100</w:t>
      </w:r>
      <w:r>
        <w:rPr>
          <w:rStyle w:val="63"/>
          <w:rFonts w:hint="eastAsia"/>
          <w:color w:val="auto"/>
        </w:rPr>
        <w:t>（无量纲），厂界臭气浓度低于2</w:t>
      </w:r>
      <w:r>
        <w:rPr>
          <w:rStyle w:val="63"/>
          <w:color w:val="auto"/>
        </w:rPr>
        <w:t>0</w:t>
      </w:r>
      <w:r>
        <w:rPr>
          <w:rStyle w:val="63"/>
          <w:rFonts w:hint="eastAsia"/>
          <w:color w:val="auto"/>
        </w:rPr>
        <w:t>（无量纲），能够满足《恶臭污染物排放标准》（GB 14554-93）中15m排气筒排放浓度2000（无量纲）及厂界无组织限值20（无量纲）。因此采取措施进一步加强废气收集效果和处理效果后，项目排气筒有组织排放和厂界无组织排放的臭气浓度会进一步减小，可达标排放。</w:t>
      </w:r>
    </w:p>
    <w:p>
      <w:pPr>
        <w:pStyle w:val="5"/>
      </w:pPr>
      <w:r>
        <w:rPr>
          <w:rFonts w:hint="eastAsia"/>
        </w:rPr>
        <w:t>大气污染物核算</w:t>
      </w:r>
    </w:p>
    <w:p>
      <w:pPr>
        <w:pStyle w:val="24"/>
        <w:ind w:left="480" w:firstLine="0" w:firstLineChars="0"/>
        <w:jc w:val="center"/>
        <w:rPr>
          <w:rFonts w:ascii="Times New Roman" w:hAnsi="Times New Roman"/>
          <w:b/>
          <w:bCs/>
        </w:rPr>
      </w:pPr>
      <w:r>
        <w:rPr>
          <w:rFonts w:ascii="Times New Roman" w:hAnsi="Times New Roman"/>
          <w:b/>
          <w:bCs/>
        </w:rPr>
        <w:t>表4.4-18大气污染物有组织排放量核算表</w:t>
      </w:r>
    </w:p>
    <w:tbl>
      <w:tblPr>
        <w:tblStyle w:val="5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965"/>
        <w:gridCol w:w="1548"/>
        <w:gridCol w:w="1548"/>
        <w:gridCol w:w="1460"/>
        <w:gridCol w:w="16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9"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序号</w:t>
            </w:r>
          </w:p>
        </w:tc>
        <w:tc>
          <w:tcPr>
            <w:tcW w:w="1965"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排放口编号</w:t>
            </w:r>
          </w:p>
        </w:tc>
        <w:tc>
          <w:tcPr>
            <w:tcW w:w="1548"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污染物</w:t>
            </w:r>
          </w:p>
        </w:tc>
        <w:tc>
          <w:tcPr>
            <w:tcW w:w="1548"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核算排放浓度/（mg/m</w:t>
            </w:r>
            <w:r>
              <w:rPr>
                <w:rFonts w:ascii="Times New Roman" w:hAnsi="Times New Roman"/>
                <w:sz w:val="21"/>
                <w:szCs w:val="21"/>
                <w:vertAlign w:val="superscript"/>
              </w:rPr>
              <w:t>3</w:t>
            </w:r>
            <w:r>
              <w:rPr>
                <w:rFonts w:ascii="Times New Roman" w:hAnsi="Times New Roman"/>
                <w:sz w:val="21"/>
                <w:szCs w:val="21"/>
              </w:rPr>
              <w:t>）</w:t>
            </w:r>
          </w:p>
        </w:tc>
        <w:tc>
          <w:tcPr>
            <w:tcW w:w="1460"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核算排放速率/（kg/h）</w:t>
            </w:r>
          </w:p>
        </w:tc>
        <w:tc>
          <w:tcPr>
            <w:tcW w:w="1636"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核算年排放量/（t/a）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86" w:type="dxa"/>
            <w:gridSpan w:val="6"/>
            <w:vAlign w:val="center"/>
          </w:tcPr>
          <w:p>
            <w:pPr>
              <w:pStyle w:val="24"/>
              <w:spacing w:line="240" w:lineRule="auto"/>
              <w:ind w:left="480" w:firstLine="0" w:firstLineChars="0"/>
              <w:jc w:val="center"/>
              <w:rPr>
                <w:rFonts w:ascii="Times New Roman" w:hAnsi="Times New Roman"/>
                <w:sz w:val="21"/>
                <w:szCs w:val="21"/>
              </w:rPr>
            </w:pPr>
            <w:r>
              <w:rPr>
                <w:rFonts w:ascii="Times New Roman" w:hAnsi="Times New Roman"/>
                <w:sz w:val="21"/>
                <w:szCs w:val="21"/>
              </w:rPr>
              <w:t>一般排放口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9" w:type="dxa"/>
            <w:vMerge w:val="restart"/>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1</w:t>
            </w:r>
          </w:p>
        </w:tc>
        <w:tc>
          <w:tcPr>
            <w:tcW w:w="1965" w:type="dxa"/>
            <w:vMerge w:val="restart"/>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1#（</w:t>
            </w:r>
            <w:r>
              <w:rPr>
                <w:rFonts w:hint="eastAsia" w:ascii="Times New Roman" w:hAnsi="Times New Roman"/>
                <w:sz w:val="21"/>
                <w:szCs w:val="21"/>
              </w:rPr>
              <w:t>密炼、混料、硫化</w:t>
            </w:r>
            <w:r>
              <w:rPr>
                <w:rFonts w:ascii="Times New Roman" w:hAnsi="Times New Roman"/>
                <w:sz w:val="21"/>
                <w:szCs w:val="21"/>
              </w:rPr>
              <w:t>）</w:t>
            </w:r>
          </w:p>
        </w:tc>
        <w:tc>
          <w:tcPr>
            <w:tcW w:w="1548" w:type="dxa"/>
            <w:vAlign w:val="center"/>
          </w:tcPr>
          <w:p>
            <w:pPr>
              <w:pStyle w:val="24"/>
              <w:spacing w:line="240" w:lineRule="auto"/>
              <w:ind w:left="0" w:leftChars="0" w:firstLine="0" w:firstLineChars="0"/>
              <w:jc w:val="center"/>
              <w:rPr>
                <w:rFonts w:ascii="Times New Roman" w:hAnsi="Times New Roman"/>
                <w:sz w:val="21"/>
                <w:szCs w:val="21"/>
              </w:rPr>
            </w:pPr>
            <w:r>
              <w:rPr>
                <w:rFonts w:hint="eastAsia" w:ascii="Times New Roman" w:hAnsi="Times New Roman"/>
                <w:sz w:val="21"/>
                <w:szCs w:val="21"/>
              </w:rPr>
              <w:t>颗粒物</w:t>
            </w:r>
          </w:p>
        </w:tc>
        <w:tc>
          <w:tcPr>
            <w:tcW w:w="1548" w:type="dxa"/>
            <w:vAlign w:val="center"/>
          </w:tcPr>
          <w:p>
            <w:pPr>
              <w:spacing w:line="240" w:lineRule="auto"/>
              <w:ind w:firstLine="0" w:firstLineChars="0"/>
              <w:jc w:val="center"/>
              <w:rPr>
                <w:sz w:val="21"/>
                <w:szCs w:val="21"/>
              </w:rPr>
            </w:pPr>
            <w:r>
              <w:rPr>
                <w:sz w:val="21"/>
                <w:szCs w:val="21"/>
              </w:rPr>
              <w:t>0.077</w:t>
            </w:r>
          </w:p>
        </w:tc>
        <w:tc>
          <w:tcPr>
            <w:tcW w:w="1460" w:type="dxa"/>
            <w:vAlign w:val="center"/>
          </w:tcPr>
          <w:p>
            <w:pPr>
              <w:spacing w:line="240" w:lineRule="auto"/>
              <w:ind w:firstLine="0" w:firstLineChars="0"/>
              <w:jc w:val="center"/>
              <w:rPr>
                <w:sz w:val="21"/>
                <w:szCs w:val="21"/>
              </w:rPr>
            </w:pPr>
            <w:r>
              <w:rPr>
                <w:rFonts w:hint="eastAsia"/>
                <w:sz w:val="21"/>
                <w:szCs w:val="21"/>
              </w:rPr>
              <w:t>0.00</w:t>
            </w:r>
            <w:r>
              <w:rPr>
                <w:sz w:val="21"/>
                <w:szCs w:val="21"/>
              </w:rPr>
              <w:t>1695</w:t>
            </w:r>
          </w:p>
        </w:tc>
        <w:tc>
          <w:tcPr>
            <w:tcW w:w="1636" w:type="dxa"/>
            <w:vAlign w:val="center"/>
          </w:tcPr>
          <w:p>
            <w:pPr>
              <w:spacing w:line="240" w:lineRule="auto"/>
              <w:ind w:firstLine="0" w:firstLineChars="0"/>
              <w:jc w:val="center"/>
              <w:rPr>
                <w:sz w:val="21"/>
                <w:szCs w:val="21"/>
              </w:rPr>
            </w:pPr>
            <w:r>
              <w:rPr>
                <w:rStyle w:val="63"/>
                <w:color w:val="000000" w:themeColor="text1"/>
                <w:sz w:val="21"/>
                <w:szCs w:val="21"/>
                <w14:textFill>
                  <w14:solidFill>
                    <w14:schemeClr w14:val="tx1"/>
                  </w14:solidFill>
                </w14:textFill>
              </w:rPr>
              <w:t>0.00</w:t>
            </w:r>
            <w:r>
              <w:rPr>
                <w:rStyle w:val="63"/>
                <w:rFonts w:hint="eastAsia"/>
                <w:color w:val="000000" w:themeColor="text1"/>
                <w:sz w:val="21"/>
                <w:szCs w:val="21"/>
                <w14:textFill>
                  <w14:solidFill>
                    <w14:schemeClr w14:val="tx1"/>
                  </w14:solidFill>
                </w14:textFill>
              </w:rPr>
              <w:t>4</w:t>
            </w:r>
            <w:r>
              <w:rPr>
                <w:rStyle w:val="63"/>
                <w:color w:val="000000" w:themeColor="text1"/>
                <w:sz w:val="21"/>
                <w:szCs w:val="21"/>
                <w14:textFill>
                  <w14:solidFill>
                    <w14:schemeClr w14:val="tx1"/>
                  </w14:solidFill>
                </w14:textFill>
              </w:rPr>
              <w:t>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9"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965" w:type="dxa"/>
            <w:vMerge w:val="continue"/>
            <w:vAlign w:val="center"/>
          </w:tcPr>
          <w:p>
            <w:pPr>
              <w:pStyle w:val="24"/>
              <w:spacing w:line="240" w:lineRule="auto"/>
              <w:ind w:left="0" w:leftChars="0" w:firstLine="0" w:firstLineChars="0"/>
              <w:rPr>
                <w:rFonts w:ascii="Times New Roman" w:hAnsi="Times New Roman"/>
                <w:sz w:val="21"/>
                <w:szCs w:val="21"/>
              </w:rPr>
            </w:pPr>
          </w:p>
        </w:tc>
        <w:tc>
          <w:tcPr>
            <w:tcW w:w="1548" w:type="dxa"/>
            <w:vAlign w:val="center"/>
          </w:tcPr>
          <w:p>
            <w:pPr>
              <w:pStyle w:val="24"/>
              <w:spacing w:line="240" w:lineRule="auto"/>
              <w:ind w:left="0" w:leftChars="0" w:firstLine="0" w:firstLineChars="0"/>
              <w:jc w:val="center"/>
              <w:rPr>
                <w:rFonts w:ascii="Times New Roman" w:hAnsi="Times New Roman"/>
                <w:sz w:val="21"/>
                <w:szCs w:val="21"/>
              </w:rPr>
            </w:pPr>
            <w:r>
              <w:rPr>
                <w:rFonts w:hint="eastAsia" w:ascii="Times New Roman" w:hAnsi="Times New Roman"/>
                <w:sz w:val="21"/>
                <w:szCs w:val="21"/>
              </w:rPr>
              <w:t>非甲烷总烃</w:t>
            </w:r>
          </w:p>
        </w:tc>
        <w:tc>
          <w:tcPr>
            <w:tcW w:w="1548" w:type="dxa"/>
            <w:vAlign w:val="center"/>
          </w:tcPr>
          <w:p>
            <w:pPr>
              <w:spacing w:line="240" w:lineRule="auto"/>
              <w:ind w:firstLine="0" w:firstLineChars="0"/>
              <w:jc w:val="center"/>
              <w:rPr>
                <w:sz w:val="21"/>
                <w:szCs w:val="21"/>
              </w:rPr>
            </w:pPr>
            <w:r>
              <w:rPr>
                <w:rFonts w:hint="eastAsia"/>
                <w:sz w:val="21"/>
                <w:szCs w:val="21"/>
              </w:rPr>
              <w:t>0</w:t>
            </w:r>
            <w:r>
              <w:rPr>
                <w:sz w:val="21"/>
                <w:szCs w:val="21"/>
              </w:rPr>
              <w:t>.42</w:t>
            </w:r>
          </w:p>
        </w:tc>
        <w:tc>
          <w:tcPr>
            <w:tcW w:w="1460" w:type="dxa"/>
            <w:vAlign w:val="center"/>
          </w:tcPr>
          <w:p>
            <w:pPr>
              <w:spacing w:line="240" w:lineRule="auto"/>
              <w:ind w:firstLine="0" w:firstLineChars="0"/>
              <w:jc w:val="center"/>
              <w:rPr>
                <w:sz w:val="21"/>
                <w:szCs w:val="21"/>
              </w:rPr>
            </w:pPr>
            <w:r>
              <w:rPr>
                <w:rFonts w:hint="eastAsia"/>
                <w:sz w:val="21"/>
                <w:szCs w:val="21"/>
              </w:rPr>
              <w:t>0</w:t>
            </w:r>
            <w:r>
              <w:rPr>
                <w:sz w:val="21"/>
                <w:szCs w:val="21"/>
              </w:rPr>
              <w:t>.00914</w:t>
            </w:r>
          </w:p>
        </w:tc>
        <w:tc>
          <w:tcPr>
            <w:tcW w:w="1636" w:type="dxa"/>
            <w:vAlign w:val="center"/>
          </w:tcPr>
          <w:p>
            <w:pPr>
              <w:spacing w:line="240" w:lineRule="auto"/>
              <w:ind w:firstLine="0" w:firstLineChars="0"/>
              <w:jc w:val="center"/>
              <w:rPr>
                <w:sz w:val="21"/>
                <w:szCs w:val="21"/>
              </w:rPr>
            </w:pPr>
            <w:r>
              <w:rPr>
                <w:rStyle w:val="63"/>
                <w:color w:val="000000" w:themeColor="text1"/>
                <w:sz w:val="21"/>
                <w:szCs w:val="21"/>
                <w14:textFill>
                  <w14:solidFill>
                    <w14:schemeClr w14:val="tx1"/>
                  </w14:solidFill>
                </w14:textFill>
              </w:rPr>
              <w:t>0.0</w:t>
            </w:r>
            <w:r>
              <w:rPr>
                <w:rStyle w:val="63"/>
                <w:rFonts w:hint="eastAsia"/>
                <w:color w:val="000000" w:themeColor="text1"/>
                <w:sz w:val="21"/>
                <w:szCs w:val="21"/>
                <w14:textFill>
                  <w14:solidFill>
                    <w14:schemeClr w14:val="tx1"/>
                  </w14:solidFill>
                </w14:textFill>
              </w:rPr>
              <w:t>2</w:t>
            </w:r>
            <w:r>
              <w:rPr>
                <w:rStyle w:val="63"/>
                <w:color w:val="000000" w:themeColor="text1"/>
                <w:sz w:val="21"/>
                <w:szCs w:val="21"/>
                <w14:textFill>
                  <w14:solidFill>
                    <w14:schemeClr w14:val="tx1"/>
                  </w14:solidFill>
                </w14:textFill>
              </w:rPr>
              <w:t>1935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9"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965"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548"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H</w:t>
            </w:r>
            <w:r>
              <w:rPr>
                <w:rFonts w:ascii="Times New Roman" w:hAnsi="Times New Roman"/>
                <w:sz w:val="21"/>
                <w:szCs w:val="21"/>
                <w:vertAlign w:val="subscript"/>
              </w:rPr>
              <w:t>2</w:t>
            </w:r>
            <w:r>
              <w:rPr>
                <w:rFonts w:ascii="Times New Roman" w:hAnsi="Times New Roman"/>
                <w:sz w:val="21"/>
                <w:szCs w:val="21"/>
              </w:rPr>
              <w:t>S</w:t>
            </w:r>
          </w:p>
        </w:tc>
        <w:tc>
          <w:tcPr>
            <w:tcW w:w="1548" w:type="dxa"/>
            <w:vAlign w:val="center"/>
          </w:tcPr>
          <w:p>
            <w:pPr>
              <w:spacing w:line="240" w:lineRule="auto"/>
              <w:ind w:firstLine="0" w:firstLineChars="0"/>
              <w:jc w:val="center"/>
              <w:rPr>
                <w:sz w:val="21"/>
                <w:szCs w:val="21"/>
              </w:rPr>
            </w:pPr>
            <w:r>
              <w:rPr>
                <w:sz w:val="21"/>
                <w:szCs w:val="21"/>
              </w:rPr>
              <w:t>0.</w:t>
            </w:r>
            <w:r>
              <w:rPr>
                <w:rFonts w:hint="eastAsia"/>
                <w:sz w:val="21"/>
                <w:szCs w:val="21"/>
              </w:rPr>
              <w:t>01</w:t>
            </w:r>
            <w:r>
              <w:rPr>
                <w:sz w:val="21"/>
                <w:szCs w:val="21"/>
              </w:rPr>
              <w:t>5</w:t>
            </w:r>
          </w:p>
        </w:tc>
        <w:tc>
          <w:tcPr>
            <w:tcW w:w="1460" w:type="dxa"/>
            <w:vAlign w:val="center"/>
          </w:tcPr>
          <w:p>
            <w:pPr>
              <w:spacing w:line="240" w:lineRule="auto"/>
              <w:ind w:firstLine="0" w:firstLineChars="0"/>
              <w:jc w:val="center"/>
              <w:rPr>
                <w:sz w:val="21"/>
                <w:szCs w:val="21"/>
              </w:rPr>
            </w:pPr>
            <w:r>
              <w:rPr>
                <w:sz w:val="21"/>
                <w:szCs w:val="21"/>
              </w:rPr>
              <w:t>0.00034</w:t>
            </w:r>
          </w:p>
        </w:tc>
        <w:tc>
          <w:tcPr>
            <w:tcW w:w="1636" w:type="dxa"/>
            <w:vAlign w:val="center"/>
          </w:tcPr>
          <w:p>
            <w:pPr>
              <w:spacing w:line="240" w:lineRule="auto"/>
              <w:ind w:firstLine="0" w:firstLineChars="0"/>
              <w:jc w:val="center"/>
              <w:rPr>
                <w:sz w:val="21"/>
                <w:szCs w:val="21"/>
              </w:rPr>
            </w:pPr>
            <w:r>
              <w:rPr>
                <w:rStyle w:val="63"/>
                <w:rFonts w:hint="eastAsia"/>
                <w:color w:val="000000" w:themeColor="text1"/>
                <w:sz w:val="21"/>
                <w:szCs w:val="21"/>
                <w14:textFill>
                  <w14:solidFill>
                    <w14:schemeClr w14:val="tx1"/>
                  </w14:solidFill>
                </w14:textFill>
              </w:rPr>
              <w:t>0.</w:t>
            </w:r>
            <w:r>
              <w:rPr>
                <w:rStyle w:val="63"/>
                <w:color w:val="000000" w:themeColor="text1"/>
                <w:sz w:val="21"/>
                <w:szCs w:val="21"/>
                <w14:textFill>
                  <w14:solidFill>
                    <w14:schemeClr w14:val="tx1"/>
                  </w14:solidFill>
                </w14:textFill>
              </w:rPr>
              <w:t>000816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6" w:hRule="atLeast"/>
        </w:trPr>
        <w:tc>
          <w:tcPr>
            <w:tcW w:w="1129"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2</w:t>
            </w:r>
          </w:p>
        </w:tc>
        <w:tc>
          <w:tcPr>
            <w:tcW w:w="1965" w:type="dxa"/>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2#（</w:t>
            </w:r>
            <w:r>
              <w:rPr>
                <w:rFonts w:hint="eastAsia" w:ascii="Times New Roman" w:hAnsi="Times New Roman"/>
                <w:sz w:val="21"/>
                <w:szCs w:val="21"/>
              </w:rPr>
              <w:t>抛丸</w:t>
            </w:r>
            <w:r>
              <w:rPr>
                <w:rFonts w:ascii="Times New Roman" w:hAnsi="Times New Roman"/>
                <w:sz w:val="21"/>
                <w:szCs w:val="21"/>
              </w:rPr>
              <w:t>）</w:t>
            </w:r>
          </w:p>
        </w:tc>
        <w:tc>
          <w:tcPr>
            <w:tcW w:w="1548" w:type="dxa"/>
            <w:vAlign w:val="center"/>
          </w:tcPr>
          <w:p>
            <w:pPr>
              <w:pStyle w:val="24"/>
              <w:spacing w:line="240" w:lineRule="auto"/>
              <w:ind w:left="0" w:leftChars="0" w:firstLine="0" w:firstLineChars="0"/>
              <w:jc w:val="center"/>
              <w:rPr>
                <w:rFonts w:ascii="Times New Roman" w:hAnsi="Times New Roman"/>
                <w:sz w:val="21"/>
                <w:szCs w:val="21"/>
              </w:rPr>
            </w:pPr>
            <w:r>
              <w:rPr>
                <w:rFonts w:hint="eastAsia" w:ascii="Times New Roman" w:hAnsi="Times New Roman"/>
                <w:sz w:val="21"/>
                <w:szCs w:val="21"/>
              </w:rPr>
              <w:t>颗粒物</w:t>
            </w:r>
          </w:p>
        </w:tc>
        <w:tc>
          <w:tcPr>
            <w:tcW w:w="1548"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27.78</w:t>
            </w:r>
          </w:p>
        </w:tc>
        <w:tc>
          <w:tcPr>
            <w:tcW w:w="1460" w:type="dxa"/>
            <w:vAlign w:val="center"/>
          </w:tcPr>
          <w:p>
            <w:pPr>
              <w:pStyle w:val="24"/>
              <w:spacing w:line="240" w:lineRule="auto"/>
              <w:ind w:left="0" w:leftChars="0" w:firstLine="0" w:firstLineChars="0"/>
              <w:jc w:val="center"/>
              <w:rPr>
                <w:rFonts w:ascii="Times New Roman" w:hAnsi="Times New Roman"/>
                <w:sz w:val="21"/>
                <w:szCs w:val="21"/>
              </w:rPr>
            </w:pPr>
            <w:r>
              <w:rPr>
                <w:rFonts w:hint="eastAsia" w:eastAsia="宋体" w:cs="宋体"/>
                <w:sz w:val="21"/>
                <w:szCs w:val="21"/>
              </w:rPr>
              <w:t>0</w:t>
            </w:r>
            <w:r>
              <w:rPr>
                <w:rFonts w:eastAsia="宋体" w:cs="宋体"/>
                <w:sz w:val="21"/>
                <w:szCs w:val="21"/>
              </w:rPr>
              <w:t>.1667</w:t>
            </w:r>
          </w:p>
        </w:tc>
        <w:tc>
          <w:tcPr>
            <w:tcW w:w="1636"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9" w:type="dxa"/>
            <w:vMerge w:val="restart"/>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一般排放口合计</w:t>
            </w:r>
          </w:p>
        </w:tc>
        <w:tc>
          <w:tcPr>
            <w:tcW w:w="6521" w:type="dxa"/>
            <w:gridSpan w:val="4"/>
            <w:vAlign w:val="center"/>
          </w:tcPr>
          <w:p>
            <w:pPr>
              <w:spacing w:line="240" w:lineRule="auto"/>
              <w:ind w:firstLine="0" w:firstLineChars="0"/>
              <w:jc w:val="center"/>
              <w:rPr>
                <w:sz w:val="21"/>
                <w:szCs w:val="21"/>
              </w:rPr>
            </w:pPr>
            <w:r>
              <w:rPr>
                <w:rFonts w:hint="eastAsia" w:ascii="Times New Roman" w:hAnsi="Times New Roman"/>
                <w:sz w:val="21"/>
                <w:szCs w:val="21"/>
              </w:rPr>
              <w:t>颗粒物</w:t>
            </w:r>
          </w:p>
        </w:tc>
        <w:tc>
          <w:tcPr>
            <w:tcW w:w="1636" w:type="dxa"/>
            <w:vAlign w:val="center"/>
          </w:tcPr>
          <w:p>
            <w:pPr>
              <w:spacing w:line="240" w:lineRule="auto"/>
              <w:ind w:firstLine="0" w:firstLineChars="0"/>
              <w:jc w:val="center"/>
              <w:rPr>
                <w:sz w:val="21"/>
                <w:szCs w:val="21"/>
              </w:rPr>
            </w:pPr>
            <w:r>
              <w:rPr>
                <w:rFonts w:hint="eastAsia"/>
                <w:sz w:val="21"/>
                <w:szCs w:val="21"/>
              </w:rPr>
              <w:t>0</w:t>
            </w:r>
            <w:r>
              <w:rPr>
                <w:sz w:val="21"/>
                <w:szCs w:val="21"/>
              </w:rPr>
              <w:t>.20</w:t>
            </w:r>
            <w:r>
              <w:rPr>
                <w:rStyle w:val="63"/>
                <w:rFonts w:hint="eastAsia"/>
                <w:color w:val="000000" w:themeColor="text1"/>
                <w:sz w:val="21"/>
                <w:szCs w:val="21"/>
                <w14:textFill>
                  <w14:solidFill>
                    <w14:schemeClr w14:val="tx1"/>
                  </w14:solidFill>
                </w14:textFill>
              </w:rPr>
              <w:t>4</w:t>
            </w:r>
            <w:r>
              <w:rPr>
                <w:rStyle w:val="63"/>
                <w:color w:val="000000" w:themeColor="text1"/>
                <w:sz w:val="21"/>
                <w:szCs w:val="21"/>
                <w14:textFill>
                  <w14:solidFill>
                    <w14:schemeClr w14:val="tx1"/>
                  </w14:solidFill>
                </w14:textFill>
              </w:rPr>
              <w:t>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9"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6521" w:type="dxa"/>
            <w:gridSpan w:val="4"/>
            <w:vAlign w:val="center"/>
          </w:tcPr>
          <w:p>
            <w:pPr>
              <w:spacing w:line="240" w:lineRule="auto"/>
              <w:ind w:firstLine="0" w:firstLineChars="0"/>
              <w:jc w:val="center"/>
              <w:rPr>
                <w:sz w:val="21"/>
                <w:szCs w:val="21"/>
              </w:rPr>
            </w:pPr>
            <w:r>
              <w:rPr>
                <w:rFonts w:hint="eastAsia" w:ascii="Times New Roman" w:hAnsi="Times New Roman"/>
                <w:sz w:val="21"/>
                <w:szCs w:val="21"/>
              </w:rPr>
              <w:t>非甲烷总烃</w:t>
            </w:r>
          </w:p>
        </w:tc>
        <w:tc>
          <w:tcPr>
            <w:tcW w:w="1636" w:type="dxa"/>
            <w:vAlign w:val="center"/>
          </w:tcPr>
          <w:p>
            <w:pPr>
              <w:spacing w:line="240" w:lineRule="auto"/>
              <w:ind w:firstLine="0" w:firstLineChars="0"/>
              <w:jc w:val="center"/>
              <w:rPr>
                <w:sz w:val="21"/>
                <w:szCs w:val="21"/>
              </w:rPr>
            </w:pPr>
            <w:r>
              <w:rPr>
                <w:rStyle w:val="63"/>
                <w:color w:val="000000" w:themeColor="text1"/>
                <w:sz w:val="21"/>
                <w:szCs w:val="21"/>
                <w14:textFill>
                  <w14:solidFill>
                    <w14:schemeClr w14:val="tx1"/>
                  </w14:solidFill>
                </w14:textFill>
              </w:rPr>
              <w:t>0.0</w:t>
            </w:r>
            <w:r>
              <w:rPr>
                <w:rStyle w:val="63"/>
                <w:rFonts w:hint="eastAsia"/>
                <w:color w:val="000000" w:themeColor="text1"/>
                <w:sz w:val="21"/>
                <w:szCs w:val="21"/>
                <w14:textFill>
                  <w14:solidFill>
                    <w14:schemeClr w14:val="tx1"/>
                  </w14:solidFill>
                </w14:textFill>
              </w:rPr>
              <w:t>2</w:t>
            </w:r>
            <w:r>
              <w:rPr>
                <w:rStyle w:val="63"/>
                <w:color w:val="000000" w:themeColor="text1"/>
                <w:sz w:val="21"/>
                <w:szCs w:val="21"/>
                <w14:textFill>
                  <w14:solidFill>
                    <w14:schemeClr w14:val="tx1"/>
                  </w14:solidFill>
                </w14:textFill>
              </w:rPr>
              <w:t>1935</w:t>
            </w:r>
            <w:r>
              <w:rPr>
                <w:rStyle w:val="63"/>
                <w:rFonts w:hint="eastAsia"/>
                <w:color w:val="000000" w:themeColor="text1"/>
                <w:sz w:val="21"/>
                <w:szCs w:val="21"/>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9"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6521" w:type="dxa"/>
            <w:gridSpan w:val="4"/>
            <w:vAlign w:val="center"/>
          </w:tcPr>
          <w:p>
            <w:pPr>
              <w:spacing w:line="240" w:lineRule="auto"/>
              <w:ind w:firstLine="0" w:firstLineChars="0"/>
              <w:jc w:val="center"/>
              <w:rPr>
                <w:sz w:val="21"/>
                <w:szCs w:val="21"/>
              </w:rPr>
            </w:pPr>
            <w:r>
              <w:rPr>
                <w:rFonts w:ascii="Times New Roman" w:hAnsi="Times New Roman"/>
                <w:sz w:val="21"/>
                <w:szCs w:val="21"/>
              </w:rPr>
              <w:t>H</w:t>
            </w:r>
            <w:r>
              <w:rPr>
                <w:rFonts w:ascii="Times New Roman" w:hAnsi="Times New Roman"/>
                <w:sz w:val="21"/>
                <w:szCs w:val="21"/>
                <w:vertAlign w:val="subscript"/>
              </w:rPr>
              <w:t>2</w:t>
            </w:r>
            <w:r>
              <w:rPr>
                <w:rFonts w:ascii="Times New Roman" w:hAnsi="Times New Roman"/>
                <w:sz w:val="21"/>
                <w:szCs w:val="21"/>
              </w:rPr>
              <w:t>S</w:t>
            </w:r>
          </w:p>
        </w:tc>
        <w:tc>
          <w:tcPr>
            <w:tcW w:w="1636" w:type="dxa"/>
            <w:vAlign w:val="center"/>
          </w:tcPr>
          <w:p>
            <w:pPr>
              <w:pStyle w:val="24"/>
              <w:spacing w:line="240" w:lineRule="auto"/>
              <w:ind w:left="0" w:leftChars="0" w:firstLine="0" w:firstLineChars="0"/>
              <w:jc w:val="center"/>
              <w:rPr>
                <w:rFonts w:ascii="Times New Roman" w:hAnsi="Times New Roman"/>
                <w:sz w:val="21"/>
                <w:szCs w:val="21"/>
              </w:rPr>
            </w:pPr>
            <w:r>
              <w:rPr>
                <w:rStyle w:val="63"/>
                <w:rFonts w:hint="eastAsia"/>
                <w:color w:val="000000" w:themeColor="text1"/>
                <w:sz w:val="21"/>
                <w:szCs w:val="21"/>
                <w14:textFill>
                  <w14:solidFill>
                    <w14:schemeClr w14:val="tx1"/>
                  </w14:solidFill>
                </w14:textFill>
              </w:rPr>
              <w:t>0.</w:t>
            </w:r>
            <w:r>
              <w:rPr>
                <w:rStyle w:val="63"/>
                <w:color w:val="000000" w:themeColor="text1"/>
                <w:sz w:val="21"/>
                <w:szCs w:val="21"/>
                <w14:textFill>
                  <w14:solidFill>
                    <w14:schemeClr w14:val="tx1"/>
                  </w14:solidFill>
                </w14:textFill>
              </w:rPr>
              <w:t>000816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86" w:type="dxa"/>
            <w:gridSpan w:val="6"/>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有组织排放总计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9" w:type="dxa"/>
            <w:vMerge w:val="restart"/>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有组织排放总计</w:t>
            </w:r>
          </w:p>
        </w:tc>
        <w:tc>
          <w:tcPr>
            <w:tcW w:w="6521" w:type="dxa"/>
            <w:gridSpan w:val="4"/>
            <w:vAlign w:val="center"/>
          </w:tcPr>
          <w:p>
            <w:pPr>
              <w:spacing w:line="240" w:lineRule="auto"/>
              <w:ind w:firstLine="0" w:firstLineChars="0"/>
              <w:jc w:val="center"/>
              <w:rPr>
                <w:sz w:val="21"/>
                <w:szCs w:val="21"/>
              </w:rPr>
            </w:pPr>
            <w:r>
              <w:rPr>
                <w:rFonts w:hint="eastAsia" w:ascii="Times New Roman" w:hAnsi="Times New Roman"/>
                <w:sz w:val="21"/>
                <w:szCs w:val="21"/>
              </w:rPr>
              <w:t>颗粒物</w:t>
            </w:r>
          </w:p>
        </w:tc>
        <w:tc>
          <w:tcPr>
            <w:tcW w:w="1636" w:type="dxa"/>
            <w:vAlign w:val="center"/>
          </w:tcPr>
          <w:p>
            <w:pPr>
              <w:spacing w:line="240" w:lineRule="auto"/>
              <w:ind w:firstLine="0" w:firstLineChars="0"/>
              <w:jc w:val="center"/>
              <w:rPr>
                <w:sz w:val="21"/>
                <w:szCs w:val="21"/>
              </w:rPr>
            </w:pPr>
            <w:r>
              <w:rPr>
                <w:rFonts w:hint="eastAsia"/>
                <w:sz w:val="21"/>
                <w:szCs w:val="21"/>
              </w:rPr>
              <w:t>0</w:t>
            </w:r>
            <w:r>
              <w:rPr>
                <w:sz w:val="21"/>
                <w:szCs w:val="21"/>
              </w:rPr>
              <w:t>.20</w:t>
            </w:r>
            <w:r>
              <w:rPr>
                <w:rStyle w:val="63"/>
                <w:rFonts w:hint="eastAsia"/>
                <w:color w:val="000000" w:themeColor="text1"/>
                <w:sz w:val="21"/>
                <w:szCs w:val="21"/>
                <w14:textFill>
                  <w14:solidFill>
                    <w14:schemeClr w14:val="tx1"/>
                  </w14:solidFill>
                </w14:textFill>
              </w:rPr>
              <w:t>4</w:t>
            </w:r>
            <w:r>
              <w:rPr>
                <w:rStyle w:val="63"/>
                <w:color w:val="000000" w:themeColor="text1"/>
                <w:sz w:val="21"/>
                <w:szCs w:val="21"/>
                <w14:textFill>
                  <w14:solidFill>
                    <w14:schemeClr w14:val="tx1"/>
                  </w14:solidFill>
                </w14:textFill>
              </w:rPr>
              <w:t>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9"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6521" w:type="dxa"/>
            <w:gridSpan w:val="4"/>
            <w:vAlign w:val="center"/>
          </w:tcPr>
          <w:p>
            <w:pPr>
              <w:spacing w:line="240" w:lineRule="auto"/>
              <w:ind w:firstLine="0" w:firstLineChars="0"/>
              <w:jc w:val="center"/>
              <w:rPr>
                <w:sz w:val="21"/>
                <w:szCs w:val="21"/>
              </w:rPr>
            </w:pPr>
            <w:r>
              <w:rPr>
                <w:rFonts w:hint="eastAsia" w:ascii="Times New Roman" w:hAnsi="Times New Roman"/>
                <w:sz w:val="21"/>
                <w:szCs w:val="21"/>
              </w:rPr>
              <w:t>非甲烷总烃</w:t>
            </w:r>
          </w:p>
        </w:tc>
        <w:tc>
          <w:tcPr>
            <w:tcW w:w="1636" w:type="dxa"/>
            <w:vAlign w:val="center"/>
          </w:tcPr>
          <w:p>
            <w:pPr>
              <w:spacing w:line="240" w:lineRule="auto"/>
              <w:ind w:firstLine="0" w:firstLineChars="0"/>
              <w:jc w:val="center"/>
              <w:rPr>
                <w:sz w:val="21"/>
                <w:szCs w:val="21"/>
              </w:rPr>
            </w:pPr>
            <w:r>
              <w:rPr>
                <w:rStyle w:val="63"/>
                <w:color w:val="000000" w:themeColor="text1"/>
                <w:sz w:val="21"/>
                <w:szCs w:val="21"/>
                <w14:textFill>
                  <w14:solidFill>
                    <w14:schemeClr w14:val="tx1"/>
                  </w14:solidFill>
                </w14:textFill>
              </w:rPr>
              <w:t>0.0</w:t>
            </w:r>
            <w:r>
              <w:rPr>
                <w:rStyle w:val="63"/>
                <w:rFonts w:hint="eastAsia"/>
                <w:color w:val="000000" w:themeColor="text1"/>
                <w:sz w:val="21"/>
                <w:szCs w:val="21"/>
                <w14:textFill>
                  <w14:solidFill>
                    <w14:schemeClr w14:val="tx1"/>
                  </w14:solidFill>
                </w14:textFill>
              </w:rPr>
              <w:t>2</w:t>
            </w:r>
            <w:r>
              <w:rPr>
                <w:rStyle w:val="63"/>
                <w:color w:val="000000" w:themeColor="text1"/>
                <w:sz w:val="21"/>
                <w:szCs w:val="21"/>
                <w14:textFill>
                  <w14:solidFill>
                    <w14:schemeClr w14:val="tx1"/>
                  </w14:solidFill>
                </w14:textFill>
              </w:rPr>
              <w:t>1935</w:t>
            </w:r>
            <w:r>
              <w:rPr>
                <w:rStyle w:val="63"/>
                <w:rFonts w:hint="eastAsia"/>
                <w:color w:val="000000" w:themeColor="text1"/>
                <w:sz w:val="21"/>
                <w:szCs w:val="21"/>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9"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6521" w:type="dxa"/>
            <w:gridSpan w:val="4"/>
            <w:vAlign w:val="center"/>
          </w:tcPr>
          <w:p>
            <w:pPr>
              <w:spacing w:line="240" w:lineRule="auto"/>
              <w:ind w:firstLine="0" w:firstLineChars="0"/>
              <w:jc w:val="center"/>
              <w:rPr>
                <w:sz w:val="21"/>
                <w:szCs w:val="21"/>
              </w:rPr>
            </w:pPr>
            <w:r>
              <w:rPr>
                <w:rFonts w:ascii="Times New Roman" w:hAnsi="Times New Roman"/>
                <w:sz w:val="21"/>
                <w:szCs w:val="21"/>
              </w:rPr>
              <w:t>H</w:t>
            </w:r>
            <w:r>
              <w:rPr>
                <w:rFonts w:ascii="Times New Roman" w:hAnsi="Times New Roman"/>
                <w:sz w:val="21"/>
                <w:szCs w:val="21"/>
                <w:vertAlign w:val="subscript"/>
              </w:rPr>
              <w:t>2</w:t>
            </w:r>
            <w:r>
              <w:rPr>
                <w:rFonts w:ascii="Times New Roman" w:hAnsi="Times New Roman"/>
                <w:sz w:val="21"/>
                <w:szCs w:val="21"/>
              </w:rPr>
              <w:t>S</w:t>
            </w:r>
          </w:p>
        </w:tc>
        <w:tc>
          <w:tcPr>
            <w:tcW w:w="1636" w:type="dxa"/>
            <w:vAlign w:val="center"/>
          </w:tcPr>
          <w:p>
            <w:pPr>
              <w:pStyle w:val="24"/>
              <w:spacing w:line="240" w:lineRule="auto"/>
              <w:ind w:left="0" w:leftChars="0" w:firstLine="0" w:firstLineChars="0"/>
              <w:jc w:val="center"/>
              <w:rPr>
                <w:rFonts w:ascii="Times New Roman" w:hAnsi="Times New Roman"/>
                <w:sz w:val="21"/>
                <w:szCs w:val="21"/>
              </w:rPr>
            </w:pPr>
            <w:r>
              <w:rPr>
                <w:rStyle w:val="63"/>
                <w:rFonts w:hint="eastAsia"/>
                <w:color w:val="000000" w:themeColor="text1"/>
                <w:sz w:val="21"/>
                <w:szCs w:val="21"/>
                <w14:textFill>
                  <w14:solidFill>
                    <w14:schemeClr w14:val="tx1"/>
                  </w14:solidFill>
                </w14:textFill>
              </w:rPr>
              <w:t>0.</w:t>
            </w:r>
            <w:r>
              <w:rPr>
                <w:rStyle w:val="63"/>
                <w:color w:val="000000" w:themeColor="text1"/>
                <w:sz w:val="21"/>
                <w:szCs w:val="21"/>
                <w14:textFill>
                  <w14:solidFill>
                    <w14:schemeClr w14:val="tx1"/>
                  </w14:solidFill>
                </w14:textFill>
              </w:rPr>
              <w:t>000816</w:t>
            </w:r>
          </w:p>
        </w:tc>
      </w:tr>
    </w:tbl>
    <w:p>
      <w:pPr>
        <w:pStyle w:val="24"/>
        <w:ind w:left="480" w:firstLine="0" w:firstLineChars="0"/>
        <w:jc w:val="center"/>
        <w:rPr>
          <w:rFonts w:ascii="Times New Roman" w:hAnsi="Times New Roman"/>
          <w:b/>
          <w:bCs/>
        </w:rPr>
      </w:pPr>
      <w:r>
        <w:rPr>
          <w:rFonts w:ascii="Times New Roman" w:hAnsi="Times New Roman"/>
          <w:b/>
          <w:bCs/>
        </w:rPr>
        <w:t>表4.4-19大气污染物无组织排放量核算表</w:t>
      </w:r>
    </w:p>
    <w:tbl>
      <w:tblPr>
        <w:tblStyle w:val="56"/>
        <w:tblW w:w="92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276"/>
        <w:gridCol w:w="1276"/>
        <w:gridCol w:w="1417"/>
        <w:gridCol w:w="1673"/>
        <w:gridCol w:w="311"/>
        <w:gridCol w:w="1248"/>
        <w:gridCol w:w="14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2" w:type="dxa"/>
            <w:vMerge w:val="restart"/>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序号</w:t>
            </w:r>
          </w:p>
        </w:tc>
        <w:tc>
          <w:tcPr>
            <w:tcW w:w="1276" w:type="dxa"/>
            <w:vMerge w:val="restart"/>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排放口编号</w:t>
            </w:r>
          </w:p>
        </w:tc>
        <w:tc>
          <w:tcPr>
            <w:tcW w:w="1276" w:type="dxa"/>
            <w:vMerge w:val="restart"/>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排污环节</w:t>
            </w:r>
          </w:p>
        </w:tc>
        <w:tc>
          <w:tcPr>
            <w:tcW w:w="1417" w:type="dxa"/>
            <w:vMerge w:val="restart"/>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污染物</w:t>
            </w:r>
          </w:p>
        </w:tc>
        <w:tc>
          <w:tcPr>
            <w:tcW w:w="3232" w:type="dxa"/>
            <w:gridSpan w:val="3"/>
            <w:vAlign w:val="center"/>
          </w:tcPr>
          <w:p>
            <w:pPr>
              <w:pStyle w:val="24"/>
              <w:spacing w:line="240" w:lineRule="auto"/>
              <w:ind w:left="480" w:firstLine="0" w:firstLineChars="0"/>
              <w:jc w:val="center"/>
              <w:rPr>
                <w:rFonts w:ascii="Times New Roman" w:hAnsi="Times New Roman"/>
                <w:sz w:val="21"/>
                <w:szCs w:val="21"/>
              </w:rPr>
            </w:pPr>
            <w:r>
              <w:rPr>
                <w:rFonts w:ascii="Times New Roman" w:hAnsi="Times New Roman"/>
                <w:sz w:val="21"/>
                <w:szCs w:val="21"/>
              </w:rPr>
              <w:t>国家及地方污染物排放标准</w:t>
            </w:r>
          </w:p>
        </w:tc>
        <w:tc>
          <w:tcPr>
            <w:tcW w:w="1484" w:type="dxa"/>
            <w:vMerge w:val="restart"/>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2"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276"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276"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417"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673" w:type="dxa"/>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标准名称</w:t>
            </w:r>
          </w:p>
        </w:tc>
        <w:tc>
          <w:tcPr>
            <w:tcW w:w="1559" w:type="dxa"/>
            <w:gridSpan w:val="2"/>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浓度限值/（mg/m</w:t>
            </w:r>
            <w:r>
              <w:rPr>
                <w:rFonts w:ascii="Times New Roman" w:hAnsi="Times New Roman"/>
                <w:sz w:val="21"/>
                <w:szCs w:val="21"/>
                <w:vertAlign w:val="superscript"/>
              </w:rPr>
              <w:t>3</w:t>
            </w:r>
            <w:r>
              <w:rPr>
                <w:rFonts w:ascii="Times New Roman" w:hAnsi="Times New Roman"/>
                <w:sz w:val="21"/>
                <w:szCs w:val="21"/>
              </w:rPr>
              <w:t>）</w:t>
            </w:r>
          </w:p>
        </w:tc>
        <w:tc>
          <w:tcPr>
            <w:tcW w:w="1484" w:type="dxa"/>
            <w:vMerge w:val="continue"/>
            <w:vAlign w:val="center"/>
          </w:tcPr>
          <w:p>
            <w:pPr>
              <w:pStyle w:val="24"/>
              <w:spacing w:line="240" w:lineRule="auto"/>
              <w:ind w:left="480" w:firstLine="0" w:firstLineChars="0"/>
              <w:jc w:val="center"/>
              <w:rPr>
                <w:rFonts w:ascii="Times New Roman" w:hAnsi="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4" w:hRule="atLeast"/>
        </w:trPr>
        <w:tc>
          <w:tcPr>
            <w:tcW w:w="562" w:type="dxa"/>
            <w:vMerge w:val="restart"/>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1</w:t>
            </w:r>
          </w:p>
        </w:tc>
        <w:tc>
          <w:tcPr>
            <w:tcW w:w="1276" w:type="dxa"/>
            <w:vMerge w:val="restart"/>
            <w:vAlign w:val="center"/>
          </w:tcPr>
          <w:p>
            <w:pPr>
              <w:pStyle w:val="24"/>
              <w:spacing w:line="240" w:lineRule="auto"/>
              <w:ind w:left="480" w:firstLine="0" w:firstLineChars="0"/>
              <w:rPr>
                <w:rFonts w:ascii="Times New Roman" w:hAnsi="Times New Roman"/>
                <w:sz w:val="21"/>
                <w:szCs w:val="21"/>
              </w:rPr>
            </w:pPr>
            <w:r>
              <w:rPr>
                <w:rFonts w:ascii="Times New Roman" w:hAnsi="Times New Roman"/>
                <w:sz w:val="21"/>
                <w:szCs w:val="21"/>
              </w:rPr>
              <w:t>/</w:t>
            </w:r>
          </w:p>
        </w:tc>
        <w:tc>
          <w:tcPr>
            <w:tcW w:w="1276" w:type="dxa"/>
            <w:vMerge w:val="restart"/>
            <w:vAlign w:val="center"/>
          </w:tcPr>
          <w:p>
            <w:pPr>
              <w:tabs>
                <w:tab w:val="left" w:pos="2175"/>
              </w:tabs>
              <w:spacing w:line="240" w:lineRule="auto"/>
              <w:ind w:firstLine="0" w:firstLineChars="0"/>
              <w:jc w:val="center"/>
              <w:rPr>
                <w:sz w:val="21"/>
                <w:szCs w:val="21"/>
              </w:rPr>
            </w:pPr>
            <w:r>
              <w:rPr>
                <w:rStyle w:val="63"/>
                <w:color w:val="000000" w:themeColor="text1"/>
                <w:sz w:val="21"/>
                <w:szCs w:val="21"/>
                <w14:textFill>
                  <w14:solidFill>
                    <w14:schemeClr w14:val="tx1"/>
                  </w14:solidFill>
                </w14:textFill>
              </w:rPr>
              <w:t>面源_混炼车间</w:t>
            </w:r>
          </w:p>
        </w:tc>
        <w:tc>
          <w:tcPr>
            <w:tcW w:w="1417" w:type="dxa"/>
            <w:vAlign w:val="center"/>
          </w:tcPr>
          <w:p>
            <w:pPr>
              <w:pStyle w:val="24"/>
              <w:spacing w:line="240" w:lineRule="auto"/>
              <w:ind w:left="0" w:leftChars="0" w:firstLine="0" w:firstLineChars="0"/>
              <w:jc w:val="center"/>
              <w:rPr>
                <w:rFonts w:ascii="Times New Roman" w:hAnsi="Times New Roman"/>
                <w:sz w:val="21"/>
                <w:szCs w:val="21"/>
              </w:rPr>
            </w:pPr>
            <w:r>
              <w:rPr>
                <w:rFonts w:hint="eastAsia" w:ascii="Times New Roman" w:hAnsi="Times New Roman"/>
                <w:sz w:val="21"/>
                <w:szCs w:val="21"/>
              </w:rPr>
              <w:t>非甲烷总烃</w:t>
            </w:r>
          </w:p>
        </w:tc>
        <w:tc>
          <w:tcPr>
            <w:tcW w:w="1673" w:type="dxa"/>
            <w:vMerge w:val="restart"/>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《恶臭污染物排放标准》（GB 14554-93）场界二级新扩改建标准</w:t>
            </w:r>
          </w:p>
        </w:tc>
        <w:tc>
          <w:tcPr>
            <w:tcW w:w="1559" w:type="dxa"/>
            <w:gridSpan w:val="2"/>
            <w:vAlign w:val="center"/>
          </w:tcPr>
          <w:p>
            <w:pPr>
              <w:pStyle w:val="172"/>
              <w:rPr>
                <w:rFonts w:eastAsia="宋体"/>
                <w:spacing w:val="0"/>
              </w:rPr>
            </w:pPr>
            <w:r>
              <w:rPr>
                <w:rFonts w:eastAsia="宋体"/>
                <w:spacing w:val="0"/>
              </w:rPr>
              <w:t>4.0</w:t>
            </w:r>
          </w:p>
        </w:tc>
        <w:tc>
          <w:tcPr>
            <w:tcW w:w="1484" w:type="dxa"/>
            <w:vAlign w:val="center"/>
          </w:tcPr>
          <w:p>
            <w:pPr>
              <w:pStyle w:val="169"/>
              <w:adjustRightInd/>
              <w:snapToGrid/>
              <w:spacing w:line="240" w:lineRule="auto"/>
              <w:ind w:firstLine="0" w:firstLineChars="0"/>
              <w:jc w:val="center"/>
              <w:rPr>
                <w:color w:val="auto"/>
                <w:kern w:val="0"/>
                <w:sz w:val="21"/>
                <w:szCs w:val="21"/>
                <w:lang w:val="en-US"/>
              </w:rPr>
            </w:pPr>
            <w:r>
              <w:rPr>
                <w:color w:val="auto"/>
                <w:kern w:val="0"/>
                <w:sz w:val="21"/>
                <w:szCs w:val="21"/>
                <w:lang w:val="en-US"/>
              </w:rPr>
              <w:t>0.0062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trPr>
        <w:tc>
          <w:tcPr>
            <w:tcW w:w="562"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276" w:type="dxa"/>
            <w:vMerge w:val="continue"/>
            <w:vAlign w:val="center"/>
          </w:tcPr>
          <w:p>
            <w:pPr>
              <w:pStyle w:val="24"/>
              <w:spacing w:line="240" w:lineRule="auto"/>
              <w:ind w:left="480" w:firstLine="0" w:firstLineChars="0"/>
              <w:rPr>
                <w:rFonts w:ascii="Times New Roman" w:hAnsi="Times New Roman"/>
                <w:sz w:val="21"/>
                <w:szCs w:val="21"/>
              </w:rPr>
            </w:pPr>
          </w:p>
        </w:tc>
        <w:tc>
          <w:tcPr>
            <w:tcW w:w="1276" w:type="dxa"/>
            <w:vMerge w:val="continue"/>
            <w:vAlign w:val="center"/>
          </w:tcPr>
          <w:p>
            <w:pPr>
              <w:tabs>
                <w:tab w:val="left" w:pos="2175"/>
              </w:tabs>
              <w:spacing w:line="240" w:lineRule="auto"/>
              <w:ind w:firstLine="0" w:firstLineChars="0"/>
              <w:jc w:val="center"/>
              <w:rPr>
                <w:sz w:val="21"/>
                <w:szCs w:val="21"/>
              </w:rPr>
            </w:pPr>
          </w:p>
        </w:tc>
        <w:tc>
          <w:tcPr>
            <w:tcW w:w="1417"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H</w:t>
            </w:r>
            <w:r>
              <w:rPr>
                <w:rFonts w:ascii="Times New Roman" w:hAnsi="Times New Roman"/>
                <w:sz w:val="21"/>
                <w:szCs w:val="21"/>
                <w:vertAlign w:val="subscript"/>
              </w:rPr>
              <w:t>2</w:t>
            </w:r>
            <w:r>
              <w:rPr>
                <w:rFonts w:ascii="Times New Roman" w:hAnsi="Times New Roman"/>
                <w:sz w:val="21"/>
                <w:szCs w:val="21"/>
              </w:rPr>
              <w:t>S</w:t>
            </w:r>
          </w:p>
        </w:tc>
        <w:tc>
          <w:tcPr>
            <w:tcW w:w="1673"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559" w:type="dxa"/>
            <w:gridSpan w:val="2"/>
            <w:vAlign w:val="center"/>
          </w:tcPr>
          <w:p>
            <w:pPr>
              <w:pStyle w:val="172"/>
              <w:rPr>
                <w:rFonts w:eastAsia="宋体"/>
                <w:spacing w:val="0"/>
              </w:rPr>
            </w:pPr>
            <w:r>
              <w:rPr>
                <w:rFonts w:eastAsia="宋体"/>
                <w:spacing w:val="0"/>
              </w:rPr>
              <w:t>0.06</w:t>
            </w:r>
          </w:p>
        </w:tc>
        <w:tc>
          <w:tcPr>
            <w:tcW w:w="1484" w:type="dxa"/>
            <w:vAlign w:val="center"/>
          </w:tcPr>
          <w:p>
            <w:pPr>
              <w:pStyle w:val="169"/>
              <w:adjustRightInd/>
              <w:snapToGrid/>
              <w:spacing w:line="240" w:lineRule="auto"/>
              <w:ind w:firstLine="0" w:firstLineChars="0"/>
              <w:jc w:val="center"/>
              <w:rPr>
                <w:color w:val="auto"/>
                <w:kern w:val="0"/>
                <w:sz w:val="21"/>
                <w:szCs w:val="21"/>
                <w:lang w:val="en-US"/>
              </w:rPr>
            </w:pPr>
            <w:r>
              <w:rPr>
                <w:color w:val="auto"/>
                <w:kern w:val="0"/>
                <w:sz w:val="21"/>
                <w:szCs w:val="21"/>
                <w:lang w:val="en-US"/>
              </w:rPr>
              <w:t>0.00044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7" w:hRule="atLeast"/>
        </w:trPr>
        <w:tc>
          <w:tcPr>
            <w:tcW w:w="562" w:type="dxa"/>
            <w:vMerge w:val="restart"/>
            <w:vAlign w:val="center"/>
          </w:tcPr>
          <w:p>
            <w:pPr>
              <w:pStyle w:val="24"/>
              <w:spacing w:line="240" w:lineRule="auto"/>
              <w:ind w:left="0" w:leftChars="0" w:firstLine="0" w:firstLineChars="0"/>
              <w:rPr>
                <w:rFonts w:ascii="Times New Roman" w:hAnsi="Times New Roman"/>
                <w:sz w:val="21"/>
                <w:szCs w:val="21"/>
              </w:rPr>
            </w:pPr>
            <w:r>
              <w:rPr>
                <w:rFonts w:hint="eastAsia" w:ascii="Times New Roman" w:hAnsi="Times New Roman"/>
                <w:sz w:val="21"/>
                <w:szCs w:val="21"/>
              </w:rPr>
              <w:t>2</w:t>
            </w:r>
          </w:p>
        </w:tc>
        <w:tc>
          <w:tcPr>
            <w:tcW w:w="1276" w:type="dxa"/>
            <w:vMerge w:val="restart"/>
            <w:vAlign w:val="center"/>
          </w:tcPr>
          <w:p>
            <w:pPr>
              <w:pStyle w:val="24"/>
              <w:spacing w:line="240" w:lineRule="auto"/>
              <w:ind w:left="480" w:firstLine="0" w:firstLineChars="0"/>
              <w:rPr>
                <w:rFonts w:ascii="Times New Roman" w:hAnsi="Times New Roman"/>
                <w:sz w:val="21"/>
                <w:szCs w:val="21"/>
              </w:rPr>
            </w:pPr>
            <w:r>
              <w:rPr>
                <w:rFonts w:ascii="Times New Roman" w:hAnsi="Times New Roman"/>
                <w:sz w:val="21"/>
                <w:szCs w:val="21"/>
              </w:rPr>
              <w:t>/</w:t>
            </w:r>
          </w:p>
        </w:tc>
        <w:tc>
          <w:tcPr>
            <w:tcW w:w="1276" w:type="dxa"/>
            <w:vMerge w:val="restart"/>
            <w:vAlign w:val="center"/>
          </w:tcPr>
          <w:p>
            <w:pPr>
              <w:tabs>
                <w:tab w:val="left" w:pos="2175"/>
              </w:tabs>
              <w:spacing w:line="240" w:lineRule="auto"/>
              <w:ind w:firstLine="0" w:firstLineChars="0"/>
              <w:jc w:val="center"/>
              <w:rPr>
                <w:sz w:val="21"/>
                <w:szCs w:val="21"/>
              </w:rPr>
            </w:pPr>
            <w:r>
              <w:rPr>
                <w:rStyle w:val="63"/>
                <w:color w:val="000000" w:themeColor="text1"/>
                <w:sz w:val="21"/>
                <w:szCs w:val="21"/>
                <w14:textFill>
                  <w14:solidFill>
                    <w14:schemeClr w14:val="tx1"/>
                  </w14:solidFill>
                </w14:textFill>
              </w:rPr>
              <w:t>面源_硫化车间</w:t>
            </w:r>
          </w:p>
        </w:tc>
        <w:tc>
          <w:tcPr>
            <w:tcW w:w="1417" w:type="dxa"/>
            <w:vAlign w:val="center"/>
          </w:tcPr>
          <w:p>
            <w:pPr>
              <w:pStyle w:val="24"/>
              <w:spacing w:line="240" w:lineRule="auto"/>
              <w:ind w:left="0" w:leftChars="0" w:firstLine="0" w:firstLineChars="0"/>
              <w:jc w:val="center"/>
              <w:rPr>
                <w:rFonts w:ascii="Times New Roman" w:hAnsi="Times New Roman"/>
                <w:sz w:val="21"/>
                <w:szCs w:val="21"/>
              </w:rPr>
            </w:pPr>
            <w:r>
              <w:rPr>
                <w:rFonts w:hint="eastAsia" w:ascii="Times New Roman" w:hAnsi="Times New Roman"/>
                <w:sz w:val="21"/>
                <w:szCs w:val="21"/>
              </w:rPr>
              <w:t>非甲烷总烃</w:t>
            </w:r>
          </w:p>
        </w:tc>
        <w:tc>
          <w:tcPr>
            <w:tcW w:w="1673"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559" w:type="dxa"/>
            <w:gridSpan w:val="2"/>
            <w:vAlign w:val="center"/>
          </w:tcPr>
          <w:p>
            <w:pPr>
              <w:pStyle w:val="172"/>
              <w:rPr>
                <w:rFonts w:eastAsia="宋体"/>
                <w:spacing w:val="0"/>
              </w:rPr>
            </w:pPr>
            <w:r>
              <w:rPr>
                <w:rFonts w:eastAsia="宋体"/>
                <w:spacing w:val="0"/>
              </w:rPr>
              <w:t>4.0</w:t>
            </w:r>
          </w:p>
        </w:tc>
        <w:tc>
          <w:tcPr>
            <w:tcW w:w="1484" w:type="dxa"/>
            <w:vAlign w:val="center"/>
          </w:tcPr>
          <w:p>
            <w:pPr>
              <w:pStyle w:val="169"/>
              <w:adjustRightInd/>
              <w:snapToGrid/>
              <w:spacing w:line="240" w:lineRule="auto"/>
              <w:ind w:firstLine="0" w:firstLineChars="0"/>
              <w:jc w:val="center"/>
              <w:rPr>
                <w:color w:val="auto"/>
                <w:kern w:val="0"/>
                <w:sz w:val="21"/>
                <w:szCs w:val="21"/>
                <w:lang w:val="en-US"/>
              </w:rPr>
            </w:pPr>
            <w:r>
              <w:rPr>
                <w:color w:val="auto"/>
                <w:kern w:val="0"/>
                <w:sz w:val="21"/>
                <w:szCs w:val="21"/>
                <w:lang w:val="en-US"/>
              </w:rPr>
              <w:t>0.01164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9" w:hRule="atLeast"/>
        </w:trPr>
        <w:tc>
          <w:tcPr>
            <w:tcW w:w="562"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276" w:type="dxa"/>
            <w:vMerge w:val="continue"/>
            <w:vAlign w:val="center"/>
          </w:tcPr>
          <w:p>
            <w:pPr>
              <w:pStyle w:val="24"/>
              <w:spacing w:line="240" w:lineRule="auto"/>
              <w:ind w:left="480" w:firstLine="0" w:firstLineChars="0"/>
              <w:rPr>
                <w:rFonts w:ascii="Times New Roman" w:hAnsi="Times New Roman"/>
                <w:sz w:val="21"/>
                <w:szCs w:val="21"/>
              </w:rPr>
            </w:pPr>
          </w:p>
        </w:tc>
        <w:tc>
          <w:tcPr>
            <w:tcW w:w="1276" w:type="dxa"/>
            <w:vMerge w:val="continue"/>
            <w:vAlign w:val="center"/>
          </w:tcPr>
          <w:p>
            <w:pPr>
              <w:tabs>
                <w:tab w:val="left" w:pos="2175"/>
              </w:tabs>
              <w:spacing w:line="240" w:lineRule="auto"/>
              <w:ind w:firstLine="0" w:firstLineChars="0"/>
              <w:jc w:val="center"/>
              <w:rPr>
                <w:sz w:val="21"/>
                <w:szCs w:val="21"/>
              </w:rPr>
            </w:pPr>
          </w:p>
        </w:tc>
        <w:tc>
          <w:tcPr>
            <w:tcW w:w="1417"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H</w:t>
            </w:r>
            <w:r>
              <w:rPr>
                <w:rFonts w:ascii="Times New Roman" w:hAnsi="Times New Roman"/>
                <w:sz w:val="21"/>
                <w:szCs w:val="21"/>
                <w:vertAlign w:val="subscript"/>
              </w:rPr>
              <w:t>2</w:t>
            </w:r>
            <w:r>
              <w:rPr>
                <w:rFonts w:ascii="Times New Roman" w:hAnsi="Times New Roman"/>
                <w:sz w:val="21"/>
                <w:szCs w:val="21"/>
              </w:rPr>
              <w:t>S</w:t>
            </w:r>
          </w:p>
        </w:tc>
        <w:tc>
          <w:tcPr>
            <w:tcW w:w="1673"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559" w:type="dxa"/>
            <w:gridSpan w:val="2"/>
            <w:vAlign w:val="center"/>
          </w:tcPr>
          <w:p>
            <w:pPr>
              <w:pStyle w:val="172"/>
              <w:rPr>
                <w:rFonts w:eastAsia="宋体"/>
                <w:spacing w:val="0"/>
              </w:rPr>
            </w:pPr>
            <w:r>
              <w:rPr>
                <w:rFonts w:eastAsia="宋体"/>
                <w:spacing w:val="0"/>
              </w:rPr>
              <w:t>0.06</w:t>
            </w:r>
          </w:p>
        </w:tc>
        <w:tc>
          <w:tcPr>
            <w:tcW w:w="1484" w:type="dxa"/>
            <w:vAlign w:val="center"/>
          </w:tcPr>
          <w:p>
            <w:pPr>
              <w:pStyle w:val="169"/>
              <w:adjustRightInd/>
              <w:snapToGrid/>
              <w:spacing w:line="240" w:lineRule="auto"/>
              <w:ind w:firstLine="0" w:firstLineChars="0"/>
              <w:jc w:val="center"/>
              <w:rPr>
                <w:color w:val="auto"/>
                <w:kern w:val="0"/>
                <w:sz w:val="21"/>
                <w:szCs w:val="21"/>
                <w:lang w:val="en-US"/>
              </w:rPr>
            </w:pPr>
            <w:r>
              <w:rPr>
                <w:color w:val="auto"/>
                <w:kern w:val="0"/>
                <w:sz w:val="21"/>
                <w:szCs w:val="21"/>
                <w:lang w:val="en-US"/>
              </w:rPr>
              <w:t>0.00044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3" w:hRule="atLeast"/>
        </w:trPr>
        <w:tc>
          <w:tcPr>
            <w:tcW w:w="562" w:type="dxa"/>
            <w:vMerge w:val="restart"/>
            <w:vAlign w:val="center"/>
          </w:tcPr>
          <w:p>
            <w:pPr>
              <w:pStyle w:val="24"/>
              <w:spacing w:line="240" w:lineRule="auto"/>
              <w:ind w:left="0" w:leftChars="0" w:firstLine="0" w:firstLineChars="0"/>
              <w:rPr>
                <w:rFonts w:ascii="Times New Roman" w:hAnsi="Times New Roman"/>
                <w:sz w:val="21"/>
                <w:szCs w:val="21"/>
              </w:rPr>
            </w:pPr>
            <w:r>
              <w:rPr>
                <w:rFonts w:hint="eastAsia" w:ascii="Times New Roman" w:hAnsi="Times New Roman"/>
                <w:sz w:val="21"/>
                <w:szCs w:val="21"/>
              </w:rPr>
              <w:t>3</w:t>
            </w:r>
          </w:p>
        </w:tc>
        <w:tc>
          <w:tcPr>
            <w:tcW w:w="1276" w:type="dxa"/>
            <w:vMerge w:val="restart"/>
            <w:vAlign w:val="center"/>
          </w:tcPr>
          <w:p>
            <w:pPr>
              <w:pStyle w:val="24"/>
              <w:spacing w:line="240" w:lineRule="auto"/>
              <w:ind w:left="480" w:firstLine="0" w:firstLineChars="0"/>
              <w:rPr>
                <w:rFonts w:ascii="Times New Roman" w:hAnsi="Times New Roman"/>
                <w:sz w:val="21"/>
                <w:szCs w:val="21"/>
              </w:rPr>
            </w:pPr>
            <w:r>
              <w:rPr>
                <w:rFonts w:ascii="Times New Roman" w:hAnsi="Times New Roman"/>
                <w:sz w:val="21"/>
                <w:szCs w:val="21"/>
              </w:rPr>
              <w:t>/</w:t>
            </w:r>
          </w:p>
        </w:tc>
        <w:tc>
          <w:tcPr>
            <w:tcW w:w="1276" w:type="dxa"/>
            <w:vMerge w:val="restart"/>
            <w:vAlign w:val="center"/>
          </w:tcPr>
          <w:p>
            <w:pPr>
              <w:tabs>
                <w:tab w:val="left" w:pos="2175"/>
              </w:tabs>
              <w:spacing w:line="240" w:lineRule="auto"/>
              <w:ind w:firstLine="0" w:firstLineChars="0"/>
              <w:jc w:val="center"/>
              <w:rPr>
                <w:sz w:val="21"/>
                <w:szCs w:val="21"/>
              </w:rPr>
            </w:pPr>
            <w:r>
              <w:rPr>
                <w:rStyle w:val="63"/>
                <w:color w:val="000000" w:themeColor="text1"/>
                <w:sz w:val="21"/>
                <w:szCs w:val="21"/>
                <w14:textFill>
                  <w14:solidFill>
                    <w14:schemeClr w14:val="tx1"/>
                  </w14:solidFill>
                </w14:textFill>
              </w:rPr>
              <w:t>面源_密炼围蔽区</w:t>
            </w:r>
          </w:p>
        </w:tc>
        <w:tc>
          <w:tcPr>
            <w:tcW w:w="1417" w:type="dxa"/>
            <w:vAlign w:val="center"/>
          </w:tcPr>
          <w:p>
            <w:pPr>
              <w:pStyle w:val="24"/>
              <w:spacing w:line="240" w:lineRule="auto"/>
              <w:ind w:left="0" w:leftChars="0" w:firstLine="0" w:firstLineChars="0"/>
              <w:jc w:val="center"/>
              <w:rPr>
                <w:rFonts w:ascii="Times New Roman" w:hAnsi="Times New Roman"/>
                <w:sz w:val="21"/>
                <w:szCs w:val="21"/>
              </w:rPr>
            </w:pPr>
            <w:r>
              <w:rPr>
                <w:rFonts w:hint="eastAsia" w:ascii="Times New Roman" w:hAnsi="Times New Roman"/>
                <w:sz w:val="21"/>
                <w:szCs w:val="21"/>
              </w:rPr>
              <w:t>颗粒物</w:t>
            </w:r>
          </w:p>
        </w:tc>
        <w:tc>
          <w:tcPr>
            <w:tcW w:w="1673"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559" w:type="dxa"/>
            <w:gridSpan w:val="2"/>
            <w:vAlign w:val="center"/>
          </w:tcPr>
          <w:p>
            <w:pPr>
              <w:pStyle w:val="172"/>
              <w:rPr>
                <w:rFonts w:eastAsia="宋体"/>
                <w:spacing w:val="0"/>
              </w:rPr>
            </w:pPr>
            <w:r>
              <w:rPr>
                <w:rFonts w:eastAsia="宋体"/>
                <w:spacing w:val="0"/>
              </w:rPr>
              <w:t>1.0</w:t>
            </w:r>
          </w:p>
        </w:tc>
        <w:tc>
          <w:tcPr>
            <w:tcW w:w="1484" w:type="dxa"/>
            <w:vAlign w:val="center"/>
          </w:tcPr>
          <w:p>
            <w:pPr>
              <w:pStyle w:val="169"/>
              <w:adjustRightInd/>
              <w:snapToGrid/>
              <w:spacing w:line="240" w:lineRule="auto"/>
              <w:ind w:firstLine="0" w:firstLineChars="0"/>
              <w:jc w:val="center"/>
              <w:rPr>
                <w:color w:val="auto"/>
                <w:kern w:val="0"/>
                <w:sz w:val="21"/>
                <w:szCs w:val="21"/>
                <w:lang w:val="en-US"/>
              </w:rPr>
            </w:pPr>
            <w:r>
              <w:rPr>
                <w:color w:val="auto"/>
                <w:kern w:val="0"/>
                <w:sz w:val="21"/>
                <w:szCs w:val="21"/>
                <w:lang w:val="en-US"/>
              </w:rPr>
              <w:t>0.0214048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3" w:hRule="atLeast"/>
        </w:trPr>
        <w:tc>
          <w:tcPr>
            <w:tcW w:w="562" w:type="dxa"/>
            <w:vMerge w:val="continue"/>
            <w:vAlign w:val="center"/>
          </w:tcPr>
          <w:p>
            <w:pPr>
              <w:pStyle w:val="24"/>
              <w:spacing w:line="240" w:lineRule="auto"/>
              <w:ind w:left="0" w:leftChars="0" w:firstLine="0" w:firstLineChars="0"/>
              <w:rPr>
                <w:rFonts w:ascii="Times New Roman" w:hAnsi="Times New Roman"/>
                <w:sz w:val="21"/>
                <w:szCs w:val="21"/>
              </w:rPr>
            </w:pPr>
          </w:p>
        </w:tc>
        <w:tc>
          <w:tcPr>
            <w:tcW w:w="1276" w:type="dxa"/>
            <w:vMerge w:val="continue"/>
            <w:vAlign w:val="center"/>
          </w:tcPr>
          <w:p>
            <w:pPr>
              <w:pStyle w:val="24"/>
              <w:spacing w:line="240" w:lineRule="auto"/>
              <w:ind w:left="480" w:firstLine="0" w:firstLineChars="0"/>
              <w:rPr>
                <w:rFonts w:ascii="Times New Roman" w:hAnsi="Times New Roman"/>
                <w:sz w:val="21"/>
                <w:szCs w:val="21"/>
              </w:rPr>
            </w:pPr>
          </w:p>
        </w:tc>
        <w:tc>
          <w:tcPr>
            <w:tcW w:w="1276" w:type="dxa"/>
            <w:vMerge w:val="continue"/>
            <w:vAlign w:val="center"/>
          </w:tcPr>
          <w:p>
            <w:pPr>
              <w:tabs>
                <w:tab w:val="left" w:pos="2175"/>
              </w:tabs>
              <w:spacing w:line="240" w:lineRule="auto"/>
              <w:ind w:firstLine="0" w:firstLineChars="0"/>
              <w:jc w:val="center"/>
              <w:rPr>
                <w:rStyle w:val="63"/>
                <w:color w:val="000000" w:themeColor="text1"/>
                <w:sz w:val="21"/>
                <w:szCs w:val="21"/>
                <w14:textFill>
                  <w14:solidFill>
                    <w14:schemeClr w14:val="tx1"/>
                  </w14:solidFill>
                </w14:textFill>
              </w:rPr>
            </w:pPr>
          </w:p>
        </w:tc>
        <w:tc>
          <w:tcPr>
            <w:tcW w:w="1417" w:type="dxa"/>
            <w:vAlign w:val="center"/>
          </w:tcPr>
          <w:p>
            <w:pPr>
              <w:pStyle w:val="24"/>
              <w:spacing w:line="240" w:lineRule="auto"/>
              <w:ind w:left="0" w:leftChars="0" w:firstLine="0" w:firstLineChars="0"/>
              <w:jc w:val="center"/>
              <w:rPr>
                <w:rFonts w:ascii="Times New Roman" w:hAnsi="Times New Roman"/>
                <w:sz w:val="21"/>
                <w:szCs w:val="21"/>
              </w:rPr>
            </w:pPr>
            <w:r>
              <w:rPr>
                <w:rFonts w:hint="eastAsia" w:ascii="Times New Roman" w:hAnsi="Times New Roman"/>
                <w:sz w:val="21"/>
                <w:szCs w:val="21"/>
              </w:rPr>
              <w:t>非甲烷总烃</w:t>
            </w:r>
          </w:p>
        </w:tc>
        <w:tc>
          <w:tcPr>
            <w:tcW w:w="1673"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559" w:type="dxa"/>
            <w:gridSpan w:val="2"/>
            <w:vAlign w:val="center"/>
          </w:tcPr>
          <w:p>
            <w:pPr>
              <w:pStyle w:val="172"/>
              <w:rPr>
                <w:rFonts w:eastAsia="宋体"/>
                <w:spacing w:val="0"/>
              </w:rPr>
            </w:pPr>
            <w:r>
              <w:rPr>
                <w:rFonts w:eastAsia="宋体"/>
                <w:spacing w:val="0"/>
              </w:rPr>
              <w:t>4.0</w:t>
            </w:r>
          </w:p>
        </w:tc>
        <w:tc>
          <w:tcPr>
            <w:tcW w:w="1484" w:type="dxa"/>
            <w:vAlign w:val="center"/>
          </w:tcPr>
          <w:p>
            <w:pPr>
              <w:pStyle w:val="169"/>
              <w:adjustRightInd/>
              <w:snapToGrid/>
              <w:spacing w:line="240" w:lineRule="auto"/>
              <w:ind w:firstLine="0" w:firstLineChars="0"/>
              <w:jc w:val="center"/>
              <w:rPr>
                <w:color w:val="auto"/>
                <w:kern w:val="0"/>
                <w:sz w:val="21"/>
                <w:szCs w:val="21"/>
                <w:lang w:val="en-US"/>
              </w:rPr>
            </w:pPr>
            <w:r>
              <w:rPr>
                <w:color w:val="auto"/>
                <w:kern w:val="0"/>
                <w:sz w:val="21"/>
                <w:szCs w:val="21"/>
                <w:lang w:val="en-US"/>
              </w:rPr>
              <w:t>0.00</w:t>
            </w:r>
            <w:r>
              <w:rPr>
                <w:rFonts w:hint="eastAsia"/>
                <w:color w:val="auto"/>
                <w:kern w:val="0"/>
                <w:sz w:val="21"/>
                <w:szCs w:val="21"/>
                <w:lang w:val="en-US"/>
              </w:rPr>
              <w:t>5</w:t>
            </w:r>
            <w:r>
              <w:rPr>
                <w:color w:val="auto"/>
                <w:kern w:val="0"/>
                <w:sz w:val="21"/>
                <w:szCs w:val="21"/>
                <w:lang w:val="en-US"/>
              </w:rPr>
              <w:t>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2"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276"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276" w:type="dxa"/>
            <w:vMerge w:val="continue"/>
            <w:vAlign w:val="center"/>
          </w:tcPr>
          <w:p>
            <w:pPr>
              <w:tabs>
                <w:tab w:val="left" w:pos="2175"/>
              </w:tabs>
              <w:spacing w:line="240" w:lineRule="auto"/>
              <w:ind w:firstLine="0" w:firstLineChars="0"/>
              <w:jc w:val="center"/>
              <w:rPr>
                <w:sz w:val="21"/>
                <w:szCs w:val="21"/>
              </w:rPr>
            </w:pPr>
          </w:p>
        </w:tc>
        <w:tc>
          <w:tcPr>
            <w:tcW w:w="1417"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H</w:t>
            </w:r>
            <w:r>
              <w:rPr>
                <w:rFonts w:ascii="Times New Roman" w:hAnsi="Times New Roman"/>
                <w:sz w:val="21"/>
                <w:szCs w:val="21"/>
                <w:vertAlign w:val="subscript"/>
              </w:rPr>
              <w:t>2</w:t>
            </w:r>
            <w:r>
              <w:rPr>
                <w:rFonts w:ascii="Times New Roman" w:hAnsi="Times New Roman"/>
                <w:sz w:val="21"/>
                <w:szCs w:val="21"/>
              </w:rPr>
              <w:t>S</w:t>
            </w:r>
          </w:p>
        </w:tc>
        <w:tc>
          <w:tcPr>
            <w:tcW w:w="1673"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559" w:type="dxa"/>
            <w:gridSpan w:val="2"/>
            <w:vAlign w:val="center"/>
          </w:tcPr>
          <w:p>
            <w:pPr>
              <w:pStyle w:val="172"/>
              <w:rPr>
                <w:rFonts w:eastAsia="宋体"/>
                <w:spacing w:val="0"/>
              </w:rPr>
            </w:pPr>
            <w:r>
              <w:rPr>
                <w:rFonts w:eastAsia="宋体"/>
                <w:spacing w:val="0"/>
              </w:rPr>
              <w:t>0.06</w:t>
            </w:r>
          </w:p>
        </w:tc>
        <w:tc>
          <w:tcPr>
            <w:tcW w:w="1484" w:type="dxa"/>
            <w:vAlign w:val="center"/>
          </w:tcPr>
          <w:p>
            <w:pPr>
              <w:pStyle w:val="169"/>
              <w:adjustRightInd/>
              <w:snapToGrid/>
              <w:spacing w:line="240" w:lineRule="auto"/>
              <w:ind w:firstLine="0" w:firstLineChars="0"/>
              <w:jc w:val="center"/>
              <w:rPr>
                <w:color w:val="auto"/>
                <w:kern w:val="0"/>
                <w:sz w:val="21"/>
                <w:szCs w:val="21"/>
                <w:lang w:val="en-US"/>
              </w:rPr>
            </w:pPr>
            <w:r>
              <w:rPr>
                <w:color w:val="auto"/>
                <w:kern w:val="0"/>
                <w:sz w:val="21"/>
                <w:szCs w:val="21"/>
                <w:lang w:val="en-US"/>
              </w:rPr>
              <w:t>0.00012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2" w:type="dxa"/>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4</w:t>
            </w:r>
          </w:p>
        </w:tc>
        <w:tc>
          <w:tcPr>
            <w:tcW w:w="1276" w:type="dxa"/>
            <w:vAlign w:val="center"/>
          </w:tcPr>
          <w:p>
            <w:pPr>
              <w:pStyle w:val="24"/>
              <w:spacing w:line="240" w:lineRule="auto"/>
              <w:ind w:left="480" w:firstLine="0" w:firstLineChars="0"/>
              <w:rPr>
                <w:rFonts w:ascii="Times New Roman" w:hAnsi="Times New Roman"/>
                <w:sz w:val="21"/>
                <w:szCs w:val="21"/>
              </w:rPr>
            </w:pPr>
            <w:r>
              <w:rPr>
                <w:rFonts w:ascii="Times New Roman" w:hAnsi="Times New Roman"/>
                <w:sz w:val="21"/>
                <w:szCs w:val="21"/>
              </w:rPr>
              <w:t>/</w:t>
            </w:r>
          </w:p>
        </w:tc>
        <w:tc>
          <w:tcPr>
            <w:tcW w:w="1276" w:type="dxa"/>
            <w:vAlign w:val="center"/>
          </w:tcPr>
          <w:p>
            <w:pPr>
              <w:tabs>
                <w:tab w:val="left" w:pos="2175"/>
              </w:tabs>
              <w:spacing w:line="240" w:lineRule="auto"/>
              <w:ind w:firstLine="0" w:firstLineChars="0"/>
              <w:jc w:val="center"/>
              <w:rPr>
                <w:sz w:val="21"/>
                <w:szCs w:val="21"/>
              </w:rPr>
            </w:pPr>
            <w:r>
              <w:rPr>
                <w:rStyle w:val="63"/>
                <w:color w:val="000000" w:themeColor="text1"/>
                <w:sz w:val="21"/>
                <w:szCs w:val="21"/>
                <w14:textFill>
                  <w14:solidFill>
                    <w14:schemeClr w14:val="tx1"/>
                  </w14:solidFill>
                </w14:textFill>
              </w:rPr>
              <w:t>面源_</w:t>
            </w:r>
            <w:r>
              <w:rPr>
                <w:rStyle w:val="63"/>
                <w:rFonts w:hint="eastAsia"/>
                <w:color w:val="000000" w:themeColor="text1"/>
                <w:sz w:val="21"/>
                <w:szCs w:val="21"/>
                <w14:textFill>
                  <w14:solidFill>
                    <w14:schemeClr w14:val="tx1"/>
                  </w14:solidFill>
                </w14:textFill>
              </w:rPr>
              <w:t>切裁车间</w:t>
            </w:r>
          </w:p>
        </w:tc>
        <w:tc>
          <w:tcPr>
            <w:tcW w:w="1417" w:type="dxa"/>
            <w:vAlign w:val="center"/>
          </w:tcPr>
          <w:p>
            <w:pPr>
              <w:pStyle w:val="24"/>
              <w:spacing w:line="240" w:lineRule="auto"/>
              <w:ind w:left="0" w:leftChars="0" w:firstLine="0" w:firstLineChars="0"/>
              <w:jc w:val="center"/>
              <w:rPr>
                <w:rFonts w:ascii="Times New Roman" w:hAnsi="Times New Roman"/>
                <w:sz w:val="21"/>
                <w:szCs w:val="21"/>
              </w:rPr>
            </w:pPr>
            <w:r>
              <w:rPr>
                <w:rFonts w:hint="eastAsia" w:ascii="Times New Roman" w:hAnsi="Times New Roman"/>
                <w:sz w:val="21"/>
                <w:szCs w:val="21"/>
              </w:rPr>
              <w:t>V</w:t>
            </w:r>
            <w:r>
              <w:rPr>
                <w:rFonts w:ascii="Times New Roman" w:hAnsi="Times New Roman"/>
                <w:sz w:val="21"/>
                <w:szCs w:val="21"/>
              </w:rPr>
              <w:t>OCs</w:t>
            </w:r>
          </w:p>
        </w:tc>
        <w:tc>
          <w:tcPr>
            <w:tcW w:w="1673"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559" w:type="dxa"/>
            <w:gridSpan w:val="2"/>
            <w:vAlign w:val="center"/>
          </w:tcPr>
          <w:p>
            <w:pPr>
              <w:pStyle w:val="172"/>
              <w:rPr>
                <w:rFonts w:eastAsia="宋体"/>
                <w:spacing w:val="0"/>
                <w:highlight w:val="yellow"/>
              </w:rPr>
            </w:pPr>
            <w:r>
              <w:rPr>
                <w:rFonts w:hint="eastAsia" w:eastAsia="宋体"/>
                <w:spacing w:val="0"/>
              </w:rPr>
              <w:t>2</w:t>
            </w:r>
            <w:r>
              <w:rPr>
                <w:rFonts w:eastAsia="宋体"/>
                <w:spacing w:val="0"/>
              </w:rPr>
              <w:t>.0</w:t>
            </w:r>
          </w:p>
        </w:tc>
        <w:tc>
          <w:tcPr>
            <w:tcW w:w="1484" w:type="dxa"/>
            <w:vAlign w:val="center"/>
          </w:tcPr>
          <w:p>
            <w:pPr>
              <w:pStyle w:val="169"/>
              <w:adjustRightInd/>
              <w:snapToGrid/>
              <w:spacing w:line="240" w:lineRule="auto"/>
              <w:ind w:firstLine="0" w:firstLineChars="0"/>
              <w:jc w:val="center"/>
              <w:rPr>
                <w:color w:val="auto"/>
                <w:kern w:val="0"/>
                <w:sz w:val="21"/>
                <w:szCs w:val="21"/>
                <w:highlight w:val="yellow"/>
                <w:lang w:val="en-US"/>
              </w:rPr>
            </w:pPr>
            <w:r>
              <w:rPr>
                <w:rFonts w:hint="eastAsia"/>
                <w:color w:val="auto"/>
                <w:kern w:val="0"/>
                <w:sz w:val="21"/>
                <w:szCs w:val="21"/>
                <w:lang w:val="en-US"/>
              </w:rPr>
              <w:t>0</w:t>
            </w:r>
            <w:r>
              <w:rPr>
                <w:color w:val="auto"/>
                <w:kern w:val="0"/>
                <w:sz w:val="21"/>
                <w:szCs w:val="21"/>
                <w:lang w:val="en-US"/>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47" w:type="dxa"/>
            <w:gridSpan w:val="8"/>
            <w:vAlign w:val="center"/>
          </w:tcPr>
          <w:p>
            <w:pPr>
              <w:pStyle w:val="169"/>
              <w:adjustRightInd/>
              <w:snapToGrid/>
              <w:spacing w:line="240" w:lineRule="auto"/>
              <w:ind w:firstLine="0" w:firstLineChars="0"/>
              <w:jc w:val="center"/>
              <w:rPr>
                <w:color w:val="auto"/>
                <w:kern w:val="0"/>
                <w:sz w:val="21"/>
                <w:szCs w:val="21"/>
                <w:lang w:val="en-US"/>
              </w:rPr>
            </w:pPr>
            <w:r>
              <w:rPr>
                <w:color w:val="auto"/>
                <w:kern w:val="0"/>
                <w:sz w:val="21"/>
                <w:szCs w:val="21"/>
                <w:lang w:val="en-US"/>
              </w:rP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114" w:type="dxa"/>
            <w:gridSpan w:val="3"/>
            <w:vMerge w:val="restart"/>
            <w:vAlign w:val="center"/>
          </w:tcPr>
          <w:p>
            <w:pPr>
              <w:tabs>
                <w:tab w:val="left" w:pos="2175"/>
              </w:tabs>
              <w:spacing w:line="240" w:lineRule="auto"/>
              <w:ind w:firstLine="0" w:firstLineChars="0"/>
              <w:jc w:val="center"/>
              <w:rPr>
                <w:sz w:val="21"/>
                <w:szCs w:val="21"/>
              </w:rPr>
            </w:pPr>
            <w:r>
              <w:rPr>
                <w:sz w:val="21"/>
                <w:szCs w:val="21"/>
              </w:rPr>
              <w:t>无组织排放总计</w:t>
            </w:r>
          </w:p>
        </w:tc>
        <w:tc>
          <w:tcPr>
            <w:tcW w:w="3401" w:type="dxa"/>
            <w:gridSpan w:val="3"/>
            <w:vAlign w:val="center"/>
          </w:tcPr>
          <w:p>
            <w:pPr>
              <w:pStyle w:val="24"/>
              <w:spacing w:line="240" w:lineRule="auto"/>
              <w:ind w:left="480" w:firstLine="0" w:firstLineChars="0"/>
              <w:jc w:val="center"/>
              <w:rPr>
                <w:rFonts w:ascii="Times New Roman" w:hAnsi="Times New Roman"/>
                <w:sz w:val="21"/>
                <w:szCs w:val="21"/>
              </w:rPr>
            </w:pPr>
            <w:r>
              <w:rPr>
                <w:rFonts w:hint="eastAsia" w:ascii="Times New Roman" w:hAnsi="Times New Roman"/>
                <w:sz w:val="21"/>
                <w:szCs w:val="21"/>
              </w:rPr>
              <w:t>颗粒物</w:t>
            </w:r>
          </w:p>
        </w:tc>
        <w:tc>
          <w:tcPr>
            <w:tcW w:w="2732" w:type="dxa"/>
            <w:gridSpan w:val="2"/>
            <w:vAlign w:val="center"/>
          </w:tcPr>
          <w:p>
            <w:pPr>
              <w:pStyle w:val="169"/>
              <w:adjustRightInd/>
              <w:snapToGrid/>
              <w:spacing w:line="240" w:lineRule="auto"/>
              <w:ind w:firstLine="0" w:firstLineChars="0"/>
              <w:jc w:val="center"/>
              <w:rPr>
                <w:color w:val="auto"/>
                <w:kern w:val="0"/>
                <w:sz w:val="21"/>
                <w:szCs w:val="21"/>
                <w:lang w:val="en-US"/>
              </w:rPr>
            </w:pPr>
            <w:r>
              <w:rPr>
                <w:color w:val="auto"/>
                <w:kern w:val="0"/>
                <w:sz w:val="21"/>
                <w:szCs w:val="21"/>
                <w:lang w:val="en-US"/>
              </w:rPr>
              <w:t>0.0214048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114" w:type="dxa"/>
            <w:gridSpan w:val="3"/>
            <w:vMerge w:val="continue"/>
            <w:vAlign w:val="center"/>
          </w:tcPr>
          <w:p>
            <w:pPr>
              <w:tabs>
                <w:tab w:val="left" w:pos="2175"/>
              </w:tabs>
              <w:spacing w:line="240" w:lineRule="auto"/>
              <w:ind w:firstLine="0" w:firstLineChars="0"/>
              <w:jc w:val="center"/>
              <w:rPr>
                <w:sz w:val="21"/>
                <w:szCs w:val="21"/>
              </w:rPr>
            </w:pPr>
          </w:p>
        </w:tc>
        <w:tc>
          <w:tcPr>
            <w:tcW w:w="3401" w:type="dxa"/>
            <w:gridSpan w:val="3"/>
            <w:vAlign w:val="center"/>
          </w:tcPr>
          <w:p>
            <w:pPr>
              <w:pStyle w:val="24"/>
              <w:spacing w:line="240" w:lineRule="auto"/>
              <w:ind w:left="480" w:firstLine="0" w:firstLineChars="0"/>
              <w:jc w:val="center"/>
              <w:rPr>
                <w:rFonts w:ascii="Times New Roman" w:hAnsi="Times New Roman"/>
                <w:sz w:val="21"/>
                <w:szCs w:val="21"/>
              </w:rPr>
            </w:pPr>
            <w:r>
              <w:rPr>
                <w:rFonts w:hint="eastAsia" w:ascii="Times New Roman" w:hAnsi="Times New Roman"/>
                <w:sz w:val="21"/>
                <w:szCs w:val="21"/>
              </w:rPr>
              <w:t>非甲烷总烃</w:t>
            </w:r>
          </w:p>
        </w:tc>
        <w:tc>
          <w:tcPr>
            <w:tcW w:w="2732" w:type="dxa"/>
            <w:gridSpan w:val="2"/>
            <w:vAlign w:val="center"/>
          </w:tcPr>
          <w:p>
            <w:pPr>
              <w:pStyle w:val="169"/>
              <w:adjustRightInd/>
              <w:snapToGrid/>
              <w:spacing w:line="240" w:lineRule="auto"/>
              <w:ind w:firstLine="0" w:firstLineChars="0"/>
              <w:jc w:val="center"/>
              <w:rPr>
                <w:color w:val="auto"/>
                <w:kern w:val="0"/>
                <w:sz w:val="21"/>
                <w:szCs w:val="21"/>
                <w:lang w:val="en-US"/>
              </w:rPr>
            </w:pPr>
            <w:r>
              <w:rPr>
                <w:rFonts w:hint="eastAsia"/>
                <w:color w:val="auto"/>
                <w:kern w:val="0"/>
                <w:sz w:val="21"/>
                <w:szCs w:val="21"/>
                <w:lang w:val="en-US"/>
              </w:rPr>
              <w:t>0</w:t>
            </w:r>
            <w:r>
              <w:rPr>
                <w:color w:val="auto"/>
                <w:kern w:val="0"/>
                <w:sz w:val="21"/>
                <w:szCs w:val="21"/>
                <w:lang w:val="en-US"/>
              </w:rPr>
              <w:t>.02382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114" w:type="dxa"/>
            <w:gridSpan w:val="3"/>
            <w:vMerge w:val="continue"/>
            <w:vAlign w:val="center"/>
          </w:tcPr>
          <w:p>
            <w:pPr>
              <w:tabs>
                <w:tab w:val="left" w:pos="2175"/>
              </w:tabs>
              <w:spacing w:line="240" w:lineRule="auto"/>
              <w:ind w:firstLine="0" w:firstLineChars="0"/>
              <w:jc w:val="center"/>
              <w:rPr>
                <w:sz w:val="21"/>
                <w:szCs w:val="21"/>
              </w:rPr>
            </w:pPr>
          </w:p>
        </w:tc>
        <w:tc>
          <w:tcPr>
            <w:tcW w:w="3401" w:type="dxa"/>
            <w:gridSpan w:val="3"/>
            <w:vAlign w:val="center"/>
          </w:tcPr>
          <w:p>
            <w:pPr>
              <w:pStyle w:val="24"/>
              <w:spacing w:line="240" w:lineRule="auto"/>
              <w:ind w:left="480" w:firstLine="0" w:firstLineChars="0"/>
              <w:jc w:val="center"/>
              <w:rPr>
                <w:rFonts w:ascii="Times New Roman" w:hAnsi="Times New Roman"/>
                <w:sz w:val="21"/>
                <w:szCs w:val="21"/>
              </w:rPr>
            </w:pPr>
            <w:r>
              <w:rPr>
                <w:rFonts w:hint="eastAsia" w:ascii="Times New Roman" w:hAnsi="Times New Roman"/>
                <w:sz w:val="21"/>
                <w:szCs w:val="21"/>
              </w:rPr>
              <w:t>V</w:t>
            </w:r>
            <w:r>
              <w:rPr>
                <w:rFonts w:ascii="Times New Roman" w:hAnsi="Times New Roman"/>
                <w:sz w:val="21"/>
                <w:szCs w:val="21"/>
              </w:rPr>
              <w:t>OCs</w:t>
            </w:r>
          </w:p>
        </w:tc>
        <w:tc>
          <w:tcPr>
            <w:tcW w:w="2732" w:type="dxa"/>
            <w:gridSpan w:val="2"/>
            <w:vAlign w:val="center"/>
          </w:tcPr>
          <w:p>
            <w:pPr>
              <w:pStyle w:val="169"/>
              <w:adjustRightInd/>
              <w:snapToGrid/>
              <w:spacing w:line="240" w:lineRule="auto"/>
              <w:ind w:firstLine="0" w:firstLineChars="0"/>
              <w:jc w:val="center"/>
              <w:rPr>
                <w:color w:val="auto"/>
                <w:kern w:val="0"/>
                <w:sz w:val="21"/>
                <w:szCs w:val="21"/>
                <w:lang w:val="en-US"/>
              </w:rPr>
            </w:pPr>
            <w:r>
              <w:rPr>
                <w:rFonts w:hint="eastAsia"/>
                <w:color w:val="auto"/>
                <w:kern w:val="0"/>
                <w:sz w:val="21"/>
                <w:szCs w:val="21"/>
                <w:lang w:val="en-US"/>
              </w:rPr>
              <w:t>0</w:t>
            </w:r>
            <w:r>
              <w:rPr>
                <w:color w:val="auto"/>
                <w:kern w:val="0"/>
                <w:sz w:val="21"/>
                <w:szCs w:val="21"/>
                <w:lang w:val="en-US"/>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114" w:type="dxa"/>
            <w:gridSpan w:val="3"/>
            <w:vMerge w:val="continue"/>
            <w:vAlign w:val="center"/>
          </w:tcPr>
          <w:p>
            <w:pPr>
              <w:tabs>
                <w:tab w:val="left" w:pos="2175"/>
              </w:tabs>
              <w:spacing w:line="240" w:lineRule="auto"/>
              <w:ind w:firstLine="0" w:firstLineChars="0"/>
              <w:jc w:val="center"/>
              <w:rPr>
                <w:sz w:val="21"/>
                <w:szCs w:val="21"/>
              </w:rPr>
            </w:pPr>
          </w:p>
        </w:tc>
        <w:tc>
          <w:tcPr>
            <w:tcW w:w="3401" w:type="dxa"/>
            <w:gridSpan w:val="3"/>
            <w:vAlign w:val="center"/>
          </w:tcPr>
          <w:p>
            <w:pPr>
              <w:pStyle w:val="24"/>
              <w:spacing w:line="240" w:lineRule="auto"/>
              <w:ind w:left="480" w:firstLine="0" w:firstLineChars="0"/>
              <w:jc w:val="center"/>
              <w:rPr>
                <w:rFonts w:ascii="Times New Roman" w:hAnsi="Times New Roman"/>
                <w:sz w:val="21"/>
                <w:szCs w:val="21"/>
              </w:rPr>
            </w:pPr>
            <w:r>
              <w:rPr>
                <w:rFonts w:ascii="Times New Roman" w:hAnsi="Times New Roman"/>
                <w:sz w:val="21"/>
                <w:szCs w:val="21"/>
              </w:rPr>
              <w:t>H</w:t>
            </w:r>
            <w:r>
              <w:rPr>
                <w:rFonts w:ascii="Times New Roman" w:hAnsi="Times New Roman"/>
                <w:sz w:val="21"/>
                <w:szCs w:val="21"/>
                <w:vertAlign w:val="subscript"/>
              </w:rPr>
              <w:t>2</w:t>
            </w:r>
            <w:r>
              <w:rPr>
                <w:rFonts w:ascii="Times New Roman" w:hAnsi="Times New Roman"/>
                <w:sz w:val="21"/>
                <w:szCs w:val="21"/>
              </w:rPr>
              <w:t>S</w:t>
            </w:r>
          </w:p>
        </w:tc>
        <w:tc>
          <w:tcPr>
            <w:tcW w:w="2732" w:type="dxa"/>
            <w:gridSpan w:val="2"/>
            <w:vAlign w:val="center"/>
          </w:tcPr>
          <w:p>
            <w:pPr>
              <w:pStyle w:val="169"/>
              <w:adjustRightInd/>
              <w:snapToGrid/>
              <w:spacing w:line="240" w:lineRule="auto"/>
              <w:ind w:firstLine="0" w:firstLineChars="0"/>
              <w:jc w:val="center"/>
              <w:rPr>
                <w:color w:val="auto"/>
                <w:kern w:val="0"/>
                <w:sz w:val="21"/>
                <w:szCs w:val="21"/>
                <w:lang w:val="en-US"/>
              </w:rPr>
            </w:pPr>
            <w:r>
              <w:rPr>
                <w:color w:val="auto"/>
                <w:kern w:val="0"/>
                <w:sz w:val="21"/>
                <w:szCs w:val="21"/>
                <w:lang w:val="en-US"/>
              </w:rPr>
              <w:t>0.001</w:t>
            </w:r>
          </w:p>
        </w:tc>
      </w:tr>
    </w:tbl>
    <w:p>
      <w:pPr>
        <w:pStyle w:val="24"/>
        <w:ind w:left="0" w:leftChars="0" w:firstLine="0" w:firstLineChars="0"/>
        <w:rPr>
          <w:rFonts w:ascii="Times New Roman" w:hAnsi="Times New Roman"/>
          <w:b/>
          <w:bCs/>
        </w:rPr>
      </w:pPr>
    </w:p>
    <w:p>
      <w:pPr>
        <w:pStyle w:val="24"/>
        <w:ind w:left="480" w:firstLine="0" w:firstLineChars="0"/>
        <w:jc w:val="center"/>
        <w:rPr>
          <w:rFonts w:ascii="Times New Roman" w:hAnsi="Times New Roman"/>
          <w:b/>
          <w:bCs/>
        </w:rPr>
      </w:pPr>
      <w:r>
        <w:rPr>
          <w:rFonts w:ascii="Times New Roman" w:hAnsi="Times New Roman"/>
          <w:b/>
          <w:bCs/>
        </w:rPr>
        <w:t>表4.4-20大气污染物年排放量核算表</w:t>
      </w:r>
    </w:p>
    <w:tbl>
      <w:tblPr>
        <w:tblStyle w:val="5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95"/>
        <w:gridCol w:w="3094"/>
        <w:gridCol w:w="3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pStyle w:val="24"/>
              <w:spacing w:line="240" w:lineRule="auto"/>
              <w:ind w:left="480" w:firstLine="0" w:firstLineChars="0"/>
              <w:jc w:val="center"/>
              <w:rPr>
                <w:rFonts w:ascii="Times New Roman" w:hAnsi="Times New Roman"/>
                <w:sz w:val="21"/>
                <w:szCs w:val="21"/>
              </w:rPr>
            </w:pPr>
            <w:r>
              <w:rPr>
                <w:rFonts w:ascii="Times New Roman" w:hAnsi="Times New Roman"/>
                <w:sz w:val="21"/>
                <w:szCs w:val="21"/>
              </w:rPr>
              <w:t>序号</w:t>
            </w:r>
          </w:p>
        </w:tc>
        <w:tc>
          <w:tcPr>
            <w:tcW w:w="3094" w:type="dxa"/>
            <w:vAlign w:val="center"/>
          </w:tcPr>
          <w:p>
            <w:pPr>
              <w:pStyle w:val="24"/>
              <w:spacing w:line="240" w:lineRule="auto"/>
              <w:ind w:left="480" w:firstLine="420"/>
              <w:rPr>
                <w:rFonts w:ascii="Times New Roman" w:hAnsi="Times New Roman"/>
                <w:sz w:val="21"/>
                <w:szCs w:val="21"/>
              </w:rPr>
            </w:pPr>
            <w:r>
              <w:rPr>
                <w:rFonts w:ascii="Times New Roman" w:hAnsi="Times New Roman"/>
                <w:sz w:val="21"/>
                <w:szCs w:val="21"/>
              </w:rPr>
              <w:t>污染物</w:t>
            </w:r>
          </w:p>
        </w:tc>
        <w:tc>
          <w:tcPr>
            <w:tcW w:w="3097" w:type="dxa"/>
            <w:vAlign w:val="center"/>
          </w:tcPr>
          <w:p>
            <w:pPr>
              <w:pStyle w:val="24"/>
              <w:spacing w:line="240" w:lineRule="auto"/>
              <w:ind w:left="480" w:firstLine="0" w:firstLineChars="0"/>
              <w:jc w:val="center"/>
              <w:rPr>
                <w:rFonts w:ascii="Times New Roman" w:hAnsi="Times New Roman"/>
                <w:sz w:val="21"/>
                <w:szCs w:val="21"/>
              </w:rPr>
            </w:pPr>
            <w:r>
              <w:rPr>
                <w:rFonts w:ascii="Times New Roman" w:hAnsi="Times New Roman"/>
                <w:sz w:val="21"/>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pStyle w:val="24"/>
              <w:spacing w:line="240" w:lineRule="auto"/>
              <w:ind w:left="480" w:firstLine="0" w:firstLineChars="0"/>
              <w:jc w:val="center"/>
              <w:rPr>
                <w:rFonts w:ascii="Times New Roman" w:hAnsi="Times New Roman"/>
                <w:sz w:val="21"/>
                <w:szCs w:val="21"/>
              </w:rPr>
            </w:pPr>
            <w:r>
              <w:rPr>
                <w:rFonts w:ascii="Times New Roman" w:hAnsi="Times New Roman"/>
                <w:sz w:val="21"/>
                <w:szCs w:val="21"/>
              </w:rPr>
              <w:t>1</w:t>
            </w:r>
          </w:p>
        </w:tc>
        <w:tc>
          <w:tcPr>
            <w:tcW w:w="3094" w:type="dxa"/>
            <w:vAlign w:val="center"/>
          </w:tcPr>
          <w:p>
            <w:pPr>
              <w:spacing w:line="240" w:lineRule="auto"/>
              <w:ind w:firstLine="0" w:firstLineChars="0"/>
              <w:jc w:val="center"/>
              <w:rPr>
                <w:sz w:val="21"/>
                <w:szCs w:val="21"/>
              </w:rPr>
            </w:pPr>
            <w:r>
              <w:rPr>
                <w:rFonts w:hint="eastAsia" w:ascii="Times New Roman" w:hAnsi="Times New Roman"/>
                <w:sz w:val="21"/>
                <w:szCs w:val="21"/>
              </w:rPr>
              <w:t>颗粒物</w:t>
            </w:r>
          </w:p>
        </w:tc>
        <w:tc>
          <w:tcPr>
            <w:tcW w:w="3097" w:type="dxa"/>
            <w:vAlign w:val="center"/>
          </w:tcPr>
          <w:p>
            <w:pPr>
              <w:spacing w:line="240" w:lineRule="auto"/>
              <w:ind w:firstLine="0" w:firstLineChars="0"/>
              <w:jc w:val="center"/>
              <w:rPr>
                <w:sz w:val="21"/>
                <w:szCs w:val="21"/>
              </w:rPr>
            </w:pPr>
            <w:r>
              <w:rPr>
                <w:sz w:val="21"/>
                <w:szCs w:val="21"/>
              </w:rPr>
              <w:t>0.225472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pStyle w:val="24"/>
              <w:spacing w:line="240" w:lineRule="auto"/>
              <w:ind w:left="480" w:firstLine="0" w:firstLineChars="0"/>
              <w:jc w:val="center"/>
              <w:rPr>
                <w:rFonts w:ascii="Times New Roman" w:hAnsi="Times New Roman"/>
                <w:sz w:val="21"/>
                <w:szCs w:val="21"/>
              </w:rPr>
            </w:pPr>
            <w:r>
              <w:rPr>
                <w:rFonts w:ascii="Times New Roman" w:hAnsi="Times New Roman"/>
                <w:sz w:val="21"/>
                <w:szCs w:val="21"/>
              </w:rPr>
              <w:t>2</w:t>
            </w:r>
          </w:p>
        </w:tc>
        <w:tc>
          <w:tcPr>
            <w:tcW w:w="3094" w:type="dxa"/>
            <w:vAlign w:val="center"/>
          </w:tcPr>
          <w:p>
            <w:pPr>
              <w:spacing w:line="240" w:lineRule="auto"/>
              <w:ind w:firstLine="0" w:firstLineChars="0"/>
              <w:jc w:val="center"/>
              <w:rPr>
                <w:rFonts w:ascii="Times New Roman" w:hAnsi="Times New Roman"/>
                <w:sz w:val="21"/>
                <w:szCs w:val="21"/>
              </w:rPr>
            </w:pPr>
            <w:r>
              <w:rPr>
                <w:rFonts w:hint="eastAsia" w:ascii="Times New Roman" w:hAnsi="Times New Roman"/>
                <w:sz w:val="21"/>
                <w:szCs w:val="21"/>
              </w:rPr>
              <w:t>非甲烷总烃</w:t>
            </w:r>
          </w:p>
        </w:tc>
        <w:tc>
          <w:tcPr>
            <w:tcW w:w="3097" w:type="dxa"/>
            <w:vAlign w:val="center"/>
          </w:tcPr>
          <w:p>
            <w:pPr>
              <w:pStyle w:val="169"/>
              <w:adjustRightInd/>
              <w:snapToGrid/>
              <w:spacing w:line="240" w:lineRule="auto"/>
              <w:ind w:firstLine="0" w:firstLineChars="0"/>
              <w:jc w:val="center"/>
              <w:rPr>
                <w:color w:val="auto"/>
                <w:kern w:val="0"/>
                <w:sz w:val="21"/>
                <w:szCs w:val="21"/>
                <w:lang w:val="en-US"/>
              </w:rPr>
            </w:pPr>
            <w:r>
              <w:rPr>
                <w:rFonts w:hint="eastAsia"/>
                <w:color w:val="auto"/>
                <w:kern w:val="0"/>
                <w:sz w:val="21"/>
                <w:szCs w:val="21"/>
                <w:lang w:val="en-US"/>
              </w:rPr>
              <w:t>0.045755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pStyle w:val="24"/>
              <w:spacing w:line="240" w:lineRule="auto"/>
              <w:ind w:left="480" w:firstLine="0" w:firstLineChars="0"/>
              <w:jc w:val="center"/>
              <w:rPr>
                <w:rFonts w:ascii="Times New Roman" w:hAnsi="Times New Roman"/>
                <w:sz w:val="21"/>
                <w:szCs w:val="21"/>
              </w:rPr>
            </w:pPr>
            <w:r>
              <w:rPr>
                <w:rFonts w:hint="eastAsia" w:ascii="Times New Roman" w:hAnsi="Times New Roman"/>
                <w:sz w:val="21"/>
                <w:szCs w:val="21"/>
              </w:rPr>
              <w:t>3</w:t>
            </w:r>
          </w:p>
        </w:tc>
        <w:tc>
          <w:tcPr>
            <w:tcW w:w="3094" w:type="dxa"/>
            <w:vAlign w:val="center"/>
          </w:tcPr>
          <w:p>
            <w:pPr>
              <w:spacing w:line="240" w:lineRule="auto"/>
              <w:ind w:firstLine="0" w:firstLineChars="0"/>
              <w:jc w:val="center"/>
              <w:rPr>
                <w:rFonts w:ascii="Times New Roman" w:hAnsi="Times New Roman"/>
                <w:sz w:val="21"/>
                <w:szCs w:val="21"/>
              </w:rPr>
            </w:pPr>
            <w:r>
              <w:rPr>
                <w:rFonts w:hint="eastAsia" w:ascii="Times New Roman" w:hAnsi="Times New Roman"/>
                <w:sz w:val="21"/>
                <w:szCs w:val="21"/>
              </w:rPr>
              <w:t>V</w:t>
            </w:r>
            <w:r>
              <w:rPr>
                <w:rFonts w:ascii="Times New Roman" w:hAnsi="Times New Roman"/>
                <w:sz w:val="21"/>
                <w:szCs w:val="21"/>
              </w:rPr>
              <w:t>OCs</w:t>
            </w:r>
          </w:p>
        </w:tc>
        <w:tc>
          <w:tcPr>
            <w:tcW w:w="3097" w:type="dxa"/>
            <w:vAlign w:val="center"/>
          </w:tcPr>
          <w:p>
            <w:pPr>
              <w:pStyle w:val="169"/>
              <w:adjustRightInd/>
              <w:snapToGrid/>
              <w:spacing w:line="240" w:lineRule="auto"/>
              <w:ind w:firstLine="0" w:firstLineChars="0"/>
              <w:jc w:val="center"/>
              <w:rPr>
                <w:color w:val="auto"/>
                <w:kern w:val="0"/>
                <w:sz w:val="21"/>
                <w:szCs w:val="21"/>
                <w:lang w:val="en-US"/>
              </w:rPr>
            </w:pPr>
            <w:r>
              <w:rPr>
                <w:rFonts w:hint="eastAsia"/>
                <w:color w:val="auto"/>
                <w:kern w:val="0"/>
                <w:sz w:val="21"/>
                <w:szCs w:val="21"/>
                <w:lang w:val="en-US"/>
              </w:rPr>
              <w:t>0</w:t>
            </w:r>
            <w:r>
              <w:rPr>
                <w:color w:val="auto"/>
                <w:kern w:val="0"/>
                <w:sz w:val="21"/>
                <w:szCs w:val="21"/>
                <w:lang w:val="en-US"/>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095" w:type="dxa"/>
            <w:vAlign w:val="center"/>
          </w:tcPr>
          <w:p>
            <w:pPr>
              <w:pStyle w:val="24"/>
              <w:spacing w:line="240" w:lineRule="auto"/>
              <w:ind w:left="480" w:firstLine="0" w:firstLineChars="0"/>
              <w:jc w:val="center"/>
              <w:rPr>
                <w:rFonts w:ascii="Times New Roman" w:hAnsi="Times New Roman"/>
                <w:sz w:val="21"/>
                <w:szCs w:val="21"/>
              </w:rPr>
            </w:pPr>
            <w:r>
              <w:rPr>
                <w:rFonts w:ascii="Times New Roman" w:hAnsi="Times New Roman"/>
                <w:sz w:val="21"/>
                <w:szCs w:val="21"/>
              </w:rPr>
              <w:t>4</w:t>
            </w:r>
          </w:p>
        </w:tc>
        <w:tc>
          <w:tcPr>
            <w:tcW w:w="3094" w:type="dxa"/>
            <w:vAlign w:val="center"/>
          </w:tcPr>
          <w:p>
            <w:pPr>
              <w:spacing w:line="240" w:lineRule="auto"/>
              <w:ind w:firstLine="0" w:firstLineChars="0"/>
              <w:jc w:val="center"/>
              <w:rPr>
                <w:sz w:val="21"/>
                <w:szCs w:val="21"/>
              </w:rPr>
            </w:pPr>
            <w:r>
              <w:rPr>
                <w:rFonts w:ascii="Times New Roman" w:hAnsi="Times New Roman"/>
                <w:sz w:val="21"/>
                <w:szCs w:val="21"/>
              </w:rPr>
              <w:t>H</w:t>
            </w:r>
            <w:r>
              <w:rPr>
                <w:rFonts w:ascii="Times New Roman" w:hAnsi="Times New Roman"/>
                <w:sz w:val="21"/>
                <w:szCs w:val="21"/>
                <w:vertAlign w:val="subscript"/>
              </w:rPr>
              <w:t>2</w:t>
            </w:r>
            <w:r>
              <w:rPr>
                <w:rFonts w:ascii="Times New Roman" w:hAnsi="Times New Roman"/>
                <w:sz w:val="21"/>
                <w:szCs w:val="21"/>
              </w:rPr>
              <w:t>S</w:t>
            </w:r>
          </w:p>
        </w:tc>
        <w:tc>
          <w:tcPr>
            <w:tcW w:w="3097" w:type="dxa"/>
            <w:vAlign w:val="center"/>
          </w:tcPr>
          <w:p>
            <w:pPr>
              <w:pStyle w:val="169"/>
              <w:adjustRightInd/>
              <w:snapToGrid/>
              <w:spacing w:line="240" w:lineRule="auto"/>
              <w:ind w:firstLine="0" w:firstLineChars="0"/>
              <w:jc w:val="center"/>
              <w:rPr>
                <w:color w:val="auto"/>
                <w:kern w:val="0"/>
                <w:sz w:val="21"/>
                <w:szCs w:val="21"/>
                <w:lang w:val="en-US"/>
              </w:rPr>
            </w:pPr>
            <w:r>
              <w:rPr>
                <w:rFonts w:hint="eastAsia"/>
                <w:color w:val="auto"/>
                <w:kern w:val="0"/>
                <w:sz w:val="21"/>
                <w:szCs w:val="21"/>
                <w:lang w:val="en-US"/>
              </w:rPr>
              <w:t>0.001816</w:t>
            </w:r>
          </w:p>
        </w:tc>
      </w:tr>
    </w:tbl>
    <w:p>
      <w:pPr>
        <w:pStyle w:val="24"/>
        <w:ind w:left="480" w:firstLine="0" w:firstLineChars="0"/>
        <w:jc w:val="center"/>
        <w:rPr>
          <w:rFonts w:ascii="Times New Roman" w:hAnsi="Times New Roman"/>
          <w:b/>
          <w:bCs/>
        </w:rPr>
      </w:pPr>
    </w:p>
    <w:p>
      <w:pPr>
        <w:pStyle w:val="24"/>
        <w:ind w:left="480" w:firstLine="0" w:firstLineChars="0"/>
        <w:jc w:val="center"/>
        <w:rPr>
          <w:rFonts w:ascii="Times New Roman" w:hAnsi="Times New Roman"/>
          <w:b/>
          <w:bCs/>
        </w:rPr>
      </w:pPr>
      <w:r>
        <w:rPr>
          <w:rFonts w:ascii="Times New Roman" w:hAnsi="Times New Roman"/>
          <w:b/>
          <w:bCs/>
        </w:rPr>
        <w:t>表4.4-21污染物非正常排放量核算表</w:t>
      </w:r>
    </w:p>
    <w:tbl>
      <w:tblPr>
        <w:tblStyle w:val="56"/>
        <w:tblW w:w="93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276"/>
        <w:gridCol w:w="1265"/>
        <w:gridCol w:w="938"/>
        <w:gridCol w:w="1132"/>
        <w:gridCol w:w="1059"/>
        <w:gridCol w:w="1005"/>
        <w:gridCol w:w="1015"/>
        <w:gridCol w:w="10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2"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序号</w:t>
            </w:r>
          </w:p>
        </w:tc>
        <w:tc>
          <w:tcPr>
            <w:tcW w:w="1276"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污染源</w:t>
            </w:r>
          </w:p>
        </w:tc>
        <w:tc>
          <w:tcPr>
            <w:tcW w:w="1265" w:type="dxa"/>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非正常排放原因</w:t>
            </w:r>
          </w:p>
        </w:tc>
        <w:tc>
          <w:tcPr>
            <w:tcW w:w="938" w:type="dxa"/>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污染物</w:t>
            </w:r>
          </w:p>
        </w:tc>
        <w:tc>
          <w:tcPr>
            <w:tcW w:w="1132" w:type="dxa"/>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非正常排放浓度/（mg/m</w:t>
            </w:r>
            <w:r>
              <w:rPr>
                <w:rFonts w:ascii="Times New Roman" w:hAnsi="Times New Roman"/>
                <w:sz w:val="21"/>
                <w:szCs w:val="21"/>
                <w:vertAlign w:val="superscript"/>
              </w:rPr>
              <w:t>3</w:t>
            </w:r>
            <w:r>
              <w:rPr>
                <w:rFonts w:ascii="Times New Roman" w:hAnsi="Times New Roman"/>
                <w:sz w:val="21"/>
                <w:szCs w:val="21"/>
              </w:rPr>
              <w:t>）</w:t>
            </w:r>
          </w:p>
        </w:tc>
        <w:tc>
          <w:tcPr>
            <w:tcW w:w="1059" w:type="dxa"/>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非正常排放速率/（kg/h）</w:t>
            </w:r>
          </w:p>
        </w:tc>
        <w:tc>
          <w:tcPr>
            <w:tcW w:w="1005" w:type="dxa"/>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单次持续时间/h</w:t>
            </w:r>
          </w:p>
        </w:tc>
        <w:tc>
          <w:tcPr>
            <w:tcW w:w="1015" w:type="dxa"/>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年发生频次/次</w:t>
            </w:r>
          </w:p>
        </w:tc>
        <w:tc>
          <w:tcPr>
            <w:tcW w:w="1099" w:type="dxa"/>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2" w:hRule="atLeast"/>
        </w:trPr>
        <w:tc>
          <w:tcPr>
            <w:tcW w:w="562" w:type="dxa"/>
            <w:vMerge w:val="restart"/>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1</w:t>
            </w:r>
          </w:p>
        </w:tc>
        <w:tc>
          <w:tcPr>
            <w:tcW w:w="1276" w:type="dxa"/>
            <w:vMerge w:val="restart"/>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1#（</w:t>
            </w:r>
            <w:r>
              <w:rPr>
                <w:rFonts w:hint="eastAsia" w:ascii="Times New Roman" w:hAnsi="Times New Roman"/>
                <w:sz w:val="21"/>
                <w:szCs w:val="21"/>
              </w:rPr>
              <w:t>密炼、混炼、硫化</w:t>
            </w:r>
            <w:r>
              <w:rPr>
                <w:rFonts w:ascii="Times New Roman" w:hAnsi="Times New Roman"/>
                <w:sz w:val="21"/>
                <w:szCs w:val="21"/>
              </w:rPr>
              <w:t>）</w:t>
            </w:r>
          </w:p>
        </w:tc>
        <w:tc>
          <w:tcPr>
            <w:tcW w:w="1265" w:type="dxa"/>
            <w:vMerge w:val="restart"/>
            <w:vAlign w:val="center"/>
          </w:tcPr>
          <w:p>
            <w:pPr>
              <w:pStyle w:val="24"/>
              <w:spacing w:line="240" w:lineRule="auto"/>
              <w:ind w:left="0" w:leftChars="0" w:firstLine="0" w:firstLineChars="0"/>
              <w:rPr>
                <w:rFonts w:ascii="Times New Roman" w:hAnsi="Times New Roman"/>
                <w:sz w:val="21"/>
                <w:szCs w:val="21"/>
              </w:rPr>
            </w:pPr>
            <w:r>
              <w:rPr>
                <w:rFonts w:ascii="Times New Roman" w:hAnsi="Times New Roman"/>
                <w:sz w:val="21"/>
                <w:szCs w:val="21"/>
              </w:rPr>
              <w:t>各废气处理设施异常处理效率降到0的非正常情况下</w:t>
            </w:r>
          </w:p>
        </w:tc>
        <w:tc>
          <w:tcPr>
            <w:tcW w:w="938" w:type="dxa"/>
            <w:vAlign w:val="center"/>
          </w:tcPr>
          <w:p>
            <w:pPr>
              <w:pStyle w:val="24"/>
              <w:spacing w:line="240" w:lineRule="auto"/>
              <w:ind w:left="0" w:leftChars="0" w:firstLine="0" w:firstLineChars="0"/>
              <w:jc w:val="center"/>
              <w:rPr>
                <w:rFonts w:ascii="Times New Roman" w:hAnsi="Times New Roman"/>
                <w:sz w:val="21"/>
                <w:szCs w:val="21"/>
              </w:rPr>
            </w:pPr>
            <w:r>
              <w:rPr>
                <w:rFonts w:hint="eastAsia" w:ascii="Times New Roman" w:hAnsi="Times New Roman"/>
                <w:sz w:val="21"/>
                <w:szCs w:val="21"/>
              </w:rPr>
              <w:t>颗粒物</w:t>
            </w:r>
          </w:p>
        </w:tc>
        <w:tc>
          <w:tcPr>
            <w:tcW w:w="1132" w:type="dxa"/>
            <w:vAlign w:val="center"/>
          </w:tcPr>
          <w:p>
            <w:pPr>
              <w:spacing w:line="240" w:lineRule="auto"/>
              <w:ind w:firstLine="0" w:firstLineChars="0"/>
              <w:jc w:val="center"/>
              <w:rPr>
                <w:sz w:val="21"/>
                <w:szCs w:val="21"/>
              </w:rPr>
            </w:pPr>
            <w:r>
              <w:rPr>
                <w:sz w:val="21"/>
                <w:szCs w:val="21"/>
              </w:rPr>
              <w:t>5.14</w:t>
            </w:r>
          </w:p>
        </w:tc>
        <w:tc>
          <w:tcPr>
            <w:tcW w:w="1059" w:type="dxa"/>
            <w:vAlign w:val="center"/>
          </w:tcPr>
          <w:p>
            <w:pPr>
              <w:spacing w:line="240" w:lineRule="auto"/>
              <w:ind w:firstLine="0" w:firstLineChars="0"/>
              <w:jc w:val="center"/>
              <w:rPr>
                <w:sz w:val="21"/>
                <w:szCs w:val="21"/>
              </w:rPr>
            </w:pPr>
            <w:r>
              <w:rPr>
                <w:sz w:val="21"/>
                <w:szCs w:val="21"/>
              </w:rPr>
              <w:t>0.1695</w:t>
            </w:r>
          </w:p>
        </w:tc>
        <w:tc>
          <w:tcPr>
            <w:tcW w:w="1005" w:type="dxa"/>
            <w:vAlign w:val="center"/>
          </w:tcPr>
          <w:p>
            <w:pPr>
              <w:spacing w:line="240" w:lineRule="auto"/>
              <w:ind w:firstLine="0" w:firstLineChars="0"/>
              <w:jc w:val="center"/>
              <w:rPr>
                <w:sz w:val="21"/>
                <w:szCs w:val="21"/>
              </w:rPr>
            </w:pPr>
            <w:r>
              <w:rPr>
                <w:sz w:val="21"/>
                <w:szCs w:val="21"/>
              </w:rPr>
              <w:t>/</w:t>
            </w:r>
          </w:p>
        </w:tc>
        <w:tc>
          <w:tcPr>
            <w:tcW w:w="1015" w:type="dxa"/>
            <w:vAlign w:val="center"/>
          </w:tcPr>
          <w:p>
            <w:pPr>
              <w:spacing w:line="240" w:lineRule="auto"/>
              <w:ind w:firstLine="0" w:firstLineChars="0"/>
              <w:jc w:val="center"/>
              <w:rPr>
                <w:sz w:val="21"/>
                <w:szCs w:val="21"/>
              </w:rPr>
            </w:pPr>
            <w:r>
              <w:rPr>
                <w:sz w:val="21"/>
                <w:szCs w:val="21"/>
              </w:rPr>
              <w:t>/</w:t>
            </w:r>
          </w:p>
        </w:tc>
        <w:tc>
          <w:tcPr>
            <w:tcW w:w="1099" w:type="dxa"/>
            <w:vMerge w:val="restart"/>
            <w:vAlign w:val="center"/>
          </w:tcPr>
          <w:p>
            <w:pPr>
              <w:spacing w:line="240" w:lineRule="auto"/>
              <w:ind w:firstLine="0" w:firstLineChars="0"/>
              <w:jc w:val="center"/>
              <w:rPr>
                <w:sz w:val="21"/>
                <w:szCs w:val="21"/>
              </w:rPr>
            </w:pPr>
            <w:r>
              <w:rPr>
                <w:sz w:val="21"/>
                <w:szCs w:val="21"/>
              </w:rPr>
              <w:t>及时对废气处理设施进行维修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2" w:hRule="atLeast"/>
        </w:trPr>
        <w:tc>
          <w:tcPr>
            <w:tcW w:w="562" w:type="dxa"/>
            <w:vMerge w:val="continue"/>
            <w:vAlign w:val="center"/>
          </w:tcPr>
          <w:p>
            <w:pPr>
              <w:pStyle w:val="24"/>
              <w:spacing w:line="240" w:lineRule="auto"/>
              <w:ind w:left="0" w:leftChars="0" w:firstLine="0" w:firstLineChars="0"/>
              <w:jc w:val="center"/>
              <w:rPr>
                <w:rFonts w:ascii="Times New Roman" w:hAnsi="Times New Roman"/>
                <w:sz w:val="21"/>
                <w:szCs w:val="21"/>
              </w:rPr>
            </w:pPr>
          </w:p>
        </w:tc>
        <w:tc>
          <w:tcPr>
            <w:tcW w:w="1276" w:type="dxa"/>
            <w:vMerge w:val="continue"/>
            <w:vAlign w:val="center"/>
          </w:tcPr>
          <w:p>
            <w:pPr>
              <w:pStyle w:val="24"/>
              <w:spacing w:line="240" w:lineRule="auto"/>
              <w:ind w:left="0" w:leftChars="0" w:firstLine="0" w:firstLineChars="0"/>
              <w:jc w:val="center"/>
              <w:rPr>
                <w:rFonts w:ascii="Times New Roman" w:hAnsi="Times New Roman"/>
                <w:sz w:val="21"/>
                <w:szCs w:val="21"/>
              </w:rPr>
            </w:pPr>
          </w:p>
        </w:tc>
        <w:tc>
          <w:tcPr>
            <w:tcW w:w="1265" w:type="dxa"/>
            <w:vMerge w:val="continue"/>
            <w:vAlign w:val="center"/>
          </w:tcPr>
          <w:p>
            <w:pPr>
              <w:pStyle w:val="24"/>
              <w:spacing w:line="240" w:lineRule="auto"/>
              <w:ind w:left="0" w:leftChars="0" w:firstLine="0" w:firstLineChars="0"/>
              <w:rPr>
                <w:rFonts w:ascii="Times New Roman" w:hAnsi="Times New Roman"/>
                <w:sz w:val="21"/>
                <w:szCs w:val="21"/>
              </w:rPr>
            </w:pPr>
          </w:p>
        </w:tc>
        <w:tc>
          <w:tcPr>
            <w:tcW w:w="938" w:type="dxa"/>
            <w:vAlign w:val="center"/>
          </w:tcPr>
          <w:p>
            <w:pPr>
              <w:pStyle w:val="24"/>
              <w:spacing w:line="240" w:lineRule="auto"/>
              <w:ind w:left="0" w:leftChars="0" w:firstLine="0" w:firstLineChars="0"/>
              <w:jc w:val="center"/>
              <w:rPr>
                <w:rFonts w:ascii="Times New Roman" w:hAnsi="Times New Roman"/>
                <w:sz w:val="21"/>
                <w:szCs w:val="21"/>
              </w:rPr>
            </w:pPr>
            <w:r>
              <w:rPr>
                <w:rFonts w:hint="eastAsia" w:ascii="Times New Roman" w:hAnsi="Times New Roman"/>
                <w:sz w:val="21"/>
                <w:szCs w:val="21"/>
              </w:rPr>
              <w:t>非甲烷总烃</w:t>
            </w:r>
          </w:p>
        </w:tc>
        <w:tc>
          <w:tcPr>
            <w:tcW w:w="1132" w:type="dxa"/>
            <w:vAlign w:val="center"/>
          </w:tcPr>
          <w:p>
            <w:pPr>
              <w:spacing w:line="240" w:lineRule="auto"/>
              <w:ind w:firstLine="0" w:firstLineChars="0"/>
              <w:jc w:val="center"/>
              <w:rPr>
                <w:sz w:val="21"/>
                <w:szCs w:val="21"/>
              </w:rPr>
            </w:pPr>
            <w:r>
              <w:rPr>
                <w:rFonts w:hint="eastAsia"/>
                <w:sz w:val="21"/>
                <w:szCs w:val="21"/>
              </w:rPr>
              <w:t>3</w:t>
            </w:r>
            <w:r>
              <w:rPr>
                <w:sz w:val="21"/>
                <w:szCs w:val="21"/>
              </w:rPr>
              <w:t>.46</w:t>
            </w:r>
          </w:p>
        </w:tc>
        <w:tc>
          <w:tcPr>
            <w:tcW w:w="1059" w:type="dxa"/>
            <w:vAlign w:val="center"/>
          </w:tcPr>
          <w:p>
            <w:pPr>
              <w:spacing w:line="240" w:lineRule="auto"/>
              <w:ind w:firstLine="0" w:firstLineChars="0"/>
              <w:jc w:val="center"/>
              <w:rPr>
                <w:sz w:val="21"/>
                <w:szCs w:val="21"/>
              </w:rPr>
            </w:pPr>
            <w:r>
              <w:rPr>
                <w:rFonts w:hint="eastAsia"/>
                <w:sz w:val="21"/>
                <w:szCs w:val="21"/>
              </w:rPr>
              <w:t>0</w:t>
            </w:r>
            <w:r>
              <w:rPr>
                <w:sz w:val="21"/>
                <w:szCs w:val="21"/>
              </w:rPr>
              <w:t>.114</w:t>
            </w:r>
          </w:p>
        </w:tc>
        <w:tc>
          <w:tcPr>
            <w:tcW w:w="1005" w:type="dxa"/>
            <w:vAlign w:val="center"/>
          </w:tcPr>
          <w:p>
            <w:pPr>
              <w:spacing w:line="240" w:lineRule="auto"/>
              <w:ind w:firstLine="0" w:firstLineChars="0"/>
              <w:jc w:val="center"/>
              <w:rPr>
                <w:sz w:val="21"/>
                <w:szCs w:val="21"/>
              </w:rPr>
            </w:pPr>
            <w:r>
              <w:rPr>
                <w:sz w:val="21"/>
                <w:szCs w:val="21"/>
              </w:rPr>
              <w:t>/</w:t>
            </w:r>
          </w:p>
        </w:tc>
        <w:tc>
          <w:tcPr>
            <w:tcW w:w="1015" w:type="dxa"/>
            <w:vAlign w:val="center"/>
          </w:tcPr>
          <w:p>
            <w:pPr>
              <w:spacing w:line="240" w:lineRule="auto"/>
              <w:ind w:firstLine="0" w:firstLineChars="0"/>
              <w:jc w:val="center"/>
              <w:rPr>
                <w:sz w:val="21"/>
                <w:szCs w:val="21"/>
              </w:rPr>
            </w:pPr>
            <w:r>
              <w:rPr>
                <w:sz w:val="21"/>
                <w:szCs w:val="21"/>
              </w:rPr>
              <w:t>/</w:t>
            </w:r>
          </w:p>
        </w:tc>
        <w:tc>
          <w:tcPr>
            <w:tcW w:w="1099" w:type="dxa"/>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6" w:hRule="atLeast"/>
        </w:trPr>
        <w:tc>
          <w:tcPr>
            <w:tcW w:w="562"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276"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1265"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938"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H</w:t>
            </w:r>
            <w:r>
              <w:rPr>
                <w:rFonts w:ascii="Times New Roman" w:hAnsi="Times New Roman"/>
                <w:sz w:val="21"/>
                <w:szCs w:val="21"/>
                <w:vertAlign w:val="subscript"/>
              </w:rPr>
              <w:t>2</w:t>
            </w:r>
            <w:r>
              <w:rPr>
                <w:rFonts w:ascii="Times New Roman" w:hAnsi="Times New Roman"/>
                <w:sz w:val="21"/>
                <w:szCs w:val="21"/>
              </w:rPr>
              <w:t>S</w:t>
            </w:r>
          </w:p>
        </w:tc>
        <w:tc>
          <w:tcPr>
            <w:tcW w:w="1132" w:type="dxa"/>
            <w:vAlign w:val="center"/>
          </w:tcPr>
          <w:p>
            <w:pPr>
              <w:spacing w:line="240" w:lineRule="auto"/>
              <w:ind w:firstLine="0" w:firstLineChars="0"/>
              <w:jc w:val="center"/>
              <w:rPr>
                <w:sz w:val="21"/>
                <w:szCs w:val="21"/>
              </w:rPr>
            </w:pPr>
            <w:r>
              <w:rPr>
                <w:sz w:val="21"/>
                <w:szCs w:val="21"/>
              </w:rPr>
              <w:t>0.129</w:t>
            </w:r>
          </w:p>
        </w:tc>
        <w:tc>
          <w:tcPr>
            <w:tcW w:w="1059" w:type="dxa"/>
            <w:vAlign w:val="center"/>
          </w:tcPr>
          <w:p>
            <w:pPr>
              <w:spacing w:line="240" w:lineRule="auto"/>
              <w:ind w:firstLine="0" w:firstLineChars="0"/>
              <w:jc w:val="center"/>
              <w:rPr>
                <w:sz w:val="21"/>
                <w:szCs w:val="21"/>
              </w:rPr>
            </w:pPr>
            <w:r>
              <w:rPr>
                <w:sz w:val="21"/>
                <w:szCs w:val="21"/>
              </w:rPr>
              <w:t>0.00425</w:t>
            </w:r>
          </w:p>
        </w:tc>
        <w:tc>
          <w:tcPr>
            <w:tcW w:w="1005" w:type="dxa"/>
            <w:vAlign w:val="center"/>
          </w:tcPr>
          <w:p>
            <w:pPr>
              <w:spacing w:line="240" w:lineRule="auto"/>
              <w:ind w:firstLine="0" w:firstLineChars="0"/>
              <w:jc w:val="center"/>
              <w:rPr>
                <w:sz w:val="21"/>
                <w:szCs w:val="21"/>
              </w:rPr>
            </w:pPr>
            <w:r>
              <w:rPr>
                <w:sz w:val="21"/>
                <w:szCs w:val="21"/>
              </w:rPr>
              <w:t>/</w:t>
            </w:r>
          </w:p>
        </w:tc>
        <w:tc>
          <w:tcPr>
            <w:tcW w:w="1015" w:type="dxa"/>
            <w:vAlign w:val="center"/>
          </w:tcPr>
          <w:p>
            <w:pPr>
              <w:spacing w:line="240" w:lineRule="auto"/>
              <w:ind w:firstLine="0" w:firstLineChars="0"/>
              <w:jc w:val="center"/>
              <w:rPr>
                <w:sz w:val="21"/>
                <w:szCs w:val="21"/>
              </w:rPr>
            </w:pPr>
            <w:r>
              <w:rPr>
                <w:sz w:val="21"/>
                <w:szCs w:val="21"/>
              </w:rPr>
              <w:t>/</w:t>
            </w:r>
          </w:p>
        </w:tc>
        <w:tc>
          <w:tcPr>
            <w:tcW w:w="1099" w:type="dxa"/>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4" w:hRule="atLeast"/>
        </w:trPr>
        <w:tc>
          <w:tcPr>
            <w:tcW w:w="562"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2</w:t>
            </w:r>
          </w:p>
        </w:tc>
        <w:tc>
          <w:tcPr>
            <w:tcW w:w="1276"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2#（</w:t>
            </w:r>
            <w:r>
              <w:rPr>
                <w:rFonts w:hint="eastAsia" w:ascii="Times New Roman" w:hAnsi="Times New Roman"/>
                <w:sz w:val="21"/>
                <w:szCs w:val="21"/>
              </w:rPr>
              <w:t>抛丸</w:t>
            </w:r>
            <w:r>
              <w:rPr>
                <w:rFonts w:ascii="Times New Roman" w:hAnsi="Times New Roman"/>
                <w:sz w:val="21"/>
                <w:szCs w:val="21"/>
              </w:rPr>
              <w:t>）</w:t>
            </w:r>
          </w:p>
        </w:tc>
        <w:tc>
          <w:tcPr>
            <w:tcW w:w="1265" w:type="dxa"/>
            <w:vMerge w:val="continue"/>
            <w:vAlign w:val="center"/>
          </w:tcPr>
          <w:p>
            <w:pPr>
              <w:pStyle w:val="24"/>
              <w:spacing w:line="240" w:lineRule="auto"/>
              <w:ind w:left="480" w:firstLine="0" w:firstLineChars="0"/>
              <w:jc w:val="center"/>
              <w:rPr>
                <w:rFonts w:ascii="Times New Roman" w:hAnsi="Times New Roman"/>
                <w:sz w:val="21"/>
                <w:szCs w:val="21"/>
              </w:rPr>
            </w:pPr>
          </w:p>
        </w:tc>
        <w:tc>
          <w:tcPr>
            <w:tcW w:w="938" w:type="dxa"/>
            <w:vAlign w:val="center"/>
          </w:tcPr>
          <w:p>
            <w:pPr>
              <w:pStyle w:val="24"/>
              <w:spacing w:line="240" w:lineRule="auto"/>
              <w:ind w:left="0" w:leftChars="0" w:firstLine="0" w:firstLineChars="0"/>
              <w:jc w:val="center"/>
              <w:rPr>
                <w:rFonts w:ascii="Times New Roman" w:hAnsi="Times New Roman"/>
                <w:sz w:val="21"/>
                <w:szCs w:val="21"/>
              </w:rPr>
            </w:pPr>
            <w:r>
              <w:rPr>
                <w:rFonts w:hint="eastAsia" w:ascii="Times New Roman" w:hAnsi="Times New Roman"/>
                <w:sz w:val="21"/>
                <w:szCs w:val="21"/>
              </w:rPr>
              <w:t>颗粒物</w:t>
            </w:r>
          </w:p>
        </w:tc>
        <w:tc>
          <w:tcPr>
            <w:tcW w:w="1132"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277.8</w:t>
            </w:r>
          </w:p>
        </w:tc>
        <w:tc>
          <w:tcPr>
            <w:tcW w:w="1059"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1.667</w:t>
            </w:r>
          </w:p>
        </w:tc>
        <w:tc>
          <w:tcPr>
            <w:tcW w:w="1005"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w:t>
            </w:r>
          </w:p>
        </w:tc>
        <w:tc>
          <w:tcPr>
            <w:tcW w:w="1015" w:type="dxa"/>
            <w:vAlign w:val="center"/>
          </w:tcPr>
          <w:p>
            <w:pPr>
              <w:pStyle w:val="24"/>
              <w:spacing w:line="240" w:lineRule="auto"/>
              <w:ind w:left="0" w:leftChars="0" w:firstLine="0" w:firstLineChars="0"/>
              <w:jc w:val="center"/>
              <w:rPr>
                <w:rFonts w:ascii="Times New Roman" w:hAnsi="Times New Roman"/>
                <w:sz w:val="21"/>
                <w:szCs w:val="21"/>
              </w:rPr>
            </w:pPr>
            <w:r>
              <w:rPr>
                <w:rFonts w:ascii="Times New Roman" w:hAnsi="Times New Roman"/>
                <w:sz w:val="21"/>
                <w:szCs w:val="21"/>
              </w:rPr>
              <w:t>/</w:t>
            </w:r>
          </w:p>
        </w:tc>
        <w:tc>
          <w:tcPr>
            <w:tcW w:w="1099" w:type="dxa"/>
            <w:vMerge w:val="continue"/>
            <w:vAlign w:val="center"/>
          </w:tcPr>
          <w:p>
            <w:pPr>
              <w:pStyle w:val="24"/>
              <w:spacing w:line="240" w:lineRule="auto"/>
              <w:ind w:left="480" w:firstLine="0" w:firstLineChars="0"/>
              <w:jc w:val="center"/>
              <w:rPr>
                <w:rFonts w:ascii="Times New Roman" w:hAnsi="Times New Roman"/>
                <w:sz w:val="21"/>
                <w:szCs w:val="21"/>
              </w:rPr>
            </w:pPr>
          </w:p>
        </w:tc>
      </w:tr>
    </w:tbl>
    <w:p>
      <w:pPr>
        <w:ind w:firstLine="480"/>
      </w:pPr>
      <w:r>
        <w:rPr>
          <w:rFonts w:hint="eastAsia"/>
        </w:rPr>
        <w:t>项目大气环境影响评价自查</w:t>
      </w:r>
      <w:r>
        <w:t>表见表4.4-22。</w:t>
      </w:r>
    </w:p>
    <w:p>
      <w:pPr>
        <w:pStyle w:val="171"/>
        <w:spacing w:before="78" w:after="78" w:line="240" w:lineRule="auto"/>
        <w:ind w:left="-72" w:right="-72" w:firstLine="482"/>
        <w:rPr>
          <w:rFonts w:ascii="Times New Roman" w:hAnsi="Times New Roman"/>
          <w:b/>
        </w:rPr>
      </w:pPr>
      <w:r>
        <w:rPr>
          <w:rFonts w:ascii="Times New Roman" w:hAnsi="Times New Roman"/>
          <w:b/>
          <w:szCs w:val="24"/>
        </w:rPr>
        <w:t>表4.4-22  大气</w:t>
      </w:r>
      <w:r>
        <w:rPr>
          <w:rFonts w:hint="eastAsia"/>
          <w:b/>
          <w:szCs w:val="24"/>
        </w:rPr>
        <w:t>环境影响评价自查表</w:t>
      </w:r>
    </w:p>
    <w:tbl>
      <w:tblPr>
        <w:tblStyle w:val="56"/>
        <w:tblW w:w="991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2"/>
        <w:gridCol w:w="1257"/>
        <w:gridCol w:w="1079"/>
        <w:gridCol w:w="567"/>
        <w:gridCol w:w="161"/>
        <w:gridCol w:w="36"/>
        <w:gridCol w:w="1105"/>
        <w:gridCol w:w="327"/>
        <w:gridCol w:w="883"/>
        <w:gridCol w:w="177"/>
        <w:gridCol w:w="61"/>
        <w:gridCol w:w="251"/>
        <w:gridCol w:w="498"/>
        <w:gridCol w:w="412"/>
        <w:gridCol w:w="74"/>
        <w:gridCol w:w="146"/>
        <w:gridCol w:w="216"/>
        <w:gridCol w:w="440"/>
        <w:gridCol w:w="120"/>
        <w:gridCol w:w="14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89" w:type="dxa"/>
            <w:gridSpan w:val="2"/>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工作内容</w:t>
            </w:r>
          </w:p>
        </w:tc>
        <w:tc>
          <w:tcPr>
            <w:tcW w:w="8029" w:type="dxa"/>
            <w:gridSpan w:val="1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restart"/>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评价等级</w:t>
            </w:r>
          </w:p>
          <w:p>
            <w:pPr>
              <w:pStyle w:val="173"/>
              <w:spacing w:before="0" w:after="0" w:line="240" w:lineRule="auto"/>
              <w:ind w:firstLine="0" w:firstLineChars="0"/>
              <w:rPr>
                <w:rFonts w:ascii="Times New Roman" w:hAnsi="Times New Roman"/>
                <w:szCs w:val="21"/>
              </w:rPr>
            </w:pPr>
            <w:r>
              <w:rPr>
                <w:rFonts w:ascii="Times New Roman" w:hAnsi="Times New Roman"/>
                <w:szCs w:val="21"/>
              </w:rPr>
              <w:t>与</w:t>
            </w:r>
          </w:p>
          <w:p>
            <w:pPr>
              <w:pStyle w:val="173"/>
              <w:spacing w:before="0" w:after="0" w:line="240" w:lineRule="auto"/>
              <w:ind w:firstLine="0" w:firstLineChars="0"/>
              <w:rPr>
                <w:rFonts w:ascii="Times New Roman" w:hAnsi="Times New Roman"/>
                <w:szCs w:val="21"/>
              </w:rPr>
            </w:pPr>
            <w:r>
              <w:rPr>
                <w:rFonts w:ascii="Times New Roman" w:hAnsi="Times New Roman"/>
                <w:szCs w:val="21"/>
              </w:rPr>
              <w:t>范围</w:t>
            </w: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评价等级</w:t>
            </w:r>
          </w:p>
        </w:tc>
        <w:tc>
          <w:tcPr>
            <w:tcW w:w="2948" w:type="dxa"/>
            <w:gridSpan w:val="5"/>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一级□</w:t>
            </w:r>
          </w:p>
        </w:tc>
        <w:tc>
          <w:tcPr>
            <w:tcW w:w="2683" w:type="dxa"/>
            <w:gridSpan w:val="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二级</w:t>
            </w:r>
            <w:r>
              <w:rPr>
                <w:rFonts w:ascii="Times New Roman" w:hAnsi="Times New Roman"/>
                <w:szCs w:val="21"/>
                <w:shd w:val="clear" w:color="auto" w:fill="FFFFFF"/>
              </w:rPr>
              <w:t>☑</w:t>
            </w:r>
          </w:p>
        </w:tc>
        <w:tc>
          <w:tcPr>
            <w:tcW w:w="2398" w:type="dxa"/>
            <w:gridSpan w:val="5"/>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三级</w:t>
            </w:r>
            <w:r>
              <w:rPr>
                <w:rFonts w:ascii="Times New Roman" w:hAnsi="Times New Roman"/>
                <w:szCs w:val="21"/>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continue"/>
            <w:vAlign w:val="center"/>
          </w:tcPr>
          <w:p>
            <w:pPr>
              <w:pStyle w:val="173"/>
              <w:spacing w:before="0" w:after="0" w:line="240" w:lineRule="auto"/>
              <w:ind w:firstLine="0" w:firstLineChars="0"/>
              <w:rPr>
                <w:rFonts w:ascii="Times New Roman" w:hAnsi="Times New Roman"/>
                <w:szCs w:val="21"/>
              </w:rPr>
            </w:pP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评价范围</w:t>
            </w:r>
          </w:p>
        </w:tc>
        <w:tc>
          <w:tcPr>
            <w:tcW w:w="2948" w:type="dxa"/>
            <w:gridSpan w:val="5"/>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边长=50km□</w:t>
            </w:r>
          </w:p>
        </w:tc>
        <w:tc>
          <w:tcPr>
            <w:tcW w:w="2683" w:type="dxa"/>
            <w:gridSpan w:val="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边长5~50km□</w:t>
            </w:r>
          </w:p>
        </w:tc>
        <w:tc>
          <w:tcPr>
            <w:tcW w:w="2398" w:type="dxa"/>
            <w:gridSpan w:val="5"/>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边长=5km☑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restart"/>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评价</w:t>
            </w:r>
          </w:p>
          <w:p>
            <w:pPr>
              <w:pStyle w:val="173"/>
              <w:spacing w:before="0" w:after="0" w:line="240" w:lineRule="auto"/>
              <w:ind w:firstLine="0" w:firstLineChars="0"/>
              <w:rPr>
                <w:rFonts w:ascii="Times New Roman" w:hAnsi="Times New Roman"/>
                <w:szCs w:val="21"/>
              </w:rPr>
            </w:pPr>
            <w:r>
              <w:rPr>
                <w:rFonts w:ascii="Times New Roman" w:hAnsi="Times New Roman"/>
                <w:szCs w:val="21"/>
              </w:rPr>
              <w:t>因子</w:t>
            </w: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SO</w:t>
            </w:r>
            <w:r>
              <w:rPr>
                <w:rFonts w:ascii="Times New Roman" w:hAnsi="Times New Roman"/>
                <w:szCs w:val="21"/>
                <w:vertAlign w:val="subscript"/>
              </w:rPr>
              <w:t>2</w:t>
            </w:r>
            <w:r>
              <w:rPr>
                <w:rFonts w:ascii="Times New Roman" w:hAnsi="Times New Roman"/>
                <w:szCs w:val="21"/>
              </w:rPr>
              <w:t>+NOx排放量</w:t>
            </w:r>
          </w:p>
        </w:tc>
        <w:tc>
          <w:tcPr>
            <w:tcW w:w="2948" w:type="dxa"/>
            <w:gridSpan w:val="5"/>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≥2000t/a□</w:t>
            </w:r>
          </w:p>
        </w:tc>
        <w:tc>
          <w:tcPr>
            <w:tcW w:w="2683" w:type="dxa"/>
            <w:gridSpan w:val="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500~2000t/a□</w:t>
            </w:r>
          </w:p>
        </w:tc>
        <w:tc>
          <w:tcPr>
            <w:tcW w:w="2398" w:type="dxa"/>
            <w:gridSpan w:val="5"/>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&lt;500t/a</w:t>
            </w:r>
            <w:r>
              <w:rPr>
                <w:rFonts w:ascii="Times New Roman" w:hAnsi="Times New Roman"/>
                <w:szCs w:val="21"/>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continue"/>
            <w:vAlign w:val="center"/>
          </w:tcPr>
          <w:p>
            <w:pPr>
              <w:pStyle w:val="173"/>
              <w:spacing w:before="0" w:after="0" w:line="240" w:lineRule="auto"/>
              <w:ind w:firstLine="0" w:firstLineChars="0"/>
              <w:rPr>
                <w:rFonts w:ascii="Times New Roman" w:hAnsi="Times New Roman"/>
                <w:szCs w:val="21"/>
              </w:rPr>
            </w:pP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评价因子</w:t>
            </w:r>
          </w:p>
        </w:tc>
        <w:tc>
          <w:tcPr>
            <w:tcW w:w="4335" w:type="dxa"/>
            <w:gridSpan w:val="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基本污染物（SO</w:t>
            </w:r>
            <w:r>
              <w:rPr>
                <w:rFonts w:ascii="Times New Roman" w:hAnsi="Times New Roman"/>
                <w:szCs w:val="21"/>
                <w:vertAlign w:val="subscript"/>
              </w:rPr>
              <w:t>2</w:t>
            </w:r>
            <w:r>
              <w:rPr>
                <w:rFonts w:ascii="Times New Roman" w:hAnsi="Times New Roman"/>
                <w:szCs w:val="21"/>
              </w:rPr>
              <w:t>、</w:t>
            </w:r>
            <w:r>
              <w:rPr>
                <w:rFonts w:ascii="Times New Roman" w:hAnsi="Times New Roman"/>
                <w:spacing w:val="8"/>
                <w:szCs w:val="21"/>
              </w:rPr>
              <w:t>NO</w:t>
            </w:r>
            <w:r>
              <w:rPr>
                <w:rFonts w:ascii="Times New Roman" w:hAnsi="Times New Roman"/>
                <w:spacing w:val="8"/>
                <w:szCs w:val="21"/>
                <w:vertAlign w:val="subscript"/>
              </w:rPr>
              <w:t>2</w:t>
            </w:r>
            <w:r>
              <w:rPr>
                <w:rFonts w:ascii="Times New Roman" w:hAnsi="Times New Roman"/>
                <w:spacing w:val="8"/>
                <w:szCs w:val="21"/>
              </w:rPr>
              <w:t>、PM</w:t>
            </w:r>
            <w:r>
              <w:rPr>
                <w:rFonts w:ascii="Times New Roman" w:hAnsi="Times New Roman"/>
                <w:spacing w:val="8"/>
                <w:szCs w:val="21"/>
                <w:vertAlign w:val="subscript"/>
              </w:rPr>
              <w:t>10</w:t>
            </w:r>
            <w:r>
              <w:rPr>
                <w:rFonts w:ascii="Times New Roman" w:hAnsi="Times New Roman"/>
                <w:szCs w:val="21"/>
              </w:rPr>
              <w:t>、</w:t>
            </w:r>
            <w:r>
              <w:rPr>
                <w:rFonts w:ascii="Times New Roman" w:hAnsi="Times New Roman"/>
                <w:spacing w:val="8"/>
                <w:szCs w:val="21"/>
              </w:rPr>
              <w:t>PM</w:t>
            </w:r>
            <w:r>
              <w:rPr>
                <w:rFonts w:ascii="Times New Roman" w:hAnsi="Times New Roman"/>
                <w:spacing w:val="8"/>
                <w:szCs w:val="21"/>
                <w:vertAlign w:val="subscript"/>
              </w:rPr>
              <w:t>2.5</w:t>
            </w:r>
            <w:r>
              <w:rPr>
                <w:rFonts w:ascii="Times New Roman" w:hAnsi="Times New Roman"/>
                <w:szCs w:val="21"/>
              </w:rPr>
              <w:t>、CO、</w:t>
            </w:r>
            <w:r>
              <w:rPr>
                <w:rFonts w:ascii="Times New Roman" w:hAnsi="Times New Roman"/>
                <w:spacing w:val="8"/>
                <w:szCs w:val="21"/>
              </w:rPr>
              <w:t>O</w:t>
            </w:r>
            <w:r>
              <w:rPr>
                <w:rFonts w:ascii="Times New Roman" w:hAnsi="Times New Roman"/>
                <w:spacing w:val="8"/>
                <w:szCs w:val="21"/>
                <w:vertAlign w:val="subscript"/>
              </w:rPr>
              <w:t>3</w:t>
            </w:r>
            <w:r>
              <w:rPr>
                <w:rFonts w:ascii="Times New Roman" w:hAnsi="Times New Roman"/>
                <w:szCs w:val="21"/>
              </w:rPr>
              <w:t>）</w:t>
            </w:r>
          </w:p>
          <w:p>
            <w:pPr>
              <w:pStyle w:val="173"/>
              <w:spacing w:before="0" w:after="0" w:line="240" w:lineRule="auto"/>
              <w:ind w:firstLine="0" w:firstLineChars="0"/>
              <w:rPr>
                <w:rFonts w:ascii="Times New Roman" w:hAnsi="Times New Roman"/>
                <w:szCs w:val="21"/>
              </w:rPr>
            </w:pPr>
            <w:r>
              <w:rPr>
                <w:rFonts w:ascii="Times New Roman" w:hAnsi="Times New Roman"/>
                <w:szCs w:val="21"/>
              </w:rPr>
              <w:t>其他污染物（</w:t>
            </w:r>
            <w:r>
              <w:rPr>
                <w:rFonts w:hint="eastAsia" w:ascii="Times New Roman" w:hAnsi="Times New Roman"/>
                <w:szCs w:val="21"/>
              </w:rPr>
              <w:t>硫化氢、非甲烷总烃</w:t>
            </w:r>
            <w:r>
              <w:rPr>
                <w:rFonts w:ascii="Times New Roman" w:hAnsi="Times New Roman"/>
                <w:szCs w:val="21"/>
              </w:rPr>
              <w:t>）</w:t>
            </w:r>
          </w:p>
        </w:tc>
        <w:tc>
          <w:tcPr>
            <w:tcW w:w="3694" w:type="dxa"/>
            <w:gridSpan w:val="10"/>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包括二次PM</w:t>
            </w:r>
            <w:r>
              <w:rPr>
                <w:rFonts w:ascii="Times New Roman" w:hAnsi="Times New Roman"/>
                <w:szCs w:val="21"/>
                <w:vertAlign w:val="subscript"/>
              </w:rPr>
              <w:t>2.5</w:t>
            </w:r>
            <w:r>
              <w:rPr>
                <w:rFonts w:ascii="Times New Roman" w:hAnsi="Times New Roman"/>
                <w:szCs w:val="21"/>
              </w:rPr>
              <w:t>□</w:t>
            </w:r>
          </w:p>
          <w:p>
            <w:pPr>
              <w:pStyle w:val="173"/>
              <w:spacing w:before="0" w:after="0" w:line="240" w:lineRule="auto"/>
              <w:ind w:firstLine="0" w:firstLineChars="0"/>
              <w:rPr>
                <w:rFonts w:ascii="Times New Roman" w:hAnsi="Times New Roman"/>
                <w:szCs w:val="21"/>
              </w:rPr>
            </w:pPr>
            <w:r>
              <w:rPr>
                <w:rFonts w:ascii="Times New Roman" w:hAnsi="Times New Roman"/>
                <w:szCs w:val="21"/>
              </w:rPr>
              <w:t>不包括二次PM</w:t>
            </w:r>
            <w:r>
              <w:rPr>
                <w:rFonts w:ascii="Times New Roman" w:hAnsi="Times New Roman"/>
                <w:szCs w:val="21"/>
                <w:vertAlign w:val="subscript"/>
              </w:rPr>
              <w:t>2.5</w:t>
            </w:r>
            <w:r>
              <w:rPr>
                <w:rFonts w:ascii="Times New Roman" w:hAnsi="Times New Roman"/>
                <w:szCs w:val="21"/>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评价</w:t>
            </w:r>
          </w:p>
          <w:p>
            <w:pPr>
              <w:pStyle w:val="173"/>
              <w:spacing w:before="0" w:after="0" w:line="240" w:lineRule="auto"/>
              <w:ind w:firstLine="0" w:firstLineChars="0"/>
              <w:rPr>
                <w:rFonts w:ascii="Times New Roman" w:hAnsi="Times New Roman"/>
                <w:szCs w:val="21"/>
              </w:rPr>
            </w:pPr>
            <w:r>
              <w:rPr>
                <w:rFonts w:ascii="Times New Roman" w:hAnsi="Times New Roman"/>
                <w:szCs w:val="21"/>
              </w:rPr>
              <w:t>标准</w:t>
            </w: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评价标准</w:t>
            </w:r>
          </w:p>
        </w:tc>
        <w:tc>
          <w:tcPr>
            <w:tcW w:w="1807" w:type="dxa"/>
            <w:gridSpan w:val="3"/>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国家标准</w:t>
            </w:r>
            <w:r>
              <w:rPr>
                <w:rFonts w:ascii="Times New Roman" w:hAnsi="Times New Roman"/>
                <w:szCs w:val="21"/>
                <w:shd w:val="clear" w:color="auto" w:fill="FFFFFF"/>
              </w:rPr>
              <w:t>☑</w:t>
            </w:r>
          </w:p>
        </w:tc>
        <w:tc>
          <w:tcPr>
            <w:tcW w:w="2528" w:type="dxa"/>
            <w:gridSpan w:val="5"/>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地方标准☑</w:t>
            </w:r>
          </w:p>
        </w:tc>
        <w:tc>
          <w:tcPr>
            <w:tcW w:w="1296" w:type="dxa"/>
            <w:gridSpan w:val="5"/>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附录D☑</w:t>
            </w:r>
          </w:p>
        </w:tc>
        <w:tc>
          <w:tcPr>
            <w:tcW w:w="2398" w:type="dxa"/>
            <w:gridSpan w:val="5"/>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其他标准□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restart"/>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现状</w:t>
            </w:r>
          </w:p>
          <w:p>
            <w:pPr>
              <w:pStyle w:val="173"/>
              <w:spacing w:before="0" w:after="0" w:line="240" w:lineRule="auto"/>
              <w:ind w:firstLine="0" w:firstLineChars="0"/>
              <w:rPr>
                <w:rFonts w:ascii="Times New Roman" w:hAnsi="Times New Roman"/>
                <w:szCs w:val="21"/>
              </w:rPr>
            </w:pPr>
            <w:r>
              <w:rPr>
                <w:rFonts w:ascii="Times New Roman" w:hAnsi="Times New Roman"/>
                <w:szCs w:val="21"/>
              </w:rPr>
              <w:t>评价</w:t>
            </w: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环境功能区</w:t>
            </w:r>
          </w:p>
        </w:tc>
        <w:tc>
          <w:tcPr>
            <w:tcW w:w="2948" w:type="dxa"/>
            <w:gridSpan w:val="5"/>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一类区□</w:t>
            </w:r>
          </w:p>
        </w:tc>
        <w:tc>
          <w:tcPr>
            <w:tcW w:w="2197" w:type="dxa"/>
            <w:gridSpan w:val="6"/>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二类区</w:t>
            </w:r>
            <w:r>
              <w:rPr>
                <w:rFonts w:ascii="Times New Roman" w:hAnsi="Times New Roman"/>
                <w:szCs w:val="21"/>
                <w:shd w:val="clear" w:color="auto" w:fill="FFFFFF"/>
              </w:rPr>
              <w:t>☑</w:t>
            </w:r>
          </w:p>
        </w:tc>
        <w:tc>
          <w:tcPr>
            <w:tcW w:w="2884" w:type="dxa"/>
            <w:gridSpan w:val="7"/>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一类区和二类区□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continue"/>
            <w:vAlign w:val="center"/>
          </w:tcPr>
          <w:p>
            <w:pPr>
              <w:pStyle w:val="173"/>
              <w:spacing w:before="0" w:after="0" w:line="240" w:lineRule="auto"/>
              <w:ind w:firstLine="0" w:firstLineChars="0"/>
              <w:rPr>
                <w:rFonts w:ascii="Times New Roman" w:hAnsi="Times New Roman"/>
                <w:szCs w:val="21"/>
              </w:rPr>
            </w:pP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评价基准年</w:t>
            </w:r>
          </w:p>
        </w:tc>
        <w:tc>
          <w:tcPr>
            <w:tcW w:w="8029" w:type="dxa"/>
            <w:gridSpan w:val="18"/>
            <w:tcMar>
              <w:top w:w="0" w:type="dxa"/>
              <w:left w:w="45" w:type="dxa"/>
              <w:bottom w:w="0" w:type="dxa"/>
              <w:right w:w="45" w:type="dxa"/>
            </w:tcMar>
            <w:vAlign w:val="center"/>
          </w:tcPr>
          <w:p>
            <w:pPr>
              <w:pStyle w:val="173"/>
              <w:spacing w:before="0" w:after="0" w:line="240" w:lineRule="auto"/>
              <w:ind w:firstLine="0" w:firstLineChars="0"/>
              <w:jc w:val="left"/>
              <w:rPr>
                <w:rFonts w:ascii="Times New Roman" w:hAnsi="Times New Roman"/>
                <w:szCs w:val="21"/>
              </w:rPr>
            </w:pPr>
            <w:r>
              <w:rPr>
                <w:rFonts w:ascii="Times New Roman" w:hAnsi="Times New Roman"/>
                <w:szCs w:val="21"/>
              </w:rPr>
              <w:t>（2018）年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continue"/>
            <w:vAlign w:val="center"/>
          </w:tcPr>
          <w:p>
            <w:pPr>
              <w:pStyle w:val="173"/>
              <w:spacing w:before="0" w:after="0" w:line="240" w:lineRule="auto"/>
              <w:ind w:firstLine="0" w:firstLineChars="0"/>
              <w:rPr>
                <w:rFonts w:ascii="Times New Roman" w:hAnsi="Times New Roman"/>
                <w:szCs w:val="21"/>
              </w:rPr>
            </w:pP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环境空气质量现状调查数据来源</w:t>
            </w:r>
          </w:p>
        </w:tc>
        <w:tc>
          <w:tcPr>
            <w:tcW w:w="2948" w:type="dxa"/>
            <w:gridSpan w:val="5"/>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长期例行监测数据□</w:t>
            </w:r>
          </w:p>
        </w:tc>
        <w:tc>
          <w:tcPr>
            <w:tcW w:w="2683" w:type="dxa"/>
            <w:gridSpan w:val="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主管部门发布的数据</w:t>
            </w:r>
            <w:r>
              <w:rPr>
                <w:rFonts w:ascii="Times New Roman" w:hAnsi="Times New Roman"/>
                <w:szCs w:val="21"/>
                <w:shd w:val="clear" w:color="auto" w:fill="FFFFFF"/>
              </w:rPr>
              <w:t>☑</w:t>
            </w:r>
          </w:p>
        </w:tc>
        <w:tc>
          <w:tcPr>
            <w:tcW w:w="2398" w:type="dxa"/>
            <w:gridSpan w:val="5"/>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现状补充监测</w:t>
            </w:r>
            <w:r>
              <w:rPr>
                <w:rFonts w:ascii="Times New Roman" w:hAnsi="Times New Roman"/>
                <w:szCs w:val="21"/>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continue"/>
            <w:vAlign w:val="center"/>
          </w:tcPr>
          <w:p>
            <w:pPr>
              <w:pStyle w:val="173"/>
              <w:spacing w:before="0" w:after="0" w:line="240" w:lineRule="auto"/>
              <w:ind w:firstLine="0" w:firstLineChars="0"/>
              <w:rPr>
                <w:rFonts w:ascii="Times New Roman" w:hAnsi="Times New Roman"/>
                <w:szCs w:val="21"/>
              </w:rPr>
            </w:pP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现状评价</w:t>
            </w:r>
          </w:p>
        </w:tc>
        <w:tc>
          <w:tcPr>
            <w:tcW w:w="4396" w:type="dxa"/>
            <w:gridSpan w:val="9"/>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达标区□</w:t>
            </w:r>
          </w:p>
        </w:tc>
        <w:tc>
          <w:tcPr>
            <w:tcW w:w="3633" w:type="dxa"/>
            <w:gridSpan w:val="9"/>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不达标区</w:t>
            </w:r>
            <w:r>
              <w:rPr>
                <w:rFonts w:ascii="Times New Roman" w:hAnsi="Times New Roman"/>
                <w:szCs w:val="21"/>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污染源调查</w:t>
            </w: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调查内容</w:t>
            </w:r>
          </w:p>
        </w:tc>
        <w:tc>
          <w:tcPr>
            <w:tcW w:w="2948" w:type="dxa"/>
            <w:gridSpan w:val="5"/>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本项目正常排放源</w:t>
            </w:r>
            <w:r>
              <w:rPr>
                <w:rFonts w:ascii="Times New Roman" w:hAnsi="Times New Roman"/>
                <w:szCs w:val="21"/>
                <w:shd w:val="clear" w:color="auto" w:fill="FFFFFF"/>
              </w:rPr>
              <w:t>☑</w:t>
            </w:r>
          </w:p>
          <w:p>
            <w:pPr>
              <w:pStyle w:val="173"/>
              <w:spacing w:before="0" w:after="0" w:line="240" w:lineRule="auto"/>
              <w:ind w:firstLine="0" w:firstLineChars="0"/>
              <w:rPr>
                <w:rFonts w:ascii="Times New Roman" w:hAnsi="Times New Roman"/>
                <w:szCs w:val="21"/>
              </w:rPr>
            </w:pPr>
            <w:r>
              <w:rPr>
                <w:rFonts w:ascii="Times New Roman" w:hAnsi="Times New Roman"/>
                <w:szCs w:val="21"/>
              </w:rPr>
              <w:t>本项目非正常排放源□</w:t>
            </w:r>
          </w:p>
          <w:p>
            <w:pPr>
              <w:pStyle w:val="173"/>
              <w:spacing w:before="0" w:after="0" w:line="240" w:lineRule="auto"/>
              <w:ind w:firstLine="0" w:firstLineChars="0"/>
              <w:rPr>
                <w:rFonts w:ascii="Times New Roman" w:hAnsi="Times New Roman"/>
                <w:szCs w:val="21"/>
              </w:rPr>
            </w:pPr>
            <w:r>
              <w:rPr>
                <w:rFonts w:ascii="Times New Roman" w:hAnsi="Times New Roman"/>
                <w:szCs w:val="21"/>
              </w:rPr>
              <w:t>现有污染源□</w:t>
            </w:r>
          </w:p>
        </w:tc>
        <w:tc>
          <w:tcPr>
            <w:tcW w:w="1448" w:type="dxa"/>
            <w:gridSpan w:val="4"/>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拟替代的污染源</w:t>
            </w:r>
            <w:r>
              <w:rPr>
                <w:rFonts w:ascii="Times New Roman" w:hAnsi="Times New Roman"/>
                <w:szCs w:val="21"/>
                <w:shd w:val="clear" w:color="auto" w:fill="FFFFFF"/>
              </w:rPr>
              <w:t>☑</w:t>
            </w:r>
          </w:p>
        </w:tc>
        <w:tc>
          <w:tcPr>
            <w:tcW w:w="2037" w:type="dxa"/>
            <w:gridSpan w:val="7"/>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其他在建、拟建项目污染源□</w:t>
            </w:r>
          </w:p>
        </w:tc>
        <w:tc>
          <w:tcPr>
            <w:tcW w:w="1596" w:type="dxa"/>
            <w:gridSpan w:val="2"/>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区域污染源□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restart"/>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大气环境影响预测与评价</w:t>
            </w: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预测模型</w:t>
            </w:r>
          </w:p>
        </w:tc>
        <w:tc>
          <w:tcPr>
            <w:tcW w:w="1079"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AERMOD</w:t>
            </w:r>
          </w:p>
          <w:p>
            <w:pPr>
              <w:pStyle w:val="173"/>
              <w:spacing w:before="0" w:after="0" w:line="240" w:lineRule="auto"/>
              <w:ind w:firstLine="0" w:firstLineChars="0"/>
              <w:rPr>
                <w:rFonts w:ascii="Times New Roman" w:hAnsi="Times New Roman"/>
                <w:szCs w:val="21"/>
              </w:rPr>
            </w:pPr>
            <w:r>
              <w:rPr>
                <w:rFonts w:ascii="Times New Roman" w:hAnsi="Times New Roman"/>
                <w:szCs w:val="21"/>
              </w:rPr>
              <w:t>□</w:t>
            </w:r>
          </w:p>
        </w:tc>
        <w:tc>
          <w:tcPr>
            <w:tcW w:w="764" w:type="dxa"/>
            <w:gridSpan w:val="3"/>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b/>
                <w:bCs/>
                <w:szCs w:val="21"/>
              </w:rPr>
            </w:pPr>
            <w:r>
              <w:rPr>
                <w:rFonts w:ascii="Times New Roman" w:hAnsi="Times New Roman"/>
                <w:szCs w:val="21"/>
              </w:rPr>
              <w:t>ADMS□</w:t>
            </w:r>
          </w:p>
        </w:tc>
        <w:tc>
          <w:tcPr>
            <w:tcW w:w="1432" w:type="dxa"/>
            <w:gridSpan w:val="2"/>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AUSTAL2000</w:t>
            </w:r>
          </w:p>
          <w:p>
            <w:pPr>
              <w:pStyle w:val="173"/>
              <w:spacing w:before="0" w:after="0" w:line="240" w:lineRule="auto"/>
              <w:ind w:firstLine="0" w:firstLineChars="0"/>
              <w:rPr>
                <w:rFonts w:ascii="Times New Roman" w:hAnsi="Times New Roman"/>
                <w:szCs w:val="21"/>
              </w:rPr>
            </w:pPr>
            <w:r>
              <w:rPr>
                <w:rFonts w:ascii="Times New Roman" w:hAnsi="Times New Roman"/>
                <w:szCs w:val="21"/>
              </w:rPr>
              <w:t>□</w:t>
            </w:r>
          </w:p>
        </w:tc>
        <w:tc>
          <w:tcPr>
            <w:tcW w:w="1121" w:type="dxa"/>
            <w:gridSpan w:val="3"/>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EDMS/</w:t>
            </w:r>
          </w:p>
          <w:p>
            <w:pPr>
              <w:pStyle w:val="173"/>
              <w:spacing w:before="0" w:after="0" w:line="240" w:lineRule="auto"/>
              <w:ind w:firstLine="0" w:firstLineChars="0"/>
              <w:rPr>
                <w:rFonts w:ascii="Times New Roman" w:hAnsi="Times New Roman"/>
                <w:szCs w:val="21"/>
              </w:rPr>
            </w:pPr>
            <w:r>
              <w:rPr>
                <w:rFonts w:ascii="Times New Roman" w:hAnsi="Times New Roman"/>
                <w:szCs w:val="21"/>
              </w:rPr>
              <w:t>AEDT□</w:t>
            </w:r>
          </w:p>
        </w:tc>
        <w:tc>
          <w:tcPr>
            <w:tcW w:w="1161" w:type="dxa"/>
            <w:gridSpan w:val="3"/>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b/>
                <w:bCs/>
                <w:szCs w:val="21"/>
              </w:rPr>
            </w:pPr>
            <w:r>
              <w:rPr>
                <w:rFonts w:ascii="Times New Roman" w:hAnsi="Times New Roman"/>
                <w:szCs w:val="21"/>
              </w:rPr>
              <w:t>CALPUFF□</w:t>
            </w:r>
          </w:p>
        </w:tc>
        <w:tc>
          <w:tcPr>
            <w:tcW w:w="996" w:type="dxa"/>
            <w:gridSpan w:val="5"/>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b/>
                <w:bCs/>
                <w:szCs w:val="21"/>
              </w:rPr>
            </w:pPr>
            <w:r>
              <w:rPr>
                <w:rFonts w:ascii="Times New Roman" w:hAnsi="Times New Roman"/>
                <w:szCs w:val="21"/>
              </w:rPr>
              <w:t>网络模型□</w:t>
            </w:r>
          </w:p>
        </w:tc>
        <w:tc>
          <w:tcPr>
            <w:tcW w:w="1476"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b/>
                <w:bCs/>
                <w:szCs w:val="21"/>
              </w:rPr>
            </w:pPr>
            <w:r>
              <w:rPr>
                <w:rFonts w:ascii="Times New Roman" w:hAnsi="Times New Roman"/>
                <w:szCs w:val="21"/>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continue"/>
            <w:vAlign w:val="center"/>
          </w:tcPr>
          <w:p>
            <w:pPr>
              <w:pStyle w:val="173"/>
              <w:spacing w:before="0" w:after="0" w:line="240" w:lineRule="auto"/>
              <w:ind w:firstLine="0" w:firstLineChars="0"/>
              <w:rPr>
                <w:rFonts w:ascii="Times New Roman" w:hAnsi="Times New Roman"/>
                <w:szCs w:val="21"/>
              </w:rPr>
            </w:pP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预测因子</w:t>
            </w:r>
          </w:p>
        </w:tc>
        <w:tc>
          <w:tcPr>
            <w:tcW w:w="3275" w:type="dxa"/>
            <w:gridSpan w:val="6"/>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预测因子（</w:t>
            </w:r>
            <w:r>
              <w:rPr>
                <w:rFonts w:hint="eastAsia" w:ascii="Times New Roman" w:hAnsi="Times New Roman"/>
                <w:szCs w:val="21"/>
              </w:rPr>
              <w:t>硫化氢、氨氮</w:t>
            </w:r>
            <w:r>
              <w:rPr>
                <w:rFonts w:ascii="Times New Roman" w:hAnsi="Times New Roman"/>
                <w:szCs w:val="21"/>
              </w:rPr>
              <w:t>）</w:t>
            </w:r>
          </w:p>
        </w:tc>
        <w:tc>
          <w:tcPr>
            <w:tcW w:w="4754" w:type="dxa"/>
            <w:gridSpan w:val="12"/>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包括二次PM</w:t>
            </w:r>
            <w:r>
              <w:rPr>
                <w:rFonts w:ascii="Times New Roman" w:hAnsi="Times New Roman"/>
                <w:szCs w:val="21"/>
                <w:vertAlign w:val="subscript"/>
              </w:rPr>
              <w:t>2.5</w:t>
            </w:r>
            <w:r>
              <w:rPr>
                <w:rFonts w:ascii="Times New Roman" w:hAnsi="Times New Roman"/>
                <w:szCs w:val="21"/>
              </w:rPr>
              <w:t>□</w:t>
            </w:r>
          </w:p>
          <w:p>
            <w:pPr>
              <w:pStyle w:val="173"/>
              <w:spacing w:before="0" w:after="0" w:line="240" w:lineRule="auto"/>
              <w:ind w:firstLine="0" w:firstLineChars="0"/>
              <w:rPr>
                <w:rFonts w:ascii="Times New Roman" w:hAnsi="Times New Roman"/>
                <w:szCs w:val="21"/>
              </w:rPr>
            </w:pPr>
            <w:r>
              <w:rPr>
                <w:rFonts w:ascii="Times New Roman" w:hAnsi="Times New Roman"/>
                <w:szCs w:val="21"/>
              </w:rPr>
              <w:t>不包括二次PM</w:t>
            </w:r>
            <w:r>
              <w:rPr>
                <w:rFonts w:ascii="Times New Roman" w:hAnsi="Times New Roman"/>
                <w:szCs w:val="21"/>
                <w:vertAlign w:val="subscript"/>
              </w:rPr>
              <w:t>2.5</w:t>
            </w:r>
            <w:r>
              <w:rPr>
                <w:rFonts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continue"/>
            <w:vAlign w:val="center"/>
          </w:tcPr>
          <w:p>
            <w:pPr>
              <w:pStyle w:val="173"/>
              <w:spacing w:before="0" w:after="0" w:line="240" w:lineRule="auto"/>
              <w:ind w:firstLine="0" w:firstLineChars="0"/>
              <w:rPr>
                <w:rFonts w:ascii="Times New Roman" w:hAnsi="Times New Roman"/>
                <w:szCs w:val="21"/>
              </w:rPr>
            </w:pP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正常排放短期浓度贡献值</w:t>
            </w:r>
          </w:p>
        </w:tc>
        <w:tc>
          <w:tcPr>
            <w:tcW w:w="3275" w:type="dxa"/>
            <w:gridSpan w:val="6"/>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本项目</w:t>
            </w:r>
            <w:r>
              <w:rPr>
                <w:rFonts w:ascii="Times New Roman" w:hAnsi="Times New Roman"/>
                <w:szCs w:val="21"/>
              </w:rPr>
              <w:t>最大占标率≤100%☑</w:t>
            </w:r>
          </w:p>
        </w:tc>
        <w:tc>
          <w:tcPr>
            <w:tcW w:w="4754" w:type="dxa"/>
            <w:gridSpan w:val="12"/>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本项目</w:t>
            </w:r>
            <w:r>
              <w:rPr>
                <w:rFonts w:ascii="Times New Roman" w:hAnsi="Times New Roman"/>
                <w:szCs w:val="21"/>
              </w:rPr>
              <w:t>最大占标率&gt;100%□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continue"/>
            <w:vAlign w:val="center"/>
          </w:tcPr>
          <w:p>
            <w:pPr>
              <w:pStyle w:val="173"/>
              <w:spacing w:before="0" w:after="0" w:line="240" w:lineRule="auto"/>
              <w:ind w:firstLine="0" w:firstLineChars="0"/>
              <w:rPr>
                <w:rFonts w:ascii="Times New Roman" w:hAnsi="Times New Roman"/>
                <w:szCs w:val="21"/>
              </w:rPr>
            </w:pPr>
          </w:p>
        </w:tc>
        <w:tc>
          <w:tcPr>
            <w:tcW w:w="1257" w:type="dxa"/>
            <w:vMerge w:val="restart"/>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正常排放年均浓度贡献值</w:t>
            </w:r>
          </w:p>
        </w:tc>
        <w:tc>
          <w:tcPr>
            <w:tcW w:w="1646" w:type="dxa"/>
            <w:gridSpan w:val="2"/>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一类区</w:t>
            </w:r>
          </w:p>
        </w:tc>
        <w:tc>
          <w:tcPr>
            <w:tcW w:w="3001" w:type="dxa"/>
            <w:gridSpan w:val="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本项目</w:t>
            </w:r>
            <w:r>
              <w:rPr>
                <w:rFonts w:ascii="Times New Roman" w:hAnsi="Times New Roman"/>
                <w:szCs w:val="21"/>
              </w:rPr>
              <w:t>最大占标率≤10%□</w:t>
            </w:r>
          </w:p>
        </w:tc>
        <w:tc>
          <w:tcPr>
            <w:tcW w:w="3382" w:type="dxa"/>
            <w:gridSpan w:val="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本项目</w:t>
            </w:r>
            <w:r>
              <w:rPr>
                <w:rFonts w:ascii="Times New Roman" w:hAnsi="Times New Roman"/>
                <w:szCs w:val="21"/>
              </w:rPr>
              <w:t>最大占标率&gt;10%□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continue"/>
            <w:vAlign w:val="center"/>
          </w:tcPr>
          <w:p>
            <w:pPr>
              <w:pStyle w:val="173"/>
              <w:spacing w:before="0" w:after="0" w:line="240" w:lineRule="auto"/>
              <w:ind w:firstLine="0" w:firstLineChars="0"/>
              <w:rPr>
                <w:rFonts w:ascii="Times New Roman" w:hAnsi="Times New Roman"/>
                <w:szCs w:val="21"/>
              </w:rPr>
            </w:pPr>
          </w:p>
        </w:tc>
        <w:tc>
          <w:tcPr>
            <w:tcW w:w="1257" w:type="dxa"/>
            <w:vMerge w:val="continue"/>
            <w:vAlign w:val="center"/>
          </w:tcPr>
          <w:p>
            <w:pPr>
              <w:pStyle w:val="173"/>
              <w:spacing w:before="0" w:after="0" w:line="240" w:lineRule="auto"/>
              <w:ind w:firstLine="0" w:firstLineChars="0"/>
              <w:rPr>
                <w:rFonts w:ascii="Times New Roman" w:hAnsi="Times New Roman"/>
                <w:szCs w:val="21"/>
              </w:rPr>
            </w:pPr>
          </w:p>
        </w:tc>
        <w:tc>
          <w:tcPr>
            <w:tcW w:w="1646" w:type="dxa"/>
            <w:gridSpan w:val="2"/>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二类区</w:t>
            </w:r>
          </w:p>
        </w:tc>
        <w:tc>
          <w:tcPr>
            <w:tcW w:w="3001" w:type="dxa"/>
            <w:gridSpan w:val="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本项目</w:t>
            </w:r>
            <w:r>
              <w:rPr>
                <w:rFonts w:ascii="Times New Roman" w:hAnsi="Times New Roman"/>
                <w:szCs w:val="21"/>
              </w:rPr>
              <w:t>最大占标率≤30%□</w:t>
            </w:r>
          </w:p>
        </w:tc>
        <w:tc>
          <w:tcPr>
            <w:tcW w:w="3382" w:type="dxa"/>
            <w:gridSpan w:val="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本项目</w:t>
            </w:r>
            <w:r>
              <w:rPr>
                <w:rFonts w:ascii="Times New Roman" w:hAnsi="Times New Roman"/>
                <w:szCs w:val="21"/>
              </w:rPr>
              <w:t>最大占标率&gt;30%□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continue"/>
            <w:vAlign w:val="center"/>
          </w:tcPr>
          <w:p>
            <w:pPr>
              <w:pStyle w:val="173"/>
              <w:spacing w:before="0" w:after="0" w:line="240" w:lineRule="auto"/>
              <w:ind w:firstLine="0" w:firstLineChars="0"/>
              <w:rPr>
                <w:rFonts w:ascii="Times New Roman" w:hAnsi="Times New Roman"/>
                <w:szCs w:val="21"/>
              </w:rPr>
            </w:pP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非正常排放1h浓度贡献值</w:t>
            </w:r>
          </w:p>
        </w:tc>
        <w:tc>
          <w:tcPr>
            <w:tcW w:w="1646" w:type="dxa"/>
            <w:gridSpan w:val="2"/>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非正常持续时长（）h</w:t>
            </w:r>
          </w:p>
        </w:tc>
        <w:tc>
          <w:tcPr>
            <w:tcW w:w="3001" w:type="dxa"/>
            <w:gridSpan w:val="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非正常</w:t>
            </w:r>
            <w:r>
              <w:rPr>
                <w:rFonts w:ascii="Times New Roman" w:hAnsi="Times New Roman"/>
                <w:szCs w:val="21"/>
              </w:rPr>
              <w:t>最大占标率≤100%□</w:t>
            </w:r>
          </w:p>
        </w:tc>
        <w:tc>
          <w:tcPr>
            <w:tcW w:w="3382" w:type="dxa"/>
            <w:gridSpan w:val="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非正常</w:t>
            </w:r>
            <w:r>
              <w:rPr>
                <w:rFonts w:ascii="Times New Roman" w:hAnsi="Times New Roman"/>
                <w:szCs w:val="21"/>
              </w:rPr>
              <w:t>最大占标率&gt;100%□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continue"/>
            <w:vAlign w:val="center"/>
          </w:tcPr>
          <w:p>
            <w:pPr>
              <w:pStyle w:val="173"/>
              <w:spacing w:before="0" w:after="0" w:line="240" w:lineRule="auto"/>
              <w:ind w:firstLine="0" w:firstLineChars="0"/>
              <w:rPr>
                <w:rFonts w:ascii="Times New Roman" w:hAnsi="Times New Roman"/>
                <w:szCs w:val="21"/>
              </w:rPr>
            </w:pP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保证率日平均浓度和年平均浓度叠加值</w:t>
            </w:r>
          </w:p>
        </w:tc>
        <w:tc>
          <w:tcPr>
            <w:tcW w:w="4335" w:type="dxa"/>
            <w:gridSpan w:val="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叠加</w:t>
            </w:r>
            <w:r>
              <w:rPr>
                <w:rFonts w:ascii="Times New Roman" w:hAnsi="Times New Roman"/>
                <w:szCs w:val="21"/>
              </w:rPr>
              <w:t>达标□</w:t>
            </w:r>
          </w:p>
        </w:tc>
        <w:tc>
          <w:tcPr>
            <w:tcW w:w="3694" w:type="dxa"/>
            <w:gridSpan w:val="10"/>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C</w:t>
            </w:r>
            <w:r>
              <w:rPr>
                <w:rFonts w:ascii="Times New Roman" w:hAnsi="Times New Roman"/>
                <w:szCs w:val="21"/>
                <w:vertAlign w:val="subscript"/>
              </w:rPr>
              <w:t>叠加</w:t>
            </w:r>
            <w:r>
              <w:rPr>
                <w:rFonts w:ascii="Times New Roman" w:hAnsi="Times New Roman"/>
                <w:szCs w:val="21"/>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continue"/>
            <w:vAlign w:val="center"/>
          </w:tcPr>
          <w:p>
            <w:pPr>
              <w:pStyle w:val="173"/>
              <w:spacing w:before="0" w:after="0" w:line="240" w:lineRule="auto"/>
              <w:ind w:firstLine="0" w:firstLineChars="0"/>
              <w:rPr>
                <w:rFonts w:ascii="Times New Roman" w:hAnsi="Times New Roman"/>
                <w:szCs w:val="21"/>
              </w:rPr>
            </w:pP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区域环境质量的整体变化情况</w:t>
            </w:r>
          </w:p>
        </w:tc>
        <w:tc>
          <w:tcPr>
            <w:tcW w:w="4335" w:type="dxa"/>
            <w:gridSpan w:val="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k≤-20%</w:t>
            </w:r>
          </w:p>
        </w:tc>
        <w:tc>
          <w:tcPr>
            <w:tcW w:w="3694" w:type="dxa"/>
            <w:gridSpan w:val="10"/>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k&gt;-20%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4" w:hRule="atLeast"/>
          <w:jc w:val="center"/>
        </w:trPr>
        <w:tc>
          <w:tcPr>
            <w:tcW w:w="632" w:type="dxa"/>
            <w:vMerge w:val="restart"/>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环境监测计划</w:t>
            </w:r>
          </w:p>
        </w:tc>
        <w:tc>
          <w:tcPr>
            <w:tcW w:w="1257" w:type="dxa"/>
            <w:vMerge w:val="restart"/>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污染源监测</w:t>
            </w:r>
          </w:p>
        </w:tc>
        <w:tc>
          <w:tcPr>
            <w:tcW w:w="2948" w:type="dxa"/>
            <w:gridSpan w:val="5"/>
            <w:vMerge w:val="restart"/>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监测因子：（</w:t>
            </w:r>
            <w:r>
              <w:rPr>
                <w:rFonts w:hint="eastAsia" w:ascii="Times New Roman" w:hAnsi="Times New Roman"/>
                <w:szCs w:val="21"/>
              </w:rPr>
              <w:t>硫化氢、非甲烷总烃</w:t>
            </w:r>
            <w:r>
              <w:rPr>
                <w:rFonts w:ascii="Times New Roman" w:hAnsi="Times New Roman"/>
                <w:szCs w:val="21"/>
              </w:rPr>
              <w:t>）</w:t>
            </w:r>
          </w:p>
        </w:tc>
        <w:tc>
          <w:tcPr>
            <w:tcW w:w="2829" w:type="dxa"/>
            <w:gridSpan w:val="9"/>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有组织废气监测</w:t>
            </w:r>
            <w:r>
              <w:rPr>
                <w:rFonts w:ascii="Times New Roman" w:hAnsi="Times New Roman"/>
                <w:szCs w:val="21"/>
                <w:shd w:val="clear" w:color="auto" w:fill="FFFFFF"/>
              </w:rPr>
              <w:t>☑</w:t>
            </w:r>
          </w:p>
        </w:tc>
        <w:tc>
          <w:tcPr>
            <w:tcW w:w="2252" w:type="dxa"/>
            <w:gridSpan w:val="4"/>
            <w:vMerge w:val="restart"/>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continue"/>
            <w:vAlign w:val="center"/>
          </w:tcPr>
          <w:p>
            <w:pPr>
              <w:pStyle w:val="173"/>
              <w:spacing w:before="0" w:after="0" w:line="240" w:lineRule="auto"/>
              <w:ind w:firstLine="0" w:firstLineChars="0"/>
              <w:rPr>
                <w:rFonts w:ascii="Times New Roman" w:hAnsi="Times New Roman"/>
                <w:szCs w:val="21"/>
              </w:rPr>
            </w:pPr>
          </w:p>
        </w:tc>
        <w:tc>
          <w:tcPr>
            <w:tcW w:w="1257" w:type="dxa"/>
            <w:vMerge w:val="continue"/>
            <w:vAlign w:val="center"/>
          </w:tcPr>
          <w:p>
            <w:pPr>
              <w:pStyle w:val="173"/>
              <w:spacing w:before="0" w:after="0" w:line="240" w:lineRule="auto"/>
              <w:ind w:firstLine="0" w:firstLineChars="0"/>
              <w:rPr>
                <w:rFonts w:ascii="Times New Roman" w:hAnsi="Times New Roman"/>
                <w:szCs w:val="21"/>
              </w:rPr>
            </w:pPr>
          </w:p>
        </w:tc>
        <w:tc>
          <w:tcPr>
            <w:tcW w:w="2948" w:type="dxa"/>
            <w:gridSpan w:val="5"/>
            <w:vMerge w:val="continue"/>
            <w:vAlign w:val="center"/>
          </w:tcPr>
          <w:p>
            <w:pPr>
              <w:pStyle w:val="173"/>
              <w:spacing w:before="0" w:after="0" w:line="240" w:lineRule="auto"/>
              <w:ind w:firstLine="0" w:firstLineChars="0"/>
              <w:rPr>
                <w:rFonts w:ascii="Times New Roman" w:hAnsi="Times New Roman"/>
                <w:szCs w:val="21"/>
              </w:rPr>
            </w:pPr>
          </w:p>
        </w:tc>
        <w:tc>
          <w:tcPr>
            <w:tcW w:w="2829" w:type="dxa"/>
            <w:gridSpan w:val="9"/>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无组织废气监测</w:t>
            </w:r>
            <w:r>
              <w:rPr>
                <w:rFonts w:ascii="Times New Roman" w:hAnsi="Times New Roman"/>
                <w:szCs w:val="21"/>
                <w:shd w:val="clear" w:color="auto" w:fill="FFFFFF"/>
              </w:rPr>
              <w:t>☑</w:t>
            </w:r>
          </w:p>
        </w:tc>
        <w:tc>
          <w:tcPr>
            <w:tcW w:w="2252" w:type="dxa"/>
            <w:gridSpan w:val="4"/>
            <w:vMerge w:val="continue"/>
            <w:vAlign w:val="center"/>
          </w:tcPr>
          <w:p>
            <w:pPr>
              <w:pStyle w:val="173"/>
              <w:spacing w:before="0" w:after="0" w:line="240" w:lineRule="auto"/>
              <w:ind w:firstLine="0" w:firstLineChars="0"/>
              <w:rPr>
                <w:rFonts w:ascii="Times New Roman" w:hAnsi="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continue"/>
            <w:vAlign w:val="center"/>
          </w:tcPr>
          <w:p>
            <w:pPr>
              <w:pStyle w:val="173"/>
              <w:spacing w:before="0" w:after="0" w:line="240" w:lineRule="auto"/>
              <w:ind w:firstLine="0" w:firstLineChars="0"/>
              <w:rPr>
                <w:rFonts w:ascii="Times New Roman" w:hAnsi="Times New Roman"/>
                <w:szCs w:val="21"/>
              </w:rPr>
            </w:pP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环境质量监测</w:t>
            </w:r>
          </w:p>
        </w:tc>
        <w:tc>
          <w:tcPr>
            <w:tcW w:w="2948" w:type="dxa"/>
            <w:gridSpan w:val="5"/>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监测因子： //</w:t>
            </w:r>
          </w:p>
        </w:tc>
        <w:tc>
          <w:tcPr>
            <w:tcW w:w="2829" w:type="dxa"/>
            <w:gridSpan w:val="9"/>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监测点位数（0）</w:t>
            </w:r>
          </w:p>
        </w:tc>
        <w:tc>
          <w:tcPr>
            <w:tcW w:w="2252" w:type="dxa"/>
            <w:gridSpan w:val="4"/>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无监测</w:t>
            </w:r>
            <w:r>
              <w:rPr>
                <w:rFonts w:ascii="Times New Roman" w:hAnsi="Times New Roman"/>
                <w:szCs w:val="21"/>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restart"/>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评价</w:t>
            </w:r>
          </w:p>
          <w:p>
            <w:pPr>
              <w:pStyle w:val="173"/>
              <w:spacing w:before="0" w:after="0" w:line="240" w:lineRule="auto"/>
              <w:ind w:firstLine="0" w:firstLineChars="0"/>
              <w:rPr>
                <w:rFonts w:ascii="Times New Roman" w:hAnsi="Times New Roman"/>
                <w:szCs w:val="21"/>
              </w:rPr>
            </w:pPr>
            <w:r>
              <w:rPr>
                <w:rFonts w:ascii="Times New Roman" w:hAnsi="Times New Roman"/>
                <w:szCs w:val="21"/>
              </w:rPr>
              <w:t>结论</w:t>
            </w: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环境影响</w:t>
            </w:r>
          </w:p>
        </w:tc>
        <w:tc>
          <w:tcPr>
            <w:tcW w:w="8029" w:type="dxa"/>
            <w:gridSpan w:val="1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可以接受</w:t>
            </w:r>
            <w:r>
              <w:rPr>
                <w:rFonts w:ascii="Times New Roman" w:hAnsi="Times New Roman"/>
                <w:szCs w:val="21"/>
                <w:shd w:val="clear" w:color="auto" w:fill="FFFFFF"/>
              </w:rPr>
              <w:t>☑</w:t>
            </w:r>
            <w:r>
              <w:rPr>
                <w:rFonts w:ascii="Times New Roman" w:hAnsi="Times New Roman"/>
                <w:szCs w:val="21"/>
              </w:rPr>
              <w:t xml:space="preserve">       不可以接受□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continue"/>
            <w:vAlign w:val="center"/>
          </w:tcPr>
          <w:p>
            <w:pPr>
              <w:pStyle w:val="173"/>
              <w:spacing w:before="0" w:after="0" w:line="240" w:lineRule="auto"/>
              <w:ind w:firstLine="0" w:firstLineChars="0"/>
              <w:rPr>
                <w:rFonts w:ascii="Times New Roman" w:hAnsi="Times New Roman"/>
                <w:szCs w:val="21"/>
              </w:rPr>
            </w:pP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大气防护距离</w:t>
            </w:r>
          </w:p>
        </w:tc>
        <w:tc>
          <w:tcPr>
            <w:tcW w:w="8029" w:type="dxa"/>
            <w:gridSpan w:val="1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距（本项目）厂界最远（0）m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2" w:type="dxa"/>
            <w:vMerge w:val="continue"/>
            <w:vAlign w:val="center"/>
          </w:tcPr>
          <w:p>
            <w:pPr>
              <w:pStyle w:val="173"/>
              <w:spacing w:before="0" w:after="0" w:line="240" w:lineRule="auto"/>
              <w:ind w:firstLine="0" w:firstLineChars="0"/>
              <w:rPr>
                <w:rFonts w:ascii="Times New Roman" w:hAnsi="Times New Roman"/>
                <w:szCs w:val="21"/>
              </w:rPr>
            </w:pPr>
          </w:p>
        </w:tc>
        <w:tc>
          <w:tcPr>
            <w:tcW w:w="1257" w:type="dxa"/>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污染源年排放量</w:t>
            </w:r>
          </w:p>
        </w:tc>
        <w:tc>
          <w:tcPr>
            <w:tcW w:w="1843" w:type="dxa"/>
            <w:gridSpan w:val="4"/>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SO</w:t>
            </w:r>
            <w:r>
              <w:rPr>
                <w:rFonts w:ascii="Times New Roman" w:hAnsi="Times New Roman"/>
                <w:szCs w:val="21"/>
                <w:vertAlign w:val="subscript"/>
              </w:rPr>
              <w:t>2</w:t>
            </w:r>
            <w:r>
              <w:rPr>
                <w:rFonts w:ascii="Times New Roman" w:hAnsi="Times New Roman"/>
                <w:szCs w:val="21"/>
              </w:rPr>
              <w:t>：（</w:t>
            </w:r>
            <w:r>
              <w:rPr>
                <w:rFonts w:hint="eastAsia" w:ascii="Times New Roman" w:hAnsi="Times New Roman"/>
                <w:spacing w:val="0"/>
                <w:szCs w:val="21"/>
              </w:rPr>
              <w:t>/</w:t>
            </w:r>
            <w:r>
              <w:rPr>
                <w:rFonts w:ascii="Times New Roman" w:hAnsi="Times New Roman"/>
                <w:szCs w:val="21"/>
              </w:rPr>
              <w:t>）t/a</w:t>
            </w:r>
          </w:p>
        </w:tc>
        <w:tc>
          <w:tcPr>
            <w:tcW w:w="2315" w:type="dxa"/>
            <w:gridSpan w:val="3"/>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NOx：（</w:t>
            </w:r>
            <w:r>
              <w:rPr>
                <w:rFonts w:ascii="Times New Roman" w:hAnsi="Times New Roman"/>
                <w:spacing w:val="0"/>
                <w:szCs w:val="21"/>
              </w:rPr>
              <w:t>/</w:t>
            </w:r>
            <w:r>
              <w:rPr>
                <w:rFonts w:ascii="Times New Roman" w:hAnsi="Times New Roman"/>
                <w:szCs w:val="21"/>
              </w:rPr>
              <w:t>）t/a</w:t>
            </w:r>
          </w:p>
        </w:tc>
        <w:tc>
          <w:tcPr>
            <w:tcW w:w="1835" w:type="dxa"/>
            <w:gridSpan w:val="8"/>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颗粒物：（</w:t>
            </w:r>
            <w:r>
              <w:rPr>
                <w:szCs w:val="21"/>
              </w:rPr>
              <w:t>0.225472</w:t>
            </w:r>
            <w:r>
              <w:rPr>
                <w:rFonts w:ascii="Times New Roman" w:hAnsi="Times New Roman"/>
                <w:szCs w:val="21"/>
              </w:rPr>
              <w:t>）t/a</w:t>
            </w:r>
          </w:p>
        </w:tc>
        <w:tc>
          <w:tcPr>
            <w:tcW w:w="2036" w:type="dxa"/>
            <w:gridSpan w:val="3"/>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VOCs：</w:t>
            </w:r>
          </w:p>
          <w:p>
            <w:pPr>
              <w:pStyle w:val="173"/>
              <w:spacing w:before="0" w:after="0" w:line="240" w:lineRule="auto"/>
              <w:ind w:firstLine="0" w:firstLineChars="0"/>
              <w:rPr>
                <w:rFonts w:ascii="Times New Roman" w:hAnsi="Times New Roman"/>
                <w:szCs w:val="21"/>
              </w:rPr>
            </w:pPr>
            <w:r>
              <w:rPr>
                <w:rFonts w:ascii="Times New Roman" w:hAnsi="Times New Roman"/>
                <w:szCs w:val="21"/>
              </w:rPr>
              <w:t>（</w:t>
            </w:r>
            <w:r>
              <w:rPr>
                <w:rFonts w:hint="eastAsia" w:ascii="Times New Roman" w:hAnsi="Times New Roman"/>
                <w:szCs w:val="21"/>
              </w:rPr>
              <w:t>0.0</w:t>
            </w:r>
            <w:r>
              <w:rPr>
                <w:rFonts w:ascii="Times New Roman" w:hAnsi="Times New Roman"/>
                <w:szCs w:val="21"/>
              </w:rPr>
              <w:t>53755）t/a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918" w:type="dxa"/>
            <w:gridSpan w:val="20"/>
            <w:tcMar>
              <w:top w:w="0" w:type="dxa"/>
              <w:left w:w="45" w:type="dxa"/>
              <w:bottom w:w="0" w:type="dxa"/>
              <w:right w:w="45" w:type="dxa"/>
            </w:tcMar>
            <w:vAlign w:val="center"/>
          </w:tcPr>
          <w:p>
            <w:pPr>
              <w:pStyle w:val="173"/>
              <w:spacing w:before="0" w:after="0" w:line="240" w:lineRule="auto"/>
              <w:ind w:firstLine="0" w:firstLineChars="0"/>
              <w:rPr>
                <w:rFonts w:ascii="Times New Roman" w:hAnsi="Times New Roman"/>
                <w:szCs w:val="21"/>
              </w:rPr>
            </w:pPr>
            <w:r>
              <w:rPr>
                <w:rFonts w:ascii="Times New Roman" w:hAnsi="Times New Roman"/>
                <w:szCs w:val="21"/>
              </w:rPr>
              <w:t>注：“□”为勾选项，填“√”；“（）”为内容填写项</w:t>
            </w:r>
          </w:p>
        </w:tc>
      </w:tr>
    </w:tbl>
    <w:p>
      <w:pPr>
        <w:pStyle w:val="2"/>
      </w:pPr>
    </w:p>
    <w:p>
      <w:pPr>
        <w:pStyle w:val="4"/>
      </w:pPr>
      <w:bookmarkStart w:id="461" w:name="_Toc532414616"/>
      <w:bookmarkEnd w:id="461"/>
      <w:bookmarkStart w:id="462" w:name="_Toc532414612"/>
      <w:bookmarkEnd w:id="462"/>
      <w:bookmarkStart w:id="463" w:name="_Toc532414832"/>
      <w:bookmarkEnd w:id="463"/>
      <w:bookmarkStart w:id="464" w:name="_Toc532414831"/>
      <w:bookmarkEnd w:id="464"/>
      <w:bookmarkStart w:id="465" w:name="_Toc532414392"/>
      <w:bookmarkEnd w:id="465"/>
      <w:bookmarkStart w:id="466" w:name="_Toc532414390"/>
      <w:bookmarkEnd w:id="466"/>
      <w:bookmarkStart w:id="467" w:name="_Toc532414834"/>
      <w:bookmarkEnd w:id="467"/>
      <w:bookmarkStart w:id="468" w:name="_Toc532414393"/>
      <w:bookmarkEnd w:id="468"/>
      <w:bookmarkStart w:id="469" w:name="_Toc532414617"/>
      <w:bookmarkEnd w:id="469"/>
      <w:bookmarkStart w:id="470" w:name="_Toc532414618"/>
      <w:bookmarkEnd w:id="470"/>
      <w:bookmarkStart w:id="471" w:name="_Toc532414613"/>
      <w:bookmarkEnd w:id="471"/>
      <w:bookmarkStart w:id="472" w:name="_Toc532414610"/>
      <w:bookmarkEnd w:id="472"/>
      <w:bookmarkStart w:id="473" w:name="_Toc532414835"/>
      <w:bookmarkEnd w:id="473"/>
      <w:bookmarkStart w:id="474" w:name="_Toc532414836"/>
      <w:bookmarkEnd w:id="474"/>
      <w:bookmarkStart w:id="475" w:name="_Toc532414391"/>
      <w:bookmarkEnd w:id="475"/>
      <w:bookmarkStart w:id="476" w:name="_Toc532414837"/>
      <w:bookmarkEnd w:id="476"/>
      <w:bookmarkStart w:id="477" w:name="_Toc532414389"/>
      <w:bookmarkEnd w:id="477"/>
      <w:bookmarkStart w:id="478" w:name="_Toc532414611"/>
      <w:bookmarkEnd w:id="478"/>
      <w:bookmarkStart w:id="479" w:name="_Toc532414833"/>
      <w:bookmarkEnd w:id="479"/>
      <w:bookmarkStart w:id="480" w:name="_Toc532414396"/>
      <w:bookmarkEnd w:id="480"/>
      <w:bookmarkStart w:id="481" w:name="_Toc532414395"/>
      <w:bookmarkEnd w:id="481"/>
      <w:bookmarkStart w:id="482" w:name="_Toc532414614"/>
      <w:bookmarkEnd w:id="482"/>
      <w:bookmarkStart w:id="483" w:name="_Toc532414394"/>
      <w:bookmarkEnd w:id="483"/>
      <w:bookmarkStart w:id="484" w:name="_Toc532414516"/>
      <w:bookmarkEnd w:id="484"/>
      <w:bookmarkStart w:id="485" w:name="_Toc532414615"/>
      <w:bookmarkEnd w:id="485"/>
      <w:bookmarkStart w:id="486" w:name="_Toc532414712"/>
      <w:bookmarkEnd w:id="486"/>
      <w:bookmarkStart w:id="487" w:name="_Toc532414620"/>
      <w:bookmarkEnd w:id="487"/>
      <w:bookmarkStart w:id="488" w:name="_Toc532414619"/>
      <w:bookmarkEnd w:id="488"/>
      <w:bookmarkStart w:id="489" w:name="_Toc532414400"/>
      <w:bookmarkEnd w:id="489"/>
      <w:bookmarkStart w:id="490" w:name="_Toc532414839"/>
      <w:bookmarkEnd w:id="490"/>
      <w:bookmarkStart w:id="491" w:name="_Toc532414399"/>
      <w:bookmarkEnd w:id="491"/>
      <w:bookmarkStart w:id="492" w:name="_Toc532414401"/>
      <w:bookmarkEnd w:id="492"/>
      <w:bookmarkStart w:id="493" w:name="_Toc532414402"/>
      <w:bookmarkEnd w:id="493"/>
      <w:bookmarkStart w:id="494" w:name="_Toc532414622"/>
      <w:bookmarkEnd w:id="494"/>
      <w:bookmarkStart w:id="495" w:name="_Toc532414417"/>
      <w:bookmarkEnd w:id="495"/>
      <w:bookmarkStart w:id="496" w:name="_Toc532414859"/>
      <w:bookmarkEnd w:id="496"/>
      <w:bookmarkStart w:id="497" w:name="_Toc532414621"/>
      <w:bookmarkEnd w:id="497"/>
      <w:bookmarkStart w:id="498" w:name="_Toc532414634"/>
      <w:bookmarkEnd w:id="498"/>
      <w:bookmarkStart w:id="499" w:name="_Toc532414628"/>
      <w:bookmarkEnd w:id="499"/>
      <w:bookmarkStart w:id="500" w:name="_Toc532414841"/>
      <w:bookmarkEnd w:id="500"/>
      <w:bookmarkStart w:id="501" w:name="_Toc532414623"/>
      <w:bookmarkEnd w:id="501"/>
      <w:bookmarkStart w:id="502" w:name="_Toc532414413"/>
      <w:bookmarkEnd w:id="502"/>
      <w:bookmarkStart w:id="503" w:name="_Toc532414840"/>
      <w:bookmarkEnd w:id="503"/>
      <w:bookmarkStart w:id="504" w:name="_Toc532414855"/>
      <w:bookmarkEnd w:id="504"/>
      <w:bookmarkStart w:id="505" w:name="_Toc532414492"/>
      <w:bookmarkEnd w:id="505"/>
      <w:bookmarkStart w:id="506" w:name="_Toc532414398"/>
      <w:bookmarkEnd w:id="506"/>
      <w:bookmarkStart w:id="507" w:name="_Toc532414491"/>
      <w:bookmarkEnd w:id="507"/>
      <w:bookmarkStart w:id="508" w:name="_Toc532414842"/>
      <w:bookmarkEnd w:id="508"/>
      <w:bookmarkStart w:id="509" w:name="_Toc532414713"/>
      <w:bookmarkEnd w:id="509"/>
      <w:bookmarkStart w:id="510" w:name="_Toc532414731"/>
      <w:bookmarkEnd w:id="510"/>
      <w:bookmarkStart w:id="511" w:name="_Toc532414838"/>
      <w:bookmarkEnd w:id="511"/>
      <w:bookmarkStart w:id="512" w:name="_Toc532414843"/>
      <w:bookmarkEnd w:id="512"/>
      <w:bookmarkStart w:id="513" w:name="_Toc532414397"/>
      <w:bookmarkEnd w:id="513"/>
      <w:bookmarkStart w:id="514" w:name="_Toc532414844"/>
      <w:bookmarkEnd w:id="514"/>
      <w:bookmarkStart w:id="515" w:name="_Toc532414407"/>
      <w:bookmarkEnd w:id="515"/>
      <w:bookmarkStart w:id="516" w:name="_Toc532414849"/>
      <w:bookmarkEnd w:id="516"/>
      <w:bookmarkStart w:id="517" w:name="_Toc532414638"/>
      <w:bookmarkEnd w:id="517"/>
      <w:bookmarkStart w:id="518" w:name="_Toc532414933"/>
      <w:bookmarkEnd w:id="518"/>
      <w:bookmarkStart w:id="519" w:name="_Toc532414756"/>
      <w:bookmarkEnd w:id="519"/>
      <w:bookmarkStart w:id="520" w:name="_Toc532414534"/>
      <w:bookmarkEnd w:id="520"/>
      <w:bookmarkStart w:id="521" w:name="_Toc532414952"/>
      <w:bookmarkEnd w:id="521"/>
      <w:bookmarkStart w:id="522" w:name="_Toc532414958"/>
      <w:bookmarkEnd w:id="522"/>
      <w:bookmarkStart w:id="523" w:name="_Toc532414755"/>
      <w:bookmarkEnd w:id="523"/>
      <w:bookmarkStart w:id="524" w:name="_Toc532414510"/>
      <w:bookmarkEnd w:id="524"/>
      <w:bookmarkStart w:id="525" w:name="_Toc532414976"/>
      <w:bookmarkEnd w:id="525"/>
      <w:bookmarkStart w:id="526" w:name="_Toc532414749"/>
      <w:bookmarkEnd w:id="526"/>
      <w:bookmarkStart w:id="527" w:name="_Toc532414970"/>
      <w:bookmarkEnd w:id="527"/>
      <w:bookmarkStart w:id="528" w:name="_Toc532414934"/>
      <w:bookmarkEnd w:id="528"/>
      <w:bookmarkStart w:id="529" w:name="_Toc532414528"/>
      <w:bookmarkEnd w:id="529"/>
      <w:bookmarkStart w:id="530" w:name="_Toc532414535"/>
      <w:bookmarkEnd w:id="530"/>
      <w:bookmarkStart w:id="531" w:name="_Toc532414977"/>
      <w:bookmarkEnd w:id="531"/>
      <w:bookmarkStart w:id="532" w:name="_Toc532414737"/>
      <w:bookmarkEnd w:id="532"/>
      <w:bookmarkStart w:id="533" w:name="_Toc3538800"/>
      <w:bookmarkStart w:id="534" w:name="_Toc331536193"/>
      <w:r>
        <w:rPr>
          <w:rFonts w:hint="eastAsia"/>
        </w:rPr>
        <w:t>营运期声环境影响预测与评价</w:t>
      </w:r>
      <w:bookmarkEnd w:id="533"/>
    </w:p>
    <w:p>
      <w:pPr>
        <w:pStyle w:val="5"/>
      </w:pPr>
      <w:bookmarkStart w:id="535" w:name="_Toc10569"/>
      <w:r>
        <w:rPr>
          <w:rFonts w:hint="eastAsia"/>
        </w:rPr>
        <w:t>主要</w:t>
      </w:r>
      <w:r>
        <w:t>噪声源</w:t>
      </w:r>
      <w:bookmarkEnd w:id="534"/>
      <w:bookmarkEnd w:id="535"/>
    </w:p>
    <w:p>
      <w:pPr>
        <w:ind w:firstLine="480"/>
        <w:rPr>
          <w:rFonts w:cs="Times New Roman" w:eastAsiaTheme="minorEastAsia"/>
        </w:rPr>
      </w:pPr>
      <w:bookmarkStart w:id="536" w:name="_Toc331536194"/>
      <w:r>
        <w:rPr>
          <w:rFonts w:hint="eastAsia" w:cs="Times New Roman" w:eastAsiaTheme="minorEastAsia"/>
        </w:rPr>
        <w:t>本项目营运期噪声主要来源于生产过程中较大功率的生产机械设备</w:t>
      </w:r>
      <w:r>
        <w:rPr>
          <w:rFonts w:hint="eastAsia" w:eastAsiaTheme="minorEastAsia"/>
          <w:snapToGrid w:val="0"/>
        </w:rPr>
        <w:t>。</w:t>
      </w:r>
      <w:r>
        <w:rPr>
          <w:rFonts w:hint="eastAsia" w:cs="Times New Roman" w:eastAsiaTheme="minorEastAsia"/>
        </w:rPr>
        <w:t>根据厂家提供资料及类比同类型企业，参照《环境噪声与振动控制工程技术导则》（HJ 2034-2013），项目主要设备噪声源及源强情况见</w:t>
      </w:r>
      <w:r>
        <w:rPr>
          <w:rFonts w:cs="Times New Roman" w:eastAsiaTheme="minorEastAsia"/>
        </w:rPr>
        <w:fldChar w:fldCharType="begin"/>
      </w:r>
      <w:r>
        <w:rPr>
          <w:rFonts w:cs="Times New Roman" w:eastAsiaTheme="minorEastAsia"/>
        </w:rPr>
        <w:instrText xml:space="preserve"> </w:instrText>
      </w:r>
      <w:r>
        <w:rPr>
          <w:rFonts w:hint="eastAsia" w:cs="Times New Roman" w:eastAsiaTheme="minorEastAsia"/>
        </w:rPr>
        <w:instrText xml:space="preserve">REF _Ref528182311 \h</w:instrText>
      </w:r>
      <w:r>
        <w:rPr>
          <w:rFonts w:cs="Times New Roman" w:eastAsiaTheme="minorEastAsia"/>
        </w:rPr>
        <w:instrText xml:space="preserve">  \* MERGEFORMAT </w:instrText>
      </w:r>
      <w:r>
        <w:rPr>
          <w:rFonts w:cs="Times New Roman" w:eastAsiaTheme="minorEastAsia"/>
        </w:rPr>
        <w:fldChar w:fldCharType="separate"/>
      </w:r>
      <w:r>
        <w:rPr>
          <w:rFonts w:hint="eastAsia" w:eastAsiaTheme="minorEastAsia"/>
        </w:rPr>
        <w:t xml:space="preserve">表 </w:t>
      </w:r>
      <w:r>
        <w:rPr>
          <w:rFonts w:eastAsiaTheme="minorEastAsia"/>
        </w:rPr>
        <w:t>4.5</w:t>
      </w:r>
      <w:r>
        <w:rPr>
          <w:rFonts w:eastAsiaTheme="minorEastAsia"/>
        </w:rPr>
        <w:noBreakHyphen/>
      </w:r>
      <w:r>
        <w:rPr>
          <w:rFonts w:eastAsiaTheme="minorEastAsia"/>
        </w:rPr>
        <w:t>1</w:t>
      </w:r>
      <w:r>
        <w:rPr>
          <w:rFonts w:cs="Times New Roman" w:eastAsiaTheme="minorEastAsia"/>
        </w:rPr>
        <w:fldChar w:fldCharType="end"/>
      </w:r>
      <w:r>
        <w:rPr>
          <w:rFonts w:hint="eastAsia" w:cs="Times New Roman" w:eastAsiaTheme="minorEastAsia"/>
        </w:rPr>
        <w:t>，噪声值在</w:t>
      </w:r>
      <w:r>
        <w:rPr>
          <w:rFonts w:cs="Times New Roman" w:eastAsiaTheme="minorEastAsia"/>
        </w:rPr>
        <w:t>65</w:t>
      </w:r>
      <w:r>
        <w:rPr>
          <w:rFonts w:hint="eastAsia" w:cs="Times New Roman" w:eastAsiaTheme="minorEastAsia"/>
        </w:rPr>
        <w:t>~9</w:t>
      </w:r>
      <w:r>
        <w:rPr>
          <w:rFonts w:cs="Times New Roman" w:eastAsiaTheme="minorEastAsia"/>
        </w:rPr>
        <w:t>5</w:t>
      </w:r>
      <w:r>
        <w:rPr>
          <w:rFonts w:hint="eastAsia" w:cs="Times New Roman" w:eastAsiaTheme="minorEastAsia"/>
        </w:rPr>
        <w:t>dB(A)之间。</w:t>
      </w:r>
    </w:p>
    <w:p>
      <w:pPr>
        <w:pStyle w:val="18"/>
      </w:pPr>
      <w:bookmarkStart w:id="537" w:name="_Ref528182311"/>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bookmarkEnd w:id="537"/>
      <w:r>
        <w:t xml:space="preserve"> </w:t>
      </w:r>
      <w:r>
        <w:rPr>
          <w:rFonts w:hint="eastAsia"/>
        </w:rPr>
        <w:t>项目主要机械噪声源及其运行噪声声级表</w:t>
      </w:r>
    </w:p>
    <w:tbl>
      <w:tblPr>
        <w:tblStyle w:val="56"/>
        <w:tblW w:w="8742" w:type="dxa"/>
        <w:tblInd w:w="0" w:type="dxa"/>
        <w:tblLayout w:type="fixed"/>
        <w:tblCellMar>
          <w:top w:w="0" w:type="dxa"/>
          <w:left w:w="108" w:type="dxa"/>
          <w:bottom w:w="0" w:type="dxa"/>
          <w:right w:w="108" w:type="dxa"/>
        </w:tblCellMar>
      </w:tblPr>
      <w:tblGrid>
        <w:gridCol w:w="638"/>
        <w:gridCol w:w="1479"/>
        <w:gridCol w:w="1134"/>
        <w:gridCol w:w="1535"/>
        <w:gridCol w:w="1016"/>
        <w:gridCol w:w="1559"/>
        <w:gridCol w:w="1381"/>
      </w:tblGrid>
      <w:tr>
        <w:tblPrEx>
          <w:tblLayout w:type="fixed"/>
          <w:tblCellMar>
            <w:top w:w="0" w:type="dxa"/>
            <w:left w:w="108" w:type="dxa"/>
            <w:bottom w:w="0" w:type="dxa"/>
            <w:right w:w="108" w:type="dxa"/>
          </w:tblCellMar>
        </w:tblPrEx>
        <w:trPr>
          <w:trHeight w:val="555" w:hRule="atLeast"/>
        </w:trPr>
        <w:tc>
          <w:tcPr>
            <w:tcW w:w="638" w:type="dxa"/>
            <w:tcBorders>
              <w:top w:val="single" w:color="auto" w:sz="8" w:space="0"/>
              <w:left w:val="single" w:color="auto" w:sz="8" w:space="0"/>
              <w:bottom w:val="single" w:color="auto" w:sz="8" w:space="0"/>
              <w:right w:val="single" w:color="auto" w:sz="8" w:space="0"/>
            </w:tcBorders>
            <w:shd w:val="clear" w:color="000000" w:fill="D9D9D9"/>
            <w:vAlign w:val="center"/>
          </w:tcPr>
          <w:p>
            <w:pPr>
              <w:spacing w:line="240" w:lineRule="auto"/>
              <w:ind w:firstLine="0" w:firstLineChars="0"/>
              <w:jc w:val="center"/>
              <w:rPr>
                <w:b/>
                <w:bCs/>
                <w:color w:val="000000"/>
                <w:sz w:val="21"/>
                <w:szCs w:val="21"/>
              </w:rPr>
            </w:pPr>
            <w:r>
              <w:rPr>
                <w:rFonts w:hint="eastAsia"/>
                <w:b/>
                <w:bCs/>
                <w:color w:val="000000"/>
                <w:sz w:val="21"/>
                <w:szCs w:val="21"/>
              </w:rPr>
              <w:t>序号</w:t>
            </w:r>
          </w:p>
        </w:tc>
        <w:tc>
          <w:tcPr>
            <w:tcW w:w="2613" w:type="dxa"/>
            <w:gridSpan w:val="2"/>
            <w:tcBorders>
              <w:top w:val="single" w:color="auto" w:sz="8" w:space="0"/>
              <w:left w:val="nil"/>
              <w:bottom w:val="single" w:color="auto" w:sz="8" w:space="0"/>
              <w:right w:val="single" w:color="000000" w:sz="8" w:space="0"/>
            </w:tcBorders>
            <w:shd w:val="clear" w:color="000000" w:fill="D9D9D9"/>
            <w:vAlign w:val="center"/>
          </w:tcPr>
          <w:p>
            <w:pPr>
              <w:spacing w:line="240" w:lineRule="auto"/>
              <w:ind w:firstLine="0" w:firstLineChars="0"/>
              <w:jc w:val="center"/>
              <w:rPr>
                <w:b/>
                <w:bCs/>
                <w:color w:val="000000"/>
                <w:sz w:val="21"/>
                <w:szCs w:val="21"/>
              </w:rPr>
            </w:pPr>
            <w:r>
              <w:rPr>
                <w:rFonts w:hint="eastAsia"/>
                <w:b/>
                <w:bCs/>
                <w:color w:val="000000"/>
                <w:sz w:val="21"/>
                <w:szCs w:val="21"/>
              </w:rPr>
              <w:t>噪声源</w:t>
            </w:r>
          </w:p>
        </w:tc>
        <w:tc>
          <w:tcPr>
            <w:tcW w:w="1535" w:type="dxa"/>
            <w:tcBorders>
              <w:top w:val="single" w:color="auto" w:sz="8" w:space="0"/>
              <w:left w:val="nil"/>
              <w:bottom w:val="single" w:color="auto" w:sz="8" w:space="0"/>
              <w:right w:val="single" w:color="auto" w:sz="8" w:space="0"/>
            </w:tcBorders>
            <w:shd w:val="clear" w:color="000000" w:fill="D9D9D9"/>
            <w:vAlign w:val="center"/>
          </w:tcPr>
          <w:p>
            <w:pPr>
              <w:spacing w:line="240" w:lineRule="auto"/>
              <w:ind w:firstLine="0" w:firstLineChars="0"/>
              <w:jc w:val="center"/>
              <w:rPr>
                <w:b/>
                <w:bCs/>
                <w:color w:val="000000"/>
                <w:sz w:val="21"/>
                <w:szCs w:val="21"/>
              </w:rPr>
            </w:pPr>
            <w:r>
              <w:rPr>
                <w:rFonts w:hint="eastAsia"/>
                <w:b/>
                <w:bCs/>
                <w:color w:val="000000"/>
                <w:sz w:val="21"/>
                <w:szCs w:val="21"/>
              </w:rPr>
              <w:t>噪声源位置</w:t>
            </w:r>
          </w:p>
        </w:tc>
        <w:tc>
          <w:tcPr>
            <w:tcW w:w="1016" w:type="dxa"/>
            <w:tcBorders>
              <w:top w:val="single" w:color="auto" w:sz="8" w:space="0"/>
              <w:left w:val="nil"/>
              <w:bottom w:val="single" w:color="auto" w:sz="8" w:space="0"/>
              <w:right w:val="single" w:color="auto" w:sz="8" w:space="0"/>
            </w:tcBorders>
            <w:shd w:val="clear" w:color="000000" w:fill="D9D9D9"/>
            <w:vAlign w:val="center"/>
          </w:tcPr>
          <w:p>
            <w:pPr>
              <w:spacing w:line="240" w:lineRule="auto"/>
              <w:ind w:firstLine="0" w:firstLineChars="0"/>
              <w:jc w:val="center"/>
              <w:rPr>
                <w:b/>
                <w:bCs/>
                <w:color w:val="000000"/>
                <w:sz w:val="21"/>
                <w:szCs w:val="21"/>
              </w:rPr>
            </w:pPr>
            <w:r>
              <w:rPr>
                <w:rFonts w:hint="eastAsia"/>
                <w:b/>
                <w:bCs/>
                <w:color w:val="000000"/>
                <w:sz w:val="21"/>
                <w:szCs w:val="21"/>
              </w:rPr>
              <w:t>数量</w:t>
            </w:r>
          </w:p>
        </w:tc>
        <w:tc>
          <w:tcPr>
            <w:tcW w:w="1559" w:type="dxa"/>
            <w:tcBorders>
              <w:top w:val="single" w:color="auto" w:sz="8" w:space="0"/>
              <w:left w:val="nil"/>
              <w:bottom w:val="single" w:color="auto" w:sz="8" w:space="0"/>
              <w:right w:val="single" w:color="auto" w:sz="8" w:space="0"/>
            </w:tcBorders>
            <w:shd w:val="clear" w:color="000000" w:fill="D9D9D9"/>
            <w:vAlign w:val="center"/>
          </w:tcPr>
          <w:p>
            <w:pPr>
              <w:spacing w:line="240" w:lineRule="auto"/>
              <w:ind w:firstLine="0" w:firstLineChars="0"/>
              <w:jc w:val="center"/>
              <w:rPr>
                <w:b/>
                <w:bCs/>
                <w:color w:val="000000"/>
                <w:sz w:val="21"/>
                <w:szCs w:val="21"/>
              </w:rPr>
            </w:pPr>
            <w:r>
              <w:rPr>
                <w:rFonts w:hint="eastAsia"/>
                <w:b/>
                <w:bCs/>
                <w:color w:val="000000"/>
                <w:sz w:val="21"/>
                <w:szCs w:val="21"/>
              </w:rPr>
              <w:t>距设备</w:t>
            </w:r>
            <w:r>
              <w:rPr>
                <w:rFonts w:cs="Arial"/>
                <w:b/>
                <w:bCs/>
                <w:color w:val="000000"/>
                <w:sz w:val="21"/>
                <w:szCs w:val="21"/>
              </w:rPr>
              <w:t>1m</w:t>
            </w:r>
            <w:r>
              <w:rPr>
                <w:rFonts w:hint="eastAsia"/>
                <w:b/>
                <w:bCs/>
                <w:color w:val="000000"/>
                <w:sz w:val="21"/>
                <w:szCs w:val="21"/>
              </w:rPr>
              <w:t>处声压级</w:t>
            </w:r>
            <w:r>
              <w:rPr>
                <w:rFonts w:cs="Arial"/>
                <w:b/>
                <w:bCs/>
                <w:color w:val="000000"/>
                <w:sz w:val="21"/>
                <w:szCs w:val="21"/>
              </w:rPr>
              <w:t>dB(A)</w:t>
            </w:r>
          </w:p>
        </w:tc>
        <w:tc>
          <w:tcPr>
            <w:tcW w:w="1381" w:type="dxa"/>
            <w:tcBorders>
              <w:top w:val="single" w:color="auto" w:sz="8" w:space="0"/>
              <w:left w:val="nil"/>
              <w:bottom w:val="single" w:color="auto" w:sz="8" w:space="0"/>
              <w:right w:val="single" w:color="auto" w:sz="8" w:space="0"/>
            </w:tcBorders>
            <w:shd w:val="clear" w:color="000000" w:fill="D9D9D9"/>
            <w:vAlign w:val="center"/>
          </w:tcPr>
          <w:p>
            <w:pPr>
              <w:spacing w:line="240" w:lineRule="auto"/>
              <w:ind w:firstLine="0" w:firstLineChars="0"/>
              <w:jc w:val="center"/>
              <w:rPr>
                <w:b/>
                <w:bCs/>
                <w:color w:val="000000"/>
                <w:sz w:val="21"/>
                <w:szCs w:val="21"/>
              </w:rPr>
            </w:pPr>
            <w:r>
              <w:rPr>
                <w:rFonts w:hint="eastAsia"/>
                <w:b/>
                <w:bCs/>
                <w:color w:val="000000"/>
                <w:sz w:val="21"/>
                <w:szCs w:val="21"/>
              </w:rPr>
              <w:t>排放规律</w:t>
            </w:r>
            <w:r>
              <w:rPr>
                <w:rFonts w:cs="Arial"/>
                <w:sz w:val="21"/>
                <w:szCs w:val="21"/>
              </w:rPr>
              <w:t> </w:t>
            </w: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8" w:space="0"/>
              <w:bottom w:val="single" w:color="auto" w:sz="8" w:space="0"/>
              <w:right w:val="single" w:color="auto" w:sz="8" w:space="0"/>
            </w:tcBorders>
            <w:shd w:val="clear" w:color="auto" w:fill="auto"/>
            <w:vAlign w:val="center"/>
          </w:tcPr>
          <w:p>
            <w:pPr>
              <w:pStyle w:val="107"/>
              <w:numPr>
                <w:ilvl w:val="0"/>
                <w:numId w:val="53"/>
              </w:numPr>
            </w:pPr>
          </w:p>
        </w:tc>
        <w:tc>
          <w:tcPr>
            <w:tcW w:w="2613" w:type="dxa"/>
            <w:gridSpan w:val="2"/>
            <w:tcBorders>
              <w:top w:val="single" w:color="auto" w:sz="8" w:space="0"/>
              <w:left w:val="nil"/>
              <w:bottom w:val="single" w:color="auto" w:sz="8" w:space="0"/>
              <w:right w:val="single" w:color="000000"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密炼机</w:t>
            </w:r>
          </w:p>
        </w:tc>
        <w:tc>
          <w:tcPr>
            <w:tcW w:w="1535"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密炼车间</w:t>
            </w:r>
          </w:p>
        </w:tc>
        <w:tc>
          <w:tcPr>
            <w:tcW w:w="1016" w:type="dxa"/>
            <w:tcBorders>
              <w:top w:val="nil"/>
              <w:left w:val="nil"/>
              <w:bottom w:val="single" w:color="auto" w:sz="8" w:space="0"/>
              <w:right w:val="single" w:color="auto" w:sz="8" w:space="0"/>
            </w:tcBorders>
            <w:shd w:val="clear" w:color="auto" w:fill="auto"/>
            <w:vAlign w:val="center"/>
          </w:tcPr>
          <w:p>
            <w:pPr>
              <w:pStyle w:val="107"/>
            </w:pPr>
            <w:r>
              <w:t>1台</w:t>
            </w:r>
          </w:p>
        </w:tc>
        <w:tc>
          <w:tcPr>
            <w:tcW w:w="1559" w:type="dxa"/>
            <w:tcBorders>
              <w:top w:val="nil"/>
              <w:left w:val="nil"/>
              <w:bottom w:val="single" w:color="auto" w:sz="8" w:space="0"/>
              <w:right w:val="single" w:color="auto" w:sz="8" w:space="0"/>
            </w:tcBorders>
            <w:shd w:val="clear" w:color="auto" w:fill="auto"/>
            <w:vAlign w:val="center"/>
          </w:tcPr>
          <w:p>
            <w:pPr>
              <w:pStyle w:val="107"/>
            </w:pPr>
            <w:r>
              <w:t>80~85</w:t>
            </w:r>
          </w:p>
        </w:tc>
        <w:tc>
          <w:tcPr>
            <w:tcW w:w="1381"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室内，连续</w:t>
            </w: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8" w:space="0"/>
              <w:bottom w:val="single" w:color="auto" w:sz="8" w:space="0"/>
              <w:right w:val="single" w:color="auto" w:sz="8" w:space="0"/>
            </w:tcBorders>
            <w:shd w:val="clear" w:color="auto" w:fill="auto"/>
            <w:vAlign w:val="center"/>
          </w:tcPr>
          <w:p>
            <w:pPr>
              <w:pStyle w:val="107"/>
              <w:numPr>
                <w:ilvl w:val="0"/>
                <w:numId w:val="53"/>
              </w:numPr>
            </w:pPr>
          </w:p>
        </w:tc>
        <w:tc>
          <w:tcPr>
            <w:tcW w:w="2613" w:type="dxa"/>
            <w:gridSpan w:val="2"/>
            <w:tcBorders>
              <w:top w:val="single" w:color="auto" w:sz="8" w:space="0"/>
              <w:left w:val="nil"/>
              <w:bottom w:val="single" w:color="auto" w:sz="8" w:space="0"/>
              <w:right w:val="single" w:color="000000"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开炼机</w:t>
            </w:r>
          </w:p>
        </w:tc>
        <w:tc>
          <w:tcPr>
            <w:tcW w:w="1535"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混炼车间</w:t>
            </w:r>
          </w:p>
        </w:tc>
        <w:tc>
          <w:tcPr>
            <w:tcW w:w="1016" w:type="dxa"/>
            <w:tcBorders>
              <w:top w:val="nil"/>
              <w:left w:val="nil"/>
              <w:bottom w:val="single" w:color="auto" w:sz="8" w:space="0"/>
              <w:right w:val="single" w:color="auto" w:sz="8" w:space="0"/>
            </w:tcBorders>
            <w:shd w:val="clear" w:color="auto" w:fill="auto"/>
            <w:vAlign w:val="center"/>
          </w:tcPr>
          <w:p>
            <w:pPr>
              <w:pStyle w:val="107"/>
            </w:pPr>
            <w:r>
              <w:t>2台</w:t>
            </w:r>
          </w:p>
        </w:tc>
        <w:tc>
          <w:tcPr>
            <w:tcW w:w="1559" w:type="dxa"/>
            <w:tcBorders>
              <w:top w:val="nil"/>
              <w:left w:val="nil"/>
              <w:bottom w:val="single" w:color="auto" w:sz="8" w:space="0"/>
              <w:right w:val="single" w:color="auto" w:sz="8" w:space="0"/>
            </w:tcBorders>
            <w:shd w:val="clear" w:color="auto" w:fill="auto"/>
            <w:vAlign w:val="center"/>
          </w:tcPr>
          <w:p>
            <w:pPr>
              <w:pStyle w:val="107"/>
            </w:pPr>
            <w:r>
              <w:t>80~85</w:t>
            </w:r>
          </w:p>
        </w:tc>
        <w:tc>
          <w:tcPr>
            <w:tcW w:w="1381"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室内，连续</w:t>
            </w: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8" w:space="0"/>
              <w:bottom w:val="single" w:color="auto" w:sz="8" w:space="0"/>
              <w:right w:val="single" w:color="auto" w:sz="8" w:space="0"/>
            </w:tcBorders>
            <w:shd w:val="clear" w:color="auto" w:fill="auto"/>
            <w:vAlign w:val="center"/>
          </w:tcPr>
          <w:p>
            <w:pPr>
              <w:pStyle w:val="107"/>
              <w:numPr>
                <w:ilvl w:val="0"/>
                <w:numId w:val="53"/>
              </w:numPr>
            </w:pPr>
          </w:p>
        </w:tc>
        <w:tc>
          <w:tcPr>
            <w:tcW w:w="2613" w:type="dxa"/>
            <w:gridSpan w:val="2"/>
            <w:tcBorders>
              <w:top w:val="single" w:color="auto" w:sz="8" w:space="0"/>
              <w:left w:val="nil"/>
              <w:bottom w:val="single" w:color="auto" w:sz="8" w:space="0"/>
              <w:right w:val="single" w:color="000000"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裁切机</w:t>
            </w:r>
          </w:p>
        </w:tc>
        <w:tc>
          <w:tcPr>
            <w:tcW w:w="1535"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混炼车间</w:t>
            </w:r>
          </w:p>
        </w:tc>
        <w:tc>
          <w:tcPr>
            <w:tcW w:w="1016" w:type="dxa"/>
            <w:tcBorders>
              <w:top w:val="nil"/>
              <w:left w:val="nil"/>
              <w:bottom w:val="single" w:color="auto" w:sz="8" w:space="0"/>
              <w:right w:val="single" w:color="auto" w:sz="8" w:space="0"/>
            </w:tcBorders>
            <w:shd w:val="clear" w:color="auto" w:fill="auto"/>
            <w:vAlign w:val="center"/>
          </w:tcPr>
          <w:p>
            <w:pPr>
              <w:pStyle w:val="107"/>
            </w:pPr>
            <w:r>
              <w:t>1台</w:t>
            </w:r>
          </w:p>
        </w:tc>
        <w:tc>
          <w:tcPr>
            <w:tcW w:w="1559" w:type="dxa"/>
            <w:tcBorders>
              <w:top w:val="nil"/>
              <w:left w:val="nil"/>
              <w:bottom w:val="single" w:color="auto" w:sz="8" w:space="0"/>
              <w:right w:val="single" w:color="auto" w:sz="8" w:space="0"/>
            </w:tcBorders>
            <w:shd w:val="clear" w:color="auto" w:fill="auto"/>
            <w:vAlign w:val="center"/>
          </w:tcPr>
          <w:p>
            <w:pPr>
              <w:pStyle w:val="107"/>
            </w:pPr>
            <w:r>
              <w:t>75~80</w:t>
            </w:r>
          </w:p>
        </w:tc>
        <w:tc>
          <w:tcPr>
            <w:tcW w:w="1381"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室内，连续</w:t>
            </w: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8" w:space="0"/>
              <w:bottom w:val="single" w:color="auto" w:sz="8" w:space="0"/>
              <w:right w:val="single" w:color="auto" w:sz="8" w:space="0"/>
            </w:tcBorders>
            <w:shd w:val="clear" w:color="auto" w:fill="auto"/>
            <w:vAlign w:val="center"/>
          </w:tcPr>
          <w:p>
            <w:pPr>
              <w:pStyle w:val="107"/>
              <w:numPr>
                <w:ilvl w:val="0"/>
                <w:numId w:val="53"/>
              </w:numPr>
            </w:pPr>
          </w:p>
        </w:tc>
        <w:tc>
          <w:tcPr>
            <w:tcW w:w="2613" w:type="dxa"/>
            <w:gridSpan w:val="2"/>
            <w:tcBorders>
              <w:top w:val="single" w:color="auto" w:sz="8" w:space="0"/>
              <w:left w:val="nil"/>
              <w:bottom w:val="single" w:color="auto" w:sz="8" w:space="0"/>
              <w:right w:val="single" w:color="000000"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硫化机</w:t>
            </w:r>
          </w:p>
        </w:tc>
        <w:tc>
          <w:tcPr>
            <w:tcW w:w="1535"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硫化车间</w:t>
            </w:r>
          </w:p>
        </w:tc>
        <w:tc>
          <w:tcPr>
            <w:tcW w:w="1016" w:type="dxa"/>
            <w:tcBorders>
              <w:top w:val="nil"/>
              <w:left w:val="nil"/>
              <w:bottom w:val="single" w:color="auto" w:sz="8" w:space="0"/>
              <w:right w:val="single" w:color="auto" w:sz="8" w:space="0"/>
            </w:tcBorders>
            <w:shd w:val="clear" w:color="auto" w:fill="auto"/>
            <w:vAlign w:val="center"/>
          </w:tcPr>
          <w:p>
            <w:pPr>
              <w:pStyle w:val="107"/>
            </w:pPr>
            <w:r>
              <w:t>10台</w:t>
            </w:r>
          </w:p>
        </w:tc>
        <w:tc>
          <w:tcPr>
            <w:tcW w:w="1559" w:type="dxa"/>
            <w:tcBorders>
              <w:top w:val="nil"/>
              <w:left w:val="nil"/>
              <w:bottom w:val="single" w:color="auto" w:sz="8" w:space="0"/>
              <w:right w:val="single" w:color="auto" w:sz="8" w:space="0"/>
            </w:tcBorders>
            <w:shd w:val="clear" w:color="auto" w:fill="auto"/>
            <w:vAlign w:val="center"/>
          </w:tcPr>
          <w:p>
            <w:pPr>
              <w:pStyle w:val="107"/>
            </w:pPr>
            <w:r>
              <w:t>65~70</w:t>
            </w:r>
          </w:p>
        </w:tc>
        <w:tc>
          <w:tcPr>
            <w:tcW w:w="1381"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室内，连续</w:t>
            </w: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8" w:space="0"/>
              <w:bottom w:val="single" w:color="auto" w:sz="8" w:space="0"/>
              <w:right w:val="single" w:color="auto" w:sz="8" w:space="0"/>
            </w:tcBorders>
            <w:shd w:val="clear" w:color="auto" w:fill="auto"/>
            <w:vAlign w:val="center"/>
          </w:tcPr>
          <w:p>
            <w:pPr>
              <w:pStyle w:val="107"/>
              <w:numPr>
                <w:ilvl w:val="0"/>
                <w:numId w:val="53"/>
              </w:numPr>
            </w:pPr>
          </w:p>
        </w:tc>
        <w:tc>
          <w:tcPr>
            <w:tcW w:w="2613" w:type="dxa"/>
            <w:gridSpan w:val="2"/>
            <w:tcBorders>
              <w:top w:val="single" w:color="auto" w:sz="8" w:space="0"/>
              <w:left w:val="nil"/>
              <w:bottom w:val="single" w:color="auto" w:sz="8" w:space="0"/>
              <w:right w:val="single" w:color="000000"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空气压缩机</w:t>
            </w:r>
          </w:p>
        </w:tc>
        <w:tc>
          <w:tcPr>
            <w:tcW w:w="1535"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密炼车间外东侧</w:t>
            </w:r>
          </w:p>
        </w:tc>
        <w:tc>
          <w:tcPr>
            <w:tcW w:w="1016" w:type="dxa"/>
            <w:tcBorders>
              <w:top w:val="nil"/>
              <w:left w:val="nil"/>
              <w:bottom w:val="single" w:color="auto" w:sz="8" w:space="0"/>
              <w:right w:val="single" w:color="auto" w:sz="8" w:space="0"/>
            </w:tcBorders>
            <w:shd w:val="clear" w:color="auto" w:fill="auto"/>
            <w:vAlign w:val="center"/>
          </w:tcPr>
          <w:p>
            <w:pPr>
              <w:pStyle w:val="107"/>
            </w:pPr>
            <w:r>
              <w:rPr>
                <w:rFonts w:hint="eastAsia"/>
              </w:rPr>
              <w:t>1</w:t>
            </w:r>
            <w:r>
              <w:t>台</w:t>
            </w:r>
          </w:p>
        </w:tc>
        <w:tc>
          <w:tcPr>
            <w:tcW w:w="1559" w:type="dxa"/>
            <w:tcBorders>
              <w:top w:val="nil"/>
              <w:left w:val="nil"/>
              <w:bottom w:val="single" w:color="auto" w:sz="8" w:space="0"/>
              <w:right w:val="single" w:color="auto" w:sz="8" w:space="0"/>
            </w:tcBorders>
            <w:shd w:val="clear" w:color="auto" w:fill="auto"/>
            <w:vAlign w:val="center"/>
          </w:tcPr>
          <w:p>
            <w:pPr>
              <w:pStyle w:val="107"/>
            </w:pPr>
            <w:r>
              <w:t>90~95</w:t>
            </w:r>
          </w:p>
        </w:tc>
        <w:tc>
          <w:tcPr>
            <w:tcW w:w="1381"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室外，连续</w:t>
            </w: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8" w:space="0"/>
              <w:bottom w:val="single" w:color="auto" w:sz="8" w:space="0"/>
              <w:right w:val="single" w:color="auto" w:sz="8" w:space="0"/>
            </w:tcBorders>
            <w:shd w:val="clear" w:color="auto" w:fill="auto"/>
            <w:vAlign w:val="center"/>
          </w:tcPr>
          <w:p>
            <w:pPr>
              <w:pStyle w:val="107"/>
              <w:numPr>
                <w:ilvl w:val="0"/>
                <w:numId w:val="53"/>
              </w:numPr>
            </w:pPr>
          </w:p>
        </w:tc>
        <w:tc>
          <w:tcPr>
            <w:tcW w:w="2613" w:type="dxa"/>
            <w:gridSpan w:val="2"/>
            <w:tcBorders>
              <w:top w:val="single" w:color="auto" w:sz="8" w:space="0"/>
              <w:left w:val="nil"/>
              <w:bottom w:val="single" w:color="auto" w:sz="8" w:space="0"/>
              <w:right w:val="single" w:color="000000"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抛丸机</w:t>
            </w:r>
          </w:p>
        </w:tc>
        <w:tc>
          <w:tcPr>
            <w:tcW w:w="1535"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包装车间</w:t>
            </w:r>
          </w:p>
        </w:tc>
        <w:tc>
          <w:tcPr>
            <w:tcW w:w="1016" w:type="dxa"/>
            <w:tcBorders>
              <w:top w:val="nil"/>
              <w:left w:val="nil"/>
              <w:bottom w:val="single" w:color="auto" w:sz="8" w:space="0"/>
              <w:right w:val="single" w:color="auto" w:sz="8" w:space="0"/>
            </w:tcBorders>
            <w:shd w:val="clear" w:color="auto" w:fill="auto"/>
            <w:vAlign w:val="center"/>
          </w:tcPr>
          <w:p>
            <w:pPr>
              <w:pStyle w:val="107"/>
            </w:pPr>
            <w:r>
              <w:rPr>
                <w:rFonts w:hint="eastAsia"/>
              </w:rPr>
              <w:t>1台</w:t>
            </w:r>
          </w:p>
        </w:tc>
        <w:tc>
          <w:tcPr>
            <w:tcW w:w="1559" w:type="dxa"/>
            <w:tcBorders>
              <w:top w:val="nil"/>
              <w:left w:val="nil"/>
              <w:bottom w:val="single" w:color="auto" w:sz="8" w:space="0"/>
              <w:right w:val="single" w:color="auto" w:sz="8" w:space="0"/>
            </w:tcBorders>
            <w:shd w:val="clear" w:color="auto" w:fill="auto"/>
            <w:vAlign w:val="center"/>
          </w:tcPr>
          <w:p>
            <w:pPr>
              <w:pStyle w:val="107"/>
            </w:pPr>
            <w:r>
              <w:t>80~85</w:t>
            </w:r>
          </w:p>
        </w:tc>
        <w:tc>
          <w:tcPr>
            <w:tcW w:w="1381"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室内，连续</w:t>
            </w: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8" w:space="0"/>
              <w:bottom w:val="single" w:color="auto" w:sz="8" w:space="0"/>
              <w:right w:val="single" w:color="auto" w:sz="8" w:space="0"/>
            </w:tcBorders>
            <w:shd w:val="clear" w:color="auto" w:fill="auto"/>
            <w:vAlign w:val="center"/>
          </w:tcPr>
          <w:p>
            <w:pPr>
              <w:pStyle w:val="107"/>
              <w:numPr>
                <w:ilvl w:val="0"/>
                <w:numId w:val="53"/>
              </w:numPr>
            </w:pPr>
          </w:p>
        </w:tc>
        <w:tc>
          <w:tcPr>
            <w:tcW w:w="2613" w:type="dxa"/>
            <w:gridSpan w:val="2"/>
            <w:tcBorders>
              <w:top w:val="single" w:color="auto" w:sz="8" w:space="0"/>
              <w:left w:val="nil"/>
              <w:bottom w:val="single" w:color="auto" w:sz="8" w:space="0"/>
              <w:right w:val="single" w:color="000000"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冷却循环水池水泵</w:t>
            </w:r>
          </w:p>
        </w:tc>
        <w:tc>
          <w:tcPr>
            <w:tcW w:w="1535"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密炼车间外东侧</w:t>
            </w:r>
          </w:p>
        </w:tc>
        <w:tc>
          <w:tcPr>
            <w:tcW w:w="1016" w:type="dxa"/>
            <w:tcBorders>
              <w:top w:val="nil"/>
              <w:left w:val="nil"/>
              <w:bottom w:val="single" w:color="auto" w:sz="8" w:space="0"/>
              <w:right w:val="single" w:color="auto" w:sz="8" w:space="0"/>
            </w:tcBorders>
            <w:shd w:val="clear" w:color="auto" w:fill="auto"/>
            <w:vAlign w:val="center"/>
          </w:tcPr>
          <w:p>
            <w:pPr>
              <w:pStyle w:val="107"/>
            </w:pPr>
            <w:r>
              <w:t>2</w:t>
            </w:r>
            <w:r>
              <w:rPr>
                <w:rFonts w:hint="eastAsia"/>
              </w:rPr>
              <w:t>台</w:t>
            </w:r>
          </w:p>
          <w:p>
            <w:pPr>
              <w:pStyle w:val="107"/>
              <w:jc w:val="left"/>
            </w:pPr>
          </w:p>
        </w:tc>
        <w:tc>
          <w:tcPr>
            <w:tcW w:w="1559" w:type="dxa"/>
            <w:tcBorders>
              <w:top w:val="nil"/>
              <w:left w:val="nil"/>
              <w:bottom w:val="single" w:color="auto" w:sz="8" w:space="0"/>
              <w:right w:val="single" w:color="auto" w:sz="8" w:space="0"/>
            </w:tcBorders>
            <w:shd w:val="clear" w:color="auto" w:fill="auto"/>
            <w:vAlign w:val="center"/>
          </w:tcPr>
          <w:p>
            <w:pPr>
              <w:pStyle w:val="107"/>
            </w:pPr>
            <w:r>
              <w:t>75~80</w:t>
            </w:r>
          </w:p>
        </w:tc>
        <w:tc>
          <w:tcPr>
            <w:tcW w:w="1381"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室外，连续</w:t>
            </w: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8" w:space="0"/>
              <w:bottom w:val="single" w:color="auto" w:sz="8" w:space="0"/>
              <w:right w:val="single" w:color="auto" w:sz="8" w:space="0"/>
            </w:tcBorders>
            <w:shd w:val="clear" w:color="auto" w:fill="auto"/>
            <w:vAlign w:val="center"/>
          </w:tcPr>
          <w:p>
            <w:pPr>
              <w:pStyle w:val="107"/>
              <w:numPr>
                <w:ilvl w:val="0"/>
                <w:numId w:val="53"/>
              </w:numPr>
            </w:pPr>
          </w:p>
        </w:tc>
        <w:tc>
          <w:tcPr>
            <w:tcW w:w="1479"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布袋除尘处理设施</w:t>
            </w:r>
          </w:p>
        </w:tc>
        <w:tc>
          <w:tcPr>
            <w:tcW w:w="1134"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配套风机</w:t>
            </w:r>
          </w:p>
        </w:tc>
        <w:tc>
          <w:tcPr>
            <w:tcW w:w="1535"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混炼车间、裁切车间</w:t>
            </w:r>
          </w:p>
        </w:tc>
        <w:tc>
          <w:tcPr>
            <w:tcW w:w="1016" w:type="dxa"/>
            <w:tcBorders>
              <w:top w:val="nil"/>
              <w:left w:val="nil"/>
              <w:bottom w:val="single" w:color="auto" w:sz="8" w:space="0"/>
              <w:right w:val="single" w:color="auto" w:sz="8" w:space="0"/>
            </w:tcBorders>
            <w:shd w:val="clear" w:color="auto" w:fill="auto"/>
            <w:vAlign w:val="center"/>
          </w:tcPr>
          <w:p>
            <w:pPr>
              <w:pStyle w:val="107"/>
            </w:pPr>
            <w:r>
              <w:t>1套</w:t>
            </w:r>
          </w:p>
        </w:tc>
        <w:tc>
          <w:tcPr>
            <w:tcW w:w="1559" w:type="dxa"/>
            <w:tcBorders>
              <w:top w:val="nil"/>
              <w:left w:val="nil"/>
              <w:bottom w:val="single" w:color="auto" w:sz="8" w:space="0"/>
              <w:right w:val="single" w:color="auto" w:sz="8" w:space="0"/>
            </w:tcBorders>
            <w:shd w:val="clear" w:color="auto" w:fill="auto"/>
            <w:vAlign w:val="center"/>
          </w:tcPr>
          <w:p>
            <w:pPr>
              <w:pStyle w:val="107"/>
            </w:pPr>
            <w:r>
              <w:t>80~85</w:t>
            </w:r>
          </w:p>
        </w:tc>
        <w:tc>
          <w:tcPr>
            <w:tcW w:w="1381"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室内，连续</w:t>
            </w: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8" w:space="0"/>
              <w:bottom w:val="single" w:color="auto" w:sz="8" w:space="0"/>
              <w:right w:val="single" w:color="auto" w:sz="8" w:space="0"/>
            </w:tcBorders>
            <w:shd w:val="clear" w:color="auto" w:fill="auto"/>
            <w:vAlign w:val="center"/>
          </w:tcPr>
          <w:p>
            <w:pPr>
              <w:pStyle w:val="107"/>
              <w:numPr>
                <w:ilvl w:val="0"/>
                <w:numId w:val="53"/>
              </w:numPr>
            </w:pPr>
          </w:p>
        </w:tc>
        <w:tc>
          <w:tcPr>
            <w:tcW w:w="1479"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有机废气处理设施</w:t>
            </w:r>
          </w:p>
        </w:tc>
        <w:tc>
          <w:tcPr>
            <w:tcW w:w="1134"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配套风机</w:t>
            </w:r>
          </w:p>
        </w:tc>
        <w:tc>
          <w:tcPr>
            <w:tcW w:w="1535"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密炼车间外东侧</w:t>
            </w:r>
          </w:p>
        </w:tc>
        <w:tc>
          <w:tcPr>
            <w:tcW w:w="1016" w:type="dxa"/>
            <w:tcBorders>
              <w:top w:val="nil"/>
              <w:left w:val="nil"/>
              <w:bottom w:val="single" w:color="auto" w:sz="8" w:space="0"/>
              <w:right w:val="single" w:color="auto" w:sz="8" w:space="0"/>
            </w:tcBorders>
            <w:shd w:val="clear" w:color="auto" w:fill="auto"/>
            <w:vAlign w:val="center"/>
          </w:tcPr>
          <w:p>
            <w:pPr>
              <w:pStyle w:val="107"/>
            </w:pPr>
            <w:r>
              <w:t>1套</w:t>
            </w:r>
          </w:p>
        </w:tc>
        <w:tc>
          <w:tcPr>
            <w:tcW w:w="1559" w:type="dxa"/>
            <w:tcBorders>
              <w:top w:val="nil"/>
              <w:left w:val="nil"/>
              <w:bottom w:val="single" w:color="auto" w:sz="8" w:space="0"/>
              <w:right w:val="single" w:color="auto" w:sz="8" w:space="0"/>
            </w:tcBorders>
            <w:shd w:val="clear" w:color="auto" w:fill="auto"/>
            <w:vAlign w:val="center"/>
          </w:tcPr>
          <w:p>
            <w:pPr>
              <w:pStyle w:val="107"/>
            </w:pPr>
            <w:r>
              <w:t>80~85</w:t>
            </w:r>
          </w:p>
        </w:tc>
        <w:tc>
          <w:tcPr>
            <w:tcW w:w="1381"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室外，连续</w:t>
            </w:r>
          </w:p>
        </w:tc>
      </w:tr>
    </w:tbl>
    <w:p>
      <w:pPr>
        <w:ind w:firstLine="480"/>
        <w:rPr>
          <w:rFonts w:eastAsiaTheme="minorEastAsia"/>
          <w:snapToGrid w:val="0"/>
        </w:rPr>
      </w:pPr>
      <w:r>
        <w:rPr>
          <w:rFonts w:hint="eastAsia" w:eastAsiaTheme="minorEastAsia"/>
          <w:snapToGrid w:val="0"/>
        </w:rPr>
        <w:t>项目噪声源为固定声源，其中室内噪声源有</w:t>
      </w:r>
      <w:r>
        <w:rPr>
          <w:rFonts w:hint="eastAsia" w:eastAsiaTheme="minorEastAsia"/>
        </w:rPr>
        <w:t>密炼机、空压机、</w:t>
      </w:r>
      <w:r>
        <w:rPr>
          <w:rFonts w:hint="eastAsia" w:cs="Times New Roman" w:eastAsiaTheme="minorEastAsia"/>
        </w:rPr>
        <w:t>开炼机、裁切机、硫化机</w:t>
      </w:r>
      <w:r>
        <w:rPr>
          <w:rFonts w:hint="eastAsia" w:eastAsiaTheme="minorEastAsia"/>
          <w:snapToGrid w:val="0"/>
        </w:rPr>
        <w:t>等，建筑结构为混砖结构及钢结构，室外噪声源主要为风机、水泵。</w:t>
      </w:r>
    </w:p>
    <w:p>
      <w:pPr>
        <w:ind w:firstLine="480"/>
        <w:rPr>
          <w:rFonts w:eastAsiaTheme="minorEastAsia"/>
          <w:snapToGrid w:val="0"/>
        </w:rPr>
      </w:pPr>
      <w:r>
        <w:rPr>
          <w:rFonts w:hint="eastAsia" w:eastAsiaTheme="minorEastAsia"/>
          <w:snapToGrid w:val="0"/>
        </w:rPr>
        <w:t>为降低本项目的噪声影响，建设单位采取的隔声降噪措施有：</w:t>
      </w:r>
    </w:p>
    <w:p>
      <w:pPr>
        <w:numPr>
          <w:ilvl w:val="0"/>
          <w:numId w:val="54"/>
        </w:numPr>
        <w:ind w:firstLine="480"/>
        <w:jc w:val="both"/>
        <w:rPr>
          <w:rFonts w:eastAsiaTheme="minorEastAsia"/>
          <w:snapToGrid w:val="0"/>
        </w:rPr>
      </w:pPr>
      <w:r>
        <w:rPr>
          <w:rFonts w:eastAsiaTheme="minorEastAsia"/>
          <w:snapToGrid w:val="0"/>
        </w:rPr>
        <w:t>设备选型。</w:t>
      </w:r>
      <w:r>
        <w:rPr>
          <w:rFonts w:hint="eastAsia" w:eastAsiaTheme="minorEastAsia"/>
          <w:snapToGrid w:val="0"/>
        </w:rPr>
        <w:t>从噪声源入手，在满足工艺要求的前提下，</w:t>
      </w:r>
      <w:r>
        <w:rPr>
          <w:rFonts w:eastAsiaTheme="minorEastAsia"/>
          <w:snapToGrid w:val="0"/>
        </w:rPr>
        <w:t>充分选用先进的</w:t>
      </w:r>
      <w:r>
        <w:rPr>
          <w:rFonts w:hint="eastAsia" w:eastAsiaTheme="minorEastAsia"/>
          <w:snapToGrid w:val="0"/>
        </w:rPr>
        <w:t>低噪设备，如选用低噪的风机等，从声源上降低设备本身噪声；</w:t>
      </w:r>
    </w:p>
    <w:p>
      <w:pPr>
        <w:numPr>
          <w:ilvl w:val="0"/>
          <w:numId w:val="54"/>
        </w:numPr>
        <w:ind w:firstLine="480"/>
        <w:jc w:val="both"/>
        <w:rPr>
          <w:rFonts w:eastAsiaTheme="minorEastAsia"/>
          <w:snapToGrid w:val="0"/>
        </w:rPr>
      </w:pPr>
      <w:r>
        <w:rPr>
          <w:rFonts w:hint="eastAsia" w:eastAsiaTheme="minorEastAsia"/>
          <w:snapToGrid w:val="0"/>
        </w:rPr>
        <w:t>在设备、管道设计中，注意防震、防冲击，以减轻振动噪声，并注意改善气体输流时流畅状况，以减轻空气动力噪声；</w:t>
      </w:r>
    </w:p>
    <w:p>
      <w:pPr>
        <w:numPr>
          <w:ilvl w:val="0"/>
          <w:numId w:val="54"/>
        </w:numPr>
        <w:ind w:firstLine="480"/>
        <w:jc w:val="both"/>
        <w:rPr>
          <w:rFonts w:eastAsiaTheme="minorEastAsia"/>
          <w:snapToGrid w:val="0"/>
        </w:rPr>
      </w:pPr>
      <w:r>
        <w:rPr>
          <w:rFonts w:eastAsiaTheme="minorEastAsia"/>
          <w:snapToGrid w:val="0"/>
        </w:rPr>
        <w:t>设备隔声。</w:t>
      </w:r>
      <w:r>
        <w:rPr>
          <w:rFonts w:hint="eastAsia" w:eastAsiaTheme="minorEastAsia"/>
          <w:snapToGrid w:val="0"/>
        </w:rPr>
        <w:t>风机等高噪声设备进行基础减振</w:t>
      </w:r>
      <w:r>
        <w:rPr>
          <w:rFonts w:eastAsiaTheme="minorEastAsia"/>
          <w:snapToGrid w:val="0"/>
        </w:rPr>
        <w:t>，安装减震垫；</w:t>
      </w:r>
      <w:r>
        <w:rPr>
          <w:rFonts w:hint="eastAsia" w:eastAsiaTheme="minorEastAsia"/>
          <w:snapToGrid w:val="0"/>
        </w:rPr>
        <w:t>在</w:t>
      </w:r>
      <w:r>
        <w:rPr>
          <w:rFonts w:eastAsiaTheme="minorEastAsia"/>
          <w:snapToGrid w:val="0"/>
        </w:rPr>
        <w:t>风</w:t>
      </w:r>
      <w:r>
        <w:rPr>
          <w:rFonts w:hint="eastAsia" w:eastAsiaTheme="minorEastAsia"/>
          <w:snapToGrid w:val="0"/>
        </w:rPr>
        <w:t>机的风管进、出口安装消声器，并采用风管软接头；</w:t>
      </w:r>
    </w:p>
    <w:p>
      <w:pPr>
        <w:numPr>
          <w:ilvl w:val="0"/>
          <w:numId w:val="54"/>
        </w:numPr>
        <w:ind w:firstLine="480"/>
        <w:jc w:val="both"/>
        <w:rPr>
          <w:rFonts w:eastAsiaTheme="minorEastAsia"/>
          <w:snapToGrid w:val="0"/>
        </w:rPr>
      </w:pPr>
      <w:r>
        <w:rPr>
          <w:rFonts w:eastAsiaTheme="minorEastAsia"/>
          <w:snapToGrid w:val="0"/>
        </w:rPr>
        <w:t>总</w:t>
      </w:r>
      <w:r>
        <w:rPr>
          <w:rFonts w:hint="eastAsia" w:eastAsiaTheme="minorEastAsia"/>
          <w:snapToGrid w:val="0"/>
        </w:rPr>
        <w:t>平面</w:t>
      </w:r>
      <w:r>
        <w:rPr>
          <w:rFonts w:eastAsiaTheme="minorEastAsia"/>
          <w:snapToGrid w:val="0"/>
        </w:rPr>
        <w:t>布置尽量将噪声大的噪声源远离厂界和敏感点，通过距离衰减降噪；</w:t>
      </w:r>
    </w:p>
    <w:p>
      <w:pPr>
        <w:numPr>
          <w:ilvl w:val="0"/>
          <w:numId w:val="54"/>
        </w:numPr>
        <w:ind w:firstLine="480"/>
        <w:jc w:val="both"/>
        <w:rPr>
          <w:rFonts w:eastAsiaTheme="minorEastAsia"/>
          <w:snapToGrid w:val="0"/>
        </w:rPr>
      </w:pPr>
      <w:r>
        <w:rPr>
          <w:rFonts w:eastAsiaTheme="minorEastAsia"/>
          <w:snapToGrid w:val="0"/>
        </w:rPr>
        <w:t>车间隔声。通过生产车间的墙壁、房顶采用吸声材料及隔声结构，</w:t>
      </w:r>
      <w:r>
        <w:rPr>
          <w:rFonts w:hint="eastAsia" w:eastAsiaTheme="minorEastAsia"/>
          <w:snapToGrid w:val="0"/>
        </w:rPr>
        <w:t>采用隔声门窗来提高构筑物隔声量；</w:t>
      </w:r>
    </w:p>
    <w:p>
      <w:pPr>
        <w:numPr>
          <w:ilvl w:val="0"/>
          <w:numId w:val="54"/>
        </w:numPr>
        <w:ind w:firstLine="480"/>
        <w:jc w:val="both"/>
        <w:rPr>
          <w:rFonts w:eastAsiaTheme="minorEastAsia"/>
          <w:snapToGrid w:val="0"/>
        </w:rPr>
      </w:pPr>
      <w:r>
        <w:rPr>
          <w:rFonts w:eastAsiaTheme="minorEastAsia"/>
          <w:snapToGrid w:val="0"/>
        </w:rPr>
        <w:t>加强设备的</w:t>
      </w:r>
      <w:r>
        <w:rPr>
          <w:rFonts w:hint="eastAsia" w:eastAsiaTheme="minorEastAsia"/>
          <w:snapToGrid w:val="0"/>
        </w:rPr>
        <w:t>维护管理</w:t>
      </w:r>
      <w:r>
        <w:rPr>
          <w:rFonts w:eastAsiaTheme="minorEastAsia"/>
          <w:snapToGrid w:val="0"/>
        </w:rPr>
        <w:t>，使设备处于最佳工作状态，杜绝因设备不正常运转</w:t>
      </w:r>
      <w:r>
        <w:rPr>
          <w:rFonts w:hint="eastAsia" w:eastAsiaTheme="minorEastAsia"/>
          <w:snapToGrid w:val="0"/>
        </w:rPr>
        <w:t>所</w:t>
      </w:r>
      <w:r>
        <w:rPr>
          <w:rFonts w:eastAsiaTheme="minorEastAsia"/>
          <w:snapToGrid w:val="0"/>
        </w:rPr>
        <w:t>产生的高噪声现象</w:t>
      </w:r>
      <w:r>
        <w:rPr>
          <w:rFonts w:hint="eastAsia" w:eastAsiaTheme="minorEastAsia"/>
          <w:snapToGrid w:val="0"/>
        </w:rPr>
        <w:t>。</w:t>
      </w:r>
    </w:p>
    <w:p>
      <w:pPr>
        <w:ind w:firstLine="480"/>
        <w:jc w:val="both"/>
        <w:rPr>
          <w:rFonts w:eastAsiaTheme="minorEastAsia"/>
        </w:rPr>
      </w:pPr>
      <w:r>
        <w:rPr>
          <w:rFonts w:hint="eastAsia" w:eastAsiaTheme="minorEastAsia"/>
        </w:rPr>
        <w:t>采取以上措施后设备噪声强度可降低5~</w:t>
      </w:r>
      <w:r>
        <w:rPr>
          <w:rFonts w:eastAsiaTheme="minorEastAsia"/>
        </w:rPr>
        <w:t>2</w:t>
      </w:r>
      <w:r>
        <w:rPr>
          <w:rFonts w:hint="eastAsia" w:eastAsiaTheme="minorEastAsia"/>
        </w:rPr>
        <w:t>0dB(A)。</w:t>
      </w:r>
    </w:p>
    <w:p>
      <w:pPr>
        <w:pStyle w:val="5"/>
      </w:pPr>
      <w:r>
        <w:rPr>
          <w:rFonts w:hint="eastAsia"/>
        </w:rPr>
        <w:t>预测范围和评价标准</w:t>
      </w:r>
    </w:p>
    <w:p>
      <w:pPr>
        <w:pStyle w:val="102"/>
        <w:numPr>
          <w:ilvl w:val="0"/>
          <w:numId w:val="55"/>
        </w:numPr>
        <w:rPr>
          <w:rFonts w:asciiTheme="minorHAnsi" w:hAnsiTheme="minorHAnsi"/>
        </w:rPr>
      </w:pPr>
      <w:r>
        <w:rPr>
          <w:rFonts w:hint="eastAsia" w:asciiTheme="minorHAnsi" w:hAnsiTheme="minorHAnsi"/>
        </w:rPr>
        <w:t>预测范围</w:t>
      </w:r>
    </w:p>
    <w:p>
      <w:pPr>
        <w:ind w:firstLine="480"/>
        <w:jc w:val="both"/>
        <w:rPr>
          <w:rFonts w:cs="Times New Roman" w:eastAsiaTheme="minorEastAsia"/>
        </w:rPr>
      </w:pPr>
      <w:r>
        <w:rPr>
          <w:rFonts w:hint="eastAsia" w:cs="Times New Roman" w:eastAsiaTheme="minorEastAsia"/>
        </w:rPr>
        <w:t>预测范围与现状评价范围相同，为厂界外2</w:t>
      </w:r>
      <w:r>
        <w:rPr>
          <w:rFonts w:cs="Times New Roman" w:eastAsiaTheme="minorEastAsia"/>
        </w:rPr>
        <w:t>00</w:t>
      </w:r>
      <w:r>
        <w:rPr>
          <w:rFonts w:hint="eastAsia" w:cs="Times New Roman" w:eastAsiaTheme="minorEastAsia"/>
        </w:rPr>
        <w:t>m范围的区域，评价范围内没有声环境敏感点。</w:t>
      </w:r>
    </w:p>
    <w:p>
      <w:pPr>
        <w:pStyle w:val="102"/>
        <w:numPr>
          <w:ilvl w:val="0"/>
          <w:numId w:val="55"/>
        </w:numPr>
        <w:rPr>
          <w:rFonts w:asciiTheme="minorHAnsi" w:hAnsiTheme="minorHAnsi" w:eastAsiaTheme="minorEastAsia"/>
        </w:rPr>
      </w:pPr>
      <w:r>
        <w:rPr>
          <w:rFonts w:hint="eastAsia" w:asciiTheme="minorHAnsi" w:hAnsiTheme="minorHAnsi" w:eastAsiaTheme="minorEastAsia"/>
        </w:rPr>
        <w:t>评价标准</w:t>
      </w:r>
    </w:p>
    <w:p>
      <w:pPr>
        <w:ind w:firstLine="480"/>
        <w:jc w:val="both"/>
        <w:rPr>
          <w:rFonts w:cs="Times New Roman" w:eastAsiaTheme="minorEastAsia"/>
        </w:rPr>
      </w:pPr>
      <w:r>
        <w:rPr>
          <w:rFonts w:hint="eastAsia" w:cs="Times New Roman" w:eastAsiaTheme="minorEastAsia"/>
        </w:rPr>
        <w:t>项目厂界噪声贡献值执行《工业企业厂界环境噪声排放标准》（GB</w:t>
      </w:r>
      <w:r>
        <w:rPr>
          <w:rFonts w:cs="Times New Roman" w:eastAsiaTheme="minorEastAsia"/>
        </w:rPr>
        <w:t xml:space="preserve"> </w:t>
      </w:r>
      <w:r>
        <w:rPr>
          <w:rFonts w:hint="eastAsia" w:cs="Times New Roman" w:eastAsiaTheme="minorEastAsia"/>
        </w:rPr>
        <w:t>12348-2008）2类标准限值要求：昼间≤60dB（A），夜间≤50dB（A）；预测点的贡献值与现状背景值叠加后的预测值执行《声环境质量标准》（GB 3096-2008）2类标准限值要求：昼间≤60dB（A），夜间≤50dB（A）。</w:t>
      </w:r>
    </w:p>
    <w:p>
      <w:pPr>
        <w:pStyle w:val="102"/>
        <w:numPr>
          <w:ilvl w:val="0"/>
          <w:numId w:val="55"/>
        </w:numPr>
        <w:rPr>
          <w:rFonts w:asciiTheme="minorHAnsi" w:hAnsiTheme="minorHAnsi"/>
        </w:rPr>
      </w:pPr>
      <w:r>
        <w:rPr>
          <w:rFonts w:hint="eastAsia" w:asciiTheme="minorHAnsi" w:hAnsiTheme="minorHAnsi"/>
        </w:rPr>
        <w:t>预测内容</w:t>
      </w:r>
    </w:p>
    <w:p>
      <w:pPr>
        <w:pStyle w:val="131"/>
        <w:numPr>
          <w:ilvl w:val="0"/>
          <w:numId w:val="56"/>
        </w:numPr>
        <w:ind w:firstLine="480"/>
      </w:pPr>
      <w:r>
        <w:rPr>
          <w:rFonts w:hint="eastAsia"/>
        </w:rPr>
        <w:t>厂界噪声预测：预测在考虑墙体及其它控制措施等对主要声源排放噪声的削减作用情况下，主要声源同时排放噪声（最严重影响情况）对建设项目厂址边界（</w:t>
      </w:r>
      <w:r>
        <w:rPr>
          <w:rFonts w:hint="eastAsia"/>
          <w:color w:val="000000"/>
        </w:rPr>
        <w:t>东</w:t>
      </w:r>
      <w:r>
        <w:rPr>
          <w:color w:val="000000"/>
        </w:rPr>
        <w:t>、</w:t>
      </w:r>
      <w:r>
        <w:rPr>
          <w:rFonts w:hint="eastAsia"/>
          <w:color w:val="000000"/>
        </w:rPr>
        <w:t>南</w:t>
      </w:r>
      <w:r>
        <w:rPr>
          <w:color w:val="000000"/>
        </w:rPr>
        <w:t>、</w:t>
      </w:r>
      <w:r>
        <w:rPr>
          <w:rFonts w:hint="eastAsia"/>
          <w:color w:val="000000"/>
        </w:rPr>
        <w:t>西</w:t>
      </w:r>
      <w:r>
        <w:rPr>
          <w:color w:val="000000"/>
        </w:rPr>
        <w:t>、</w:t>
      </w:r>
      <w:r>
        <w:rPr>
          <w:rFonts w:hint="eastAsia"/>
          <w:color w:val="000000"/>
        </w:rPr>
        <w:t>北边界</w:t>
      </w:r>
      <w:r>
        <w:rPr>
          <w:rFonts w:hint="eastAsia"/>
        </w:rPr>
        <w:t>）声环境质量的叠加影响，给出厂界噪声的最大值及位置。</w:t>
      </w:r>
    </w:p>
    <w:p>
      <w:pPr>
        <w:pStyle w:val="131"/>
        <w:numPr>
          <w:ilvl w:val="0"/>
          <w:numId w:val="56"/>
        </w:numPr>
        <w:ind w:firstLine="480"/>
      </w:pPr>
      <w:r>
        <w:rPr>
          <w:rFonts w:hint="eastAsia"/>
        </w:rPr>
        <w:t>敏感目标噪声预测：预测敏感目标的贡献值、预测值、预测值与现状噪声值的差值，敏感目标所处声环境功能区的声环境质量变化，敏感目标所受噪声影响的程度，确定噪声影响的范围，并说明受影响人口分布情况。</w:t>
      </w:r>
    </w:p>
    <w:p>
      <w:pPr>
        <w:pStyle w:val="131"/>
        <w:numPr>
          <w:ilvl w:val="0"/>
          <w:numId w:val="56"/>
        </w:numPr>
        <w:ind w:firstLine="480"/>
      </w:pPr>
      <w:r>
        <w:rPr>
          <w:rFonts w:hint="eastAsia"/>
        </w:rPr>
        <w:t>绘制等声级线图：绘制等声级线图，说明噪声超标的范围和程度。</w:t>
      </w:r>
    </w:p>
    <w:p>
      <w:pPr>
        <w:pStyle w:val="131"/>
        <w:numPr>
          <w:ilvl w:val="0"/>
          <w:numId w:val="56"/>
        </w:numPr>
        <w:ind w:firstLine="480"/>
      </w:pPr>
      <w:r>
        <w:rPr>
          <w:rFonts w:hint="eastAsia"/>
        </w:rPr>
        <w:t>根据厂界和敏感目标受影响的状况，明确影响厂界和周围声环境功能区声环境质量的主要声源，分析厂界和敏感目标的超标原因。</w:t>
      </w:r>
    </w:p>
    <w:p>
      <w:pPr>
        <w:pStyle w:val="5"/>
      </w:pPr>
      <w:r>
        <w:rPr>
          <w:rFonts w:hint="eastAsia"/>
        </w:rPr>
        <w:t>预测模式</w:t>
      </w:r>
    </w:p>
    <w:p>
      <w:pPr>
        <w:ind w:firstLine="480"/>
        <w:rPr>
          <w:rFonts w:eastAsiaTheme="minorEastAsia"/>
          <w:snapToGrid w:val="0"/>
        </w:rPr>
      </w:pPr>
      <w:r>
        <w:rPr>
          <w:rFonts w:hint="eastAsia" w:eastAsiaTheme="minorEastAsia"/>
          <w:snapToGrid w:val="0"/>
        </w:rPr>
        <w:t>噪声的衰减主要与声传播距离、空气吸收、阻挡物的反射与屏障等因素有关。各声源由于厂区内外其他建筑物的屏障衰减、空气吸收引起的衰减以及由于云雾、温度梯度、风及地面其他效应等引起的衰减量难确定其取值范围，且其引起的衰减量不大，保守起见，本次预测中</w:t>
      </w:r>
      <w:r>
        <w:rPr>
          <w:rFonts w:hint="eastAsia" w:cs="Times New Roman" w:eastAsiaTheme="minorEastAsia"/>
        </w:rPr>
        <w:t>噪声传播过程仅</w:t>
      </w:r>
      <w:r>
        <w:rPr>
          <w:rFonts w:hint="eastAsia" w:eastAsiaTheme="minorEastAsia"/>
          <w:snapToGrid w:val="0"/>
        </w:rPr>
        <w:t>考虑厂区内各声源至受声点（预测点）的距离衰减及车间墙体隔音量</w:t>
      </w:r>
      <w:r>
        <w:rPr>
          <w:rFonts w:hint="eastAsia" w:cs="Times New Roman" w:eastAsiaTheme="minorEastAsia"/>
        </w:rPr>
        <w:t>，空气吸收、地面效应等引起的衰减量忽略不计</w:t>
      </w:r>
      <w:r>
        <w:rPr>
          <w:rFonts w:hint="eastAsia" w:eastAsiaTheme="minorEastAsia"/>
          <w:snapToGrid w:val="0"/>
        </w:rPr>
        <w:t>。</w:t>
      </w:r>
    </w:p>
    <w:p>
      <w:pPr>
        <w:ind w:firstLine="480"/>
        <w:rPr>
          <w:rFonts w:eastAsiaTheme="minorEastAsia"/>
          <w:snapToGrid w:val="0"/>
        </w:rPr>
      </w:pPr>
      <w:r>
        <w:rPr>
          <w:rFonts w:hint="eastAsia" w:eastAsiaTheme="minorEastAsia"/>
          <w:snapToGrid w:val="0"/>
        </w:rPr>
        <w:t>根据项目的噪声排放特点，结合《环境影响评价技术导则 声环境》（HJ</w:t>
      </w:r>
      <w:r>
        <w:rPr>
          <w:rFonts w:eastAsiaTheme="minorEastAsia"/>
          <w:snapToGrid w:val="0"/>
        </w:rPr>
        <w:t xml:space="preserve"> </w:t>
      </w:r>
      <w:r>
        <w:rPr>
          <w:rFonts w:hint="eastAsia" w:eastAsiaTheme="minorEastAsia"/>
          <w:snapToGrid w:val="0"/>
        </w:rPr>
        <w:t>2.4-2009）的要求，</w:t>
      </w:r>
      <w:r>
        <w:rPr>
          <w:rFonts w:hint="eastAsia" w:cs="Times New Roman" w:eastAsiaTheme="minorEastAsia"/>
        </w:rPr>
        <w:t>预测模式采用“8.4典型建设项目噪声影响预测”中的“8.4.1 工业噪声预测”计算模式</w:t>
      </w:r>
      <w:r>
        <w:rPr>
          <w:rFonts w:hint="eastAsia" w:eastAsiaTheme="minorEastAsia"/>
          <w:snapToGrid w:val="0"/>
        </w:rPr>
        <w:t>。</w:t>
      </w:r>
      <w:r>
        <w:rPr>
          <w:rFonts w:hint="eastAsia" w:cs="Times New Roman" w:eastAsiaTheme="minorEastAsia"/>
        </w:rPr>
        <w:t>根据项目噪声源的特征，主要噪声源到接受点的距离超过噪声源最大几何尺寸的2倍，各噪声源可近似作为点声源处理。</w:t>
      </w:r>
    </w:p>
    <w:p>
      <w:pPr>
        <w:ind w:firstLine="480"/>
        <w:rPr>
          <w:rFonts w:eastAsiaTheme="minorEastAsia"/>
          <w:snapToGrid w:val="0"/>
        </w:rPr>
      </w:pPr>
      <w:r>
        <w:rPr>
          <w:rFonts w:hint="eastAsia" w:cs="Times New Roman" w:eastAsiaTheme="minorEastAsia"/>
        </w:rPr>
        <w:t>依据建设项目平面布置图、设备清单及声源源强等资料，建立坐标系，坐标原点设在混炼车间的东边角，X轴正向为东方向，Y轴正向为北方向。确定各室外噪声源位置和室内噪声源源等效为室外噪声源位置及预测点位置，分别计算各噪声源对各预测点的贡献值，并进行叠加，得出各预测点的噪声贡献值。</w:t>
      </w:r>
    </w:p>
    <w:p>
      <w:pPr>
        <w:pStyle w:val="126"/>
        <w:numPr>
          <w:ilvl w:val="0"/>
          <w:numId w:val="57"/>
        </w:numPr>
        <w:ind w:firstLine="482"/>
        <w:rPr>
          <w:snapToGrid w:val="0"/>
        </w:rPr>
      </w:pPr>
      <w:r>
        <w:rPr>
          <w:rFonts w:hint="eastAsia"/>
          <w:snapToGrid w:val="0"/>
        </w:rPr>
        <w:t>室外声源</w:t>
      </w:r>
    </w:p>
    <w:p>
      <w:pPr>
        <w:tabs>
          <w:tab w:val="left" w:pos="3686"/>
        </w:tabs>
        <w:ind w:firstLine="480"/>
        <w:rPr>
          <w:rFonts w:cs="TimesNewRomanPS-ItalicMT"/>
          <w:i/>
          <w:iCs/>
        </w:rPr>
      </w:pPr>
      <w:r>
        <w:rPr>
          <w:rFonts w:hint="eastAsia" w:eastAsiaTheme="minorEastAsia"/>
          <w:snapToGrid w:val="0"/>
        </w:rPr>
        <w:t>已知靠近声源某一参考位置处的声级时，单个室外的点声源在预测点产生的声级贡献值计算基本公式为：</w:t>
      </w:r>
      <w:r>
        <w:rPr>
          <w:rFonts w:eastAsiaTheme="minorEastAsia"/>
          <w:snapToGrid w:val="0"/>
        </w:rPr>
        <w:tab/>
      </w:r>
      <w:r>
        <w:rPr>
          <w:rFonts w:cs="TimesNewRomanPS-ItalicMT"/>
          <w:i/>
          <w:iCs/>
        </w:rPr>
        <w:t>L</w:t>
      </w:r>
      <w:r>
        <w:rPr>
          <w:rFonts w:hint="eastAsia" w:cs="TimesNewRomanPS-ItalicMT"/>
          <w:i/>
          <w:iCs/>
          <w:vertAlign w:val="subscript"/>
        </w:rPr>
        <w:t>p</w:t>
      </w:r>
      <w:r>
        <w:rPr>
          <w:rFonts w:cs="TimesNewRomanPS-ItalicMT"/>
          <w:i/>
          <w:iCs/>
        </w:rPr>
        <w:t xml:space="preserve"> </w:t>
      </w:r>
      <w:r>
        <w:rPr>
          <w:rFonts w:cs="TimesNewRomanPSMT"/>
          <w:i/>
        </w:rPr>
        <w:t>(</w:t>
      </w:r>
      <w:r>
        <w:rPr>
          <w:rFonts w:cs="TimesNewRomanPS-ItalicMT"/>
          <w:i/>
          <w:iCs/>
        </w:rPr>
        <w:t>r</w:t>
      </w:r>
      <w:r>
        <w:rPr>
          <w:rFonts w:cs="TimesNewRomanPSMT"/>
          <w:i/>
        </w:rPr>
        <w:t xml:space="preserve">) </w:t>
      </w:r>
      <w:r>
        <w:rPr>
          <w:rFonts w:cs="SymbolMT"/>
          <w:i/>
        </w:rPr>
        <w:t xml:space="preserve">= </w:t>
      </w:r>
      <w:r>
        <w:rPr>
          <w:rFonts w:cs="TimesNewRomanPS-ItalicMT"/>
          <w:i/>
          <w:iCs/>
        </w:rPr>
        <w:t>L</w:t>
      </w:r>
      <w:r>
        <w:rPr>
          <w:rFonts w:cs="TimesNewRomanPS-ItalicMT"/>
          <w:i/>
          <w:iCs/>
          <w:vertAlign w:val="subscript"/>
        </w:rPr>
        <w:t>p</w:t>
      </w:r>
      <w:r>
        <w:rPr>
          <w:rFonts w:cs="TimesNewRomanPS-ItalicMT"/>
          <w:i/>
          <w:iCs/>
        </w:rPr>
        <w:t xml:space="preserve"> </w:t>
      </w:r>
      <w:r>
        <w:rPr>
          <w:rFonts w:cs="TimesNewRomanPSMT"/>
          <w:i/>
        </w:rPr>
        <w:t>(</w:t>
      </w:r>
      <w:r>
        <w:rPr>
          <w:rFonts w:cs="TimesNewRomanPS-ItalicMT"/>
          <w:i/>
          <w:iCs/>
        </w:rPr>
        <w:t>r</w:t>
      </w:r>
      <w:r>
        <w:rPr>
          <w:rFonts w:cs="TimesNewRomanPSMT"/>
          <w:i/>
          <w:vertAlign w:val="subscript"/>
        </w:rPr>
        <w:t>0</w:t>
      </w:r>
      <w:r>
        <w:rPr>
          <w:rFonts w:cs="TimesNewRomanPSMT"/>
          <w:i/>
        </w:rPr>
        <w:t xml:space="preserve"> )</w:t>
      </w:r>
      <w:r>
        <w:rPr>
          <w:rFonts w:hint="eastAsia" w:eastAsia="MS Mincho" w:cs="MS Mincho"/>
          <w:i/>
        </w:rPr>
        <w:t>−</w:t>
      </w:r>
      <w:r>
        <w:rPr>
          <w:rFonts w:cs="TimesNewRomanPS-ItalicMT"/>
          <w:i/>
          <w:iCs/>
        </w:rPr>
        <w:t>A</w:t>
      </w:r>
    </w:p>
    <w:p>
      <w:pPr>
        <w:autoSpaceDE w:val="0"/>
        <w:autoSpaceDN w:val="0"/>
        <w:adjustRightInd w:val="0"/>
        <w:spacing w:line="384" w:lineRule="auto"/>
        <w:ind w:firstLine="480"/>
        <w:jc w:val="center"/>
        <w:rPr>
          <w:rFonts w:cs="TimesNewRomanPS-ItalicMT"/>
          <w:i/>
          <w:iCs/>
        </w:rPr>
      </w:pPr>
      <w:r>
        <w:rPr>
          <w:rFonts w:cs="TimesNewRomanPS-ItalicMT"/>
          <w:i/>
          <w:iCs/>
        </w:rPr>
        <w:t xml:space="preserve">A </w:t>
      </w:r>
      <w:r>
        <w:rPr>
          <w:rFonts w:cs="SymbolMT"/>
        </w:rPr>
        <w:t xml:space="preserve">= </w:t>
      </w:r>
      <w:r>
        <w:rPr>
          <w:rFonts w:cs="TimesNewRomanPS-ItalicMT"/>
          <w:i/>
          <w:iCs/>
        </w:rPr>
        <w:t>A</w:t>
      </w:r>
      <w:r>
        <w:rPr>
          <w:rFonts w:hint="eastAsia" w:cs="TimesNewRomanPS-ItalicMT"/>
          <w:i/>
          <w:iCs/>
          <w:vertAlign w:val="subscript"/>
        </w:rPr>
        <w:t>div</w:t>
      </w:r>
      <w:r>
        <w:rPr>
          <w:rFonts w:cs="TimesNewRomanPS-ItalicMT"/>
          <w:i/>
          <w:iCs/>
        </w:rPr>
        <w:t xml:space="preserve"> </w:t>
      </w:r>
      <w:r>
        <w:rPr>
          <w:rFonts w:cs="SymbolMT"/>
        </w:rPr>
        <w:t xml:space="preserve">+ </w:t>
      </w:r>
      <w:r>
        <w:rPr>
          <w:rFonts w:cs="TimesNewRomanPS-ItalicMT"/>
          <w:i/>
          <w:iCs/>
        </w:rPr>
        <w:t>A</w:t>
      </w:r>
      <w:r>
        <w:rPr>
          <w:rFonts w:hint="eastAsia" w:cs="TimesNewRomanPS-ItalicMT"/>
          <w:i/>
          <w:iCs/>
          <w:vertAlign w:val="subscript"/>
        </w:rPr>
        <w:t>atm</w:t>
      </w:r>
      <w:r>
        <w:rPr>
          <w:rFonts w:cs="TimesNewRomanPS-ItalicMT"/>
          <w:i/>
          <w:iCs/>
        </w:rPr>
        <w:t xml:space="preserve"> </w:t>
      </w:r>
      <w:r>
        <w:rPr>
          <w:rFonts w:cs="SymbolMT"/>
        </w:rPr>
        <w:t xml:space="preserve">+ </w:t>
      </w:r>
      <w:r>
        <w:rPr>
          <w:rFonts w:cs="TimesNewRomanPS-ItalicMT"/>
          <w:i/>
          <w:iCs/>
        </w:rPr>
        <w:t>A</w:t>
      </w:r>
      <w:r>
        <w:rPr>
          <w:rFonts w:hint="eastAsia" w:cs="TimesNewRomanPS-ItalicMT"/>
          <w:i/>
          <w:iCs/>
          <w:vertAlign w:val="subscript"/>
        </w:rPr>
        <w:t>gr</w:t>
      </w:r>
      <w:r>
        <w:rPr>
          <w:rFonts w:cs="TimesNewRomanPS-ItalicMT"/>
          <w:i/>
          <w:iCs/>
        </w:rPr>
        <w:t xml:space="preserve"> </w:t>
      </w:r>
      <w:r>
        <w:rPr>
          <w:rFonts w:cs="SymbolMT"/>
        </w:rPr>
        <w:t xml:space="preserve">+ </w:t>
      </w:r>
      <w:r>
        <w:rPr>
          <w:rFonts w:cs="TimesNewRomanPS-ItalicMT"/>
          <w:i/>
          <w:iCs/>
        </w:rPr>
        <w:t>A</w:t>
      </w:r>
      <w:r>
        <w:rPr>
          <w:rFonts w:hint="eastAsia" w:cs="TimesNewRomanPS-ItalicMT"/>
          <w:i/>
          <w:iCs/>
          <w:vertAlign w:val="subscript"/>
        </w:rPr>
        <w:t>bar</w:t>
      </w:r>
      <w:r>
        <w:rPr>
          <w:rFonts w:cs="TimesNewRomanPS-ItalicMT"/>
          <w:i/>
          <w:iCs/>
        </w:rPr>
        <w:t xml:space="preserve"> </w:t>
      </w:r>
      <w:r>
        <w:rPr>
          <w:rFonts w:cs="SymbolMT"/>
        </w:rPr>
        <w:t xml:space="preserve">+ </w:t>
      </w:r>
      <w:r>
        <w:rPr>
          <w:rFonts w:cs="TimesNewRomanPS-ItalicMT"/>
          <w:i/>
          <w:iCs/>
        </w:rPr>
        <w:t>A</w:t>
      </w:r>
      <w:r>
        <w:rPr>
          <w:rFonts w:hint="eastAsia" w:cs="TimesNewRomanPS-ItalicMT"/>
          <w:i/>
          <w:iCs/>
          <w:vertAlign w:val="subscript"/>
        </w:rPr>
        <w:t>misc</w:t>
      </w:r>
    </w:p>
    <w:p>
      <w:pPr>
        <w:ind w:firstLine="480"/>
      </w:pPr>
      <w:r>
        <w:rPr>
          <w:rFonts w:hint="eastAsia"/>
        </w:rPr>
        <w:t>式中：</w:t>
      </w:r>
      <w:r>
        <w:rPr>
          <w:rFonts w:cs="TimesNewRomanPS-ItalicMT"/>
          <w:i/>
          <w:iCs/>
        </w:rPr>
        <w:t>L</w:t>
      </w:r>
      <w:r>
        <w:rPr>
          <w:rFonts w:cs="TimesNewRomanPS-ItalicMT"/>
          <w:i/>
          <w:iCs/>
          <w:vertAlign w:val="subscript"/>
        </w:rPr>
        <w:t>p</w:t>
      </w:r>
      <w:r>
        <w:rPr>
          <w:rFonts w:cs="TimesNewRomanPS-ItalicMT"/>
          <w:i/>
          <w:iCs/>
        </w:rPr>
        <w:t xml:space="preserve"> </w:t>
      </w:r>
      <w:r>
        <w:rPr>
          <w:rFonts w:cs="TimesNewRomanPSMT"/>
          <w:i/>
        </w:rPr>
        <w:t>(</w:t>
      </w:r>
      <w:r>
        <w:rPr>
          <w:rFonts w:cs="TimesNewRomanPS-ItalicMT"/>
          <w:i/>
          <w:iCs/>
        </w:rPr>
        <w:t>r</w:t>
      </w:r>
      <w:r>
        <w:rPr>
          <w:rFonts w:cs="TimesNewRomanPSMT"/>
          <w:i/>
        </w:rPr>
        <w:t>)</w:t>
      </w:r>
      <w:r>
        <w:rPr>
          <w:rFonts w:hint="eastAsia" w:cs="TimesNewRomanPSMT"/>
          <w:i/>
        </w:rPr>
        <w:t xml:space="preserve"> </w:t>
      </w:r>
      <w:r>
        <w:rPr>
          <w:rFonts w:hint="eastAsia"/>
        </w:rPr>
        <w:t>—— 预测点的倍频带声压级，dB；</w:t>
      </w:r>
    </w:p>
    <w:p>
      <w:pPr>
        <w:spacing w:line="408" w:lineRule="auto"/>
        <w:ind w:firstLine="1024" w:firstLineChars="427"/>
      </w:pPr>
      <w:r>
        <w:rPr>
          <w:rFonts w:cs="TimesNewRomanPSMT"/>
          <w:i/>
        </w:rPr>
        <w:t>L</w:t>
      </w:r>
      <w:r>
        <w:rPr>
          <w:rFonts w:cs="TimesNewRomanPSMT"/>
          <w:i/>
          <w:vertAlign w:val="subscript"/>
        </w:rPr>
        <w:t>p</w:t>
      </w:r>
      <w:r>
        <w:rPr>
          <w:rFonts w:cs="TimesNewRomanPSMT"/>
          <w:i/>
        </w:rPr>
        <w:t xml:space="preserve"> </w:t>
      </w:r>
      <w:r>
        <w:t>(r</w:t>
      </w:r>
      <w:r>
        <w:rPr>
          <w:vertAlign w:val="subscript"/>
        </w:rPr>
        <w:t>0</w:t>
      </w:r>
      <w:r>
        <w:t>)</w:t>
      </w:r>
      <w:r>
        <w:rPr/>
        <w:sym w:font="Times New Roman" w:char="2014"/>
      </w:r>
      <w:r>
        <w:rPr/>
        <w:sym w:font="Times New Roman" w:char="2014"/>
      </w:r>
      <w:r>
        <w:rPr>
          <w:rFonts w:hint="eastAsia"/>
        </w:rPr>
        <w:t>靠近声源处r</w:t>
      </w:r>
      <w:r>
        <w:rPr>
          <w:rFonts w:hint="eastAsia"/>
          <w:vertAlign w:val="subscript"/>
        </w:rPr>
        <w:t>0</w:t>
      </w:r>
      <w:r>
        <w:rPr>
          <w:rFonts w:hint="eastAsia"/>
        </w:rPr>
        <w:t>点的倍频带声压，dB；</w:t>
      </w:r>
    </w:p>
    <w:p>
      <w:pPr>
        <w:spacing w:line="408" w:lineRule="auto"/>
        <w:ind w:firstLine="1024" w:firstLineChars="427"/>
      </w:pPr>
      <w:r>
        <w:rPr>
          <w:i/>
        </w:rPr>
        <w:t>A</w:t>
      </w:r>
      <w:r>
        <w:rPr>
          <w:rFonts w:hint="eastAsia"/>
        </w:rPr>
        <w:t xml:space="preserve">  ——倍频带衰减，</w:t>
      </w:r>
      <w:r>
        <w:t>dB</w:t>
      </w:r>
      <w:r>
        <w:rPr>
          <w:rFonts w:hint="eastAsia"/>
        </w:rPr>
        <w:t>；</w:t>
      </w:r>
    </w:p>
    <w:p>
      <w:pPr>
        <w:spacing w:line="408" w:lineRule="auto"/>
        <w:ind w:left="415" w:leftChars="173" w:firstLine="544" w:firstLineChars="227"/>
      </w:pPr>
      <w:r>
        <w:rPr>
          <w:rFonts w:hint="eastAsia" w:cs="TimesNewRomanPS-ItalicMT"/>
          <w:i/>
          <w:iCs/>
        </w:rPr>
        <w:t>A</w:t>
      </w:r>
      <w:r>
        <w:rPr>
          <w:rFonts w:hint="eastAsia" w:cs="TimesNewRomanPS-ItalicMT"/>
          <w:i/>
          <w:iCs/>
          <w:vertAlign w:val="subscript"/>
        </w:rPr>
        <w:t>div</w:t>
      </w:r>
      <w:r>
        <w:rPr>
          <w:rFonts w:hint="eastAsia"/>
        </w:rPr>
        <w:t>——几何发散引起的倍频带衰减，</w:t>
      </w:r>
      <w:r>
        <w:t>dB</w:t>
      </w:r>
      <w:r>
        <w:rPr>
          <w:rFonts w:hint="eastAsia"/>
        </w:rPr>
        <w:t>；</w:t>
      </w:r>
    </w:p>
    <w:p>
      <w:pPr>
        <w:spacing w:line="408" w:lineRule="auto"/>
        <w:ind w:firstLine="904" w:firstLineChars="377"/>
      </w:pPr>
      <w:r>
        <w:rPr>
          <w:rFonts w:cs="TimesNewRomanPS-ItalicMT"/>
          <w:i/>
          <w:iCs/>
        </w:rPr>
        <w:t>A</w:t>
      </w:r>
      <w:r>
        <w:rPr>
          <w:rFonts w:hint="eastAsia" w:cs="TimesNewRomanPS-ItalicMT"/>
          <w:i/>
          <w:iCs/>
          <w:vertAlign w:val="subscript"/>
        </w:rPr>
        <w:t>atm</w:t>
      </w:r>
      <w:r>
        <w:rPr>
          <w:rFonts w:hint="eastAsia" w:cs="TimesNewRomanPS-ItalicMT"/>
          <w:i/>
          <w:iCs/>
        </w:rPr>
        <w:t>——</w:t>
      </w:r>
      <w:r>
        <w:rPr>
          <w:rFonts w:hint="eastAsia"/>
        </w:rPr>
        <w:t>大气吸收引起的倍频带衰减，</w:t>
      </w:r>
      <w:r>
        <w:t>dB</w:t>
      </w:r>
      <w:r>
        <w:rPr>
          <w:rFonts w:hint="eastAsia"/>
        </w:rPr>
        <w:t>；</w:t>
      </w:r>
    </w:p>
    <w:p>
      <w:pPr>
        <w:spacing w:line="408" w:lineRule="auto"/>
        <w:ind w:firstLine="904" w:firstLineChars="377"/>
      </w:pPr>
      <w:r>
        <w:rPr>
          <w:rFonts w:cs="TimesNewRomanPS-ItalicMT"/>
          <w:i/>
          <w:iCs/>
        </w:rPr>
        <w:t>A</w:t>
      </w:r>
      <w:r>
        <w:rPr>
          <w:rFonts w:hint="eastAsia" w:cs="TimesNewRomanPS-ItalicMT"/>
          <w:i/>
          <w:iCs/>
          <w:vertAlign w:val="subscript"/>
        </w:rPr>
        <w:t xml:space="preserve">gr </w:t>
      </w:r>
      <w:r>
        <w:rPr>
          <w:rFonts w:hint="eastAsia"/>
        </w:rPr>
        <w:t>——地面效应引起的倍频带衰减，</w:t>
      </w:r>
      <w:r>
        <w:t>dB</w:t>
      </w:r>
      <w:r>
        <w:rPr>
          <w:rFonts w:hint="eastAsia"/>
        </w:rPr>
        <w:t>；</w:t>
      </w:r>
    </w:p>
    <w:p>
      <w:pPr>
        <w:spacing w:line="408" w:lineRule="auto"/>
        <w:ind w:firstLine="904" w:firstLineChars="377"/>
      </w:pPr>
      <w:r>
        <w:rPr>
          <w:rFonts w:cs="TimesNewRomanPS-ItalicMT"/>
          <w:i/>
          <w:iCs/>
        </w:rPr>
        <w:t>A</w:t>
      </w:r>
      <w:r>
        <w:rPr>
          <w:rFonts w:hint="eastAsia" w:cs="TimesNewRomanPS-ItalicMT"/>
          <w:i/>
          <w:iCs/>
          <w:vertAlign w:val="subscript"/>
        </w:rPr>
        <w:t>bar</w:t>
      </w:r>
      <w:r>
        <w:rPr>
          <w:rFonts w:hint="eastAsia" w:cs="TimesNewRomanPS-ItalicMT"/>
          <w:i/>
          <w:iCs/>
        </w:rPr>
        <w:t>——</w:t>
      </w:r>
      <w:r>
        <w:t xml:space="preserve"> </w:t>
      </w:r>
      <w:r>
        <w:rPr>
          <w:rFonts w:hint="eastAsia"/>
        </w:rPr>
        <w:t>声屏障引起的倍频带衰减，</w:t>
      </w:r>
      <w:r>
        <w:t>dB</w:t>
      </w:r>
      <w:r>
        <w:rPr>
          <w:rFonts w:hint="eastAsia"/>
        </w:rPr>
        <w:t>；</w:t>
      </w:r>
    </w:p>
    <w:p>
      <w:pPr>
        <w:spacing w:line="408" w:lineRule="auto"/>
        <w:ind w:firstLine="904" w:firstLineChars="377"/>
      </w:pPr>
      <w:r>
        <w:rPr>
          <w:rFonts w:cs="TimesNewRomanPS-ItalicMT"/>
          <w:i/>
          <w:iCs/>
        </w:rPr>
        <w:t>A</w:t>
      </w:r>
      <w:r>
        <w:rPr>
          <w:rFonts w:hint="eastAsia" w:cs="TimesNewRomanPS-ItalicMT"/>
          <w:i/>
          <w:iCs/>
          <w:vertAlign w:val="subscript"/>
        </w:rPr>
        <w:t>misc</w:t>
      </w:r>
      <w:r>
        <w:rPr>
          <w:rFonts w:hint="eastAsia"/>
        </w:rPr>
        <w:t>——其他多方面效应引起的倍频带衰减，</w:t>
      </w:r>
      <w:r>
        <w:t>dB</w:t>
      </w:r>
      <w:r>
        <w:rPr>
          <w:rFonts w:hint="eastAsia"/>
        </w:rPr>
        <w:t>。</w:t>
      </w:r>
    </w:p>
    <w:p>
      <w:pPr>
        <w:ind w:firstLine="480"/>
      </w:pPr>
      <w:r>
        <w:rPr>
          <w:rFonts w:hint="eastAsia"/>
        </w:rPr>
        <w:t>为保守起见，本次预测仅考虑声波几何发散衰减，公式简化如下：</w:t>
      </w:r>
    </w:p>
    <w:p>
      <w:pPr>
        <w:ind w:firstLine="0" w:firstLineChars="0"/>
        <w:jc w:val="center"/>
      </w:pPr>
      <w:r>
        <w:rPr>
          <w:rFonts w:cs="TimesNewRomanPS-ItalicMT"/>
          <w:i/>
          <w:iCs/>
        </w:rPr>
        <w:t>L</w:t>
      </w:r>
      <w:r>
        <w:rPr>
          <w:rFonts w:hint="eastAsia" w:cs="TimesNewRomanPS-ItalicMT"/>
          <w:i/>
          <w:iCs/>
          <w:vertAlign w:val="subscript"/>
        </w:rPr>
        <w:t>p</w:t>
      </w:r>
      <w:r>
        <w:rPr>
          <w:rFonts w:cs="TimesNewRomanPS-ItalicMT"/>
          <w:i/>
          <w:iCs/>
        </w:rPr>
        <w:t xml:space="preserve"> </w:t>
      </w:r>
      <w:r>
        <w:rPr>
          <w:rFonts w:cs="TimesNewRomanPSMT"/>
          <w:i/>
        </w:rPr>
        <w:t>(</w:t>
      </w:r>
      <w:r>
        <w:rPr>
          <w:rFonts w:cs="TimesNewRomanPS-ItalicMT"/>
          <w:i/>
          <w:iCs/>
        </w:rPr>
        <w:t>r</w:t>
      </w:r>
      <w:r>
        <w:rPr>
          <w:rFonts w:cs="TimesNewRomanPSMT"/>
          <w:i/>
        </w:rPr>
        <w:t xml:space="preserve">) </w:t>
      </w:r>
      <w:r>
        <w:rPr>
          <w:rFonts w:cs="SymbolMT"/>
          <w:i/>
        </w:rPr>
        <w:t xml:space="preserve">= </w:t>
      </w:r>
      <w:r>
        <w:rPr>
          <w:rFonts w:cs="TimesNewRomanPS-ItalicMT"/>
          <w:i/>
          <w:iCs/>
        </w:rPr>
        <w:t>L</w:t>
      </w:r>
      <w:r>
        <w:rPr>
          <w:rFonts w:cs="TimesNewRomanPS-ItalicMT"/>
          <w:i/>
          <w:iCs/>
          <w:vertAlign w:val="subscript"/>
        </w:rPr>
        <w:t>p</w:t>
      </w:r>
      <w:r>
        <w:rPr>
          <w:rFonts w:cs="TimesNewRomanPS-ItalicMT"/>
          <w:i/>
          <w:iCs/>
        </w:rPr>
        <w:t xml:space="preserve"> </w:t>
      </w:r>
      <w:r>
        <w:rPr>
          <w:rFonts w:cs="TimesNewRomanPSMT"/>
          <w:i/>
        </w:rPr>
        <w:t>(</w:t>
      </w:r>
      <w:r>
        <w:rPr>
          <w:rFonts w:cs="TimesNewRomanPS-ItalicMT"/>
          <w:i/>
          <w:iCs/>
        </w:rPr>
        <w:t>r</w:t>
      </w:r>
      <w:r>
        <w:rPr>
          <w:rFonts w:cs="TimesNewRomanPSMT"/>
          <w:i/>
          <w:vertAlign w:val="subscript"/>
        </w:rPr>
        <w:t>0</w:t>
      </w:r>
      <w:r>
        <w:rPr>
          <w:rFonts w:cs="TimesNewRomanPSMT"/>
          <w:i/>
        </w:rPr>
        <w:t xml:space="preserve"> )</w:t>
      </w:r>
      <w:r>
        <w:rPr>
          <w:rFonts w:hint="eastAsia" w:eastAsia="MS Mincho" w:cs="MS Mincho"/>
          <w:i/>
        </w:rPr>
        <w:t>−</w:t>
      </w:r>
      <w:r>
        <w:rPr>
          <w:rFonts w:cs="TimesNewRomanPS-ItalicMT"/>
          <w:i/>
          <w:iCs/>
        </w:rPr>
        <w:t>A</w:t>
      </w:r>
      <w:r>
        <w:rPr>
          <w:rFonts w:hint="eastAsia" w:cs="TimesNewRomanPS-ItalicMT"/>
          <w:i/>
          <w:iCs/>
          <w:vertAlign w:val="subscript"/>
        </w:rPr>
        <w:t>div</w:t>
      </w:r>
    </w:p>
    <w:p>
      <w:pPr>
        <w:ind w:firstLine="480"/>
        <w:jc w:val="center"/>
        <w:rPr>
          <w:rFonts w:eastAsiaTheme="minorEastAsia"/>
          <w:snapToGrid w:val="0"/>
        </w:rPr>
      </w:pPr>
      <w:r>
        <w:rPr>
          <w:rFonts w:cs="TimesNewRomanPS-ItalicMT"/>
          <w:i/>
          <w:iCs/>
        </w:rPr>
        <w:t>A</w:t>
      </w:r>
      <w:r>
        <w:rPr>
          <w:rFonts w:hint="eastAsia" w:cs="TimesNewRomanPS-ItalicMT"/>
          <w:i/>
          <w:iCs/>
          <w:vertAlign w:val="subscript"/>
        </w:rPr>
        <w:t>div</w:t>
      </w:r>
      <w:r>
        <w:rPr>
          <w:rFonts w:eastAsiaTheme="minorEastAsia"/>
          <w:color w:val="000000"/>
        </w:rPr>
        <w:t xml:space="preserve"> = 20lg(</w:t>
      </w:r>
      <w:r>
        <w:rPr>
          <w:rFonts w:eastAsiaTheme="minorEastAsia"/>
          <w:i/>
          <w:color w:val="000000"/>
        </w:rPr>
        <w:t>r/r</w:t>
      </w:r>
      <w:r>
        <w:rPr>
          <w:rFonts w:eastAsiaTheme="minorEastAsia"/>
          <w:i/>
          <w:color w:val="000000"/>
          <w:vertAlign w:val="subscript"/>
        </w:rPr>
        <w:t>0</w:t>
      </w:r>
      <w:r>
        <w:rPr>
          <w:rFonts w:eastAsiaTheme="minorEastAsia"/>
          <w:color w:val="000000"/>
        </w:rPr>
        <w:t>)</w:t>
      </w:r>
    </w:p>
    <w:p>
      <w:pPr>
        <w:pStyle w:val="126"/>
        <w:numPr>
          <w:ilvl w:val="0"/>
          <w:numId w:val="57"/>
        </w:numPr>
        <w:ind w:firstLine="482"/>
      </w:pPr>
      <w:r>
        <w:rPr>
          <w:rFonts w:hint="eastAsia"/>
        </w:rPr>
        <w:t>室内声源</w:t>
      </w:r>
    </w:p>
    <w:p>
      <w:pPr>
        <w:spacing w:before="156" w:beforeLines="50" w:after="156" w:afterLines="50"/>
        <w:ind w:firstLine="480"/>
      </w:pPr>
      <w:r>
        <w:rPr>
          <w:rFonts w:eastAsiaTheme="minorEastAsia"/>
          <w:snapToGrid w:val="0"/>
        </w:rPr>
        <w:t>对室内</w:t>
      </w:r>
      <w:r>
        <w:rPr>
          <w:rFonts w:hint="eastAsia" w:eastAsiaTheme="minorEastAsia"/>
          <w:snapToGrid w:val="0"/>
        </w:rPr>
        <w:t>噪</w:t>
      </w:r>
      <w:r>
        <w:rPr>
          <w:rFonts w:eastAsiaTheme="minorEastAsia"/>
          <w:snapToGrid w:val="0"/>
        </w:rPr>
        <w:t>声源</w:t>
      </w:r>
      <w:r>
        <w:rPr>
          <w:rFonts w:eastAsiaTheme="minorEastAsia"/>
          <w:color w:val="000000"/>
        </w:rPr>
        <w:t>采用室内声源噪声模式并换算成等效的室外声源</w:t>
      </w:r>
      <w:r>
        <w:rPr>
          <w:rFonts w:hint="eastAsia"/>
        </w:rPr>
        <w:t>，再按各类声源模式计算。</w:t>
      </w:r>
    </w:p>
    <w:p>
      <w:pPr>
        <w:ind w:firstLine="480"/>
        <w:rPr>
          <w:rFonts w:eastAsiaTheme="minorEastAsia"/>
          <w:snapToGrid w:val="0"/>
        </w:rPr>
      </w:pPr>
      <w:r>
        <w:rPr>
          <w:rFonts w:eastAsiaTheme="minorEastAsia"/>
          <w:snapToGrid w:val="0"/>
        </w:rPr>
        <w:t>室内声源可采用等效室外声源声功率级法进行计算。设靠近开口处（或窗户）室内、室外某倍频带的声压级分别为</w:t>
      </w:r>
      <w:r>
        <w:rPr>
          <w:rFonts w:hint="eastAsia"/>
          <w:i/>
        </w:rPr>
        <w:t>Lp</w:t>
      </w:r>
      <w:r>
        <w:rPr>
          <w:i/>
          <w:vertAlign w:val="subscript"/>
        </w:rPr>
        <w:t>1</w:t>
      </w:r>
      <w:r>
        <w:rPr>
          <w:rFonts w:eastAsiaTheme="minorEastAsia"/>
          <w:snapToGrid w:val="0"/>
        </w:rPr>
        <w:t>和</w:t>
      </w:r>
      <w:r>
        <w:rPr>
          <w:rFonts w:hint="eastAsia"/>
          <w:i/>
        </w:rPr>
        <w:t>Lp</w:t>
      </w:r>
      <w:r>
        <w:rPr>
          <w:rFonts w:hint="eastAsia"/>
          <w:i/>
          <w:vertAlign w:val="subscript"/>
        </w:rPr>
        <w:t>2</w:t>
      </w:r>
      <w:r>
        <w:rPr>
          <w:rFonts w:eastAsiaTheme="minorEastAsia"/>
          <w:snapToGrid w:val="0"/>
        </w:rPr>
        <w:t>。若声源所在室内声场为近似扩散声场，则室外的倍频带声压级可按下式近似求出：</w:t>
      </w:r>
    </w:p>
    <w:p>
      <w:pPr>
        <w:spacing w:line="240" w:lineRule="auto"/>
        <w:ind w:firstLine="480"/>
        <w:jc w:val="center"/>
        <w:rPr>
          <w:rFonts w:eastAsiaTheme="minorEastAsia"/>
          <w:snapToGrid w:val="0"/>
        </w:rPr>
      </w:pPr>
      <w:r>
        <w:rPr>
          <w:rFonts w:eastAsiaTheme="minorEastAsia"/>
        </w:rPr>
        <w:drawing>
          <wp:inline distT="0" distB="0" distL="0" distR="0">
            <wp:extent cx="1259205" cy="215900"/>
            <wp:effectExtent l="19050" t="0" r="0" b="0"/>
            <wp:docPr id="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3"/>
                    <pic:cNvPicPr>
                      <a:picLocks noChangeAspect="1" noChangeArrowheads="1"/>
                    </pic:cNvPicPr>
                  </pic:nvPicPr>
                  <pic:blipFill>
                    <a:blip r:embed="rId81" cstate="print"/>
                    <a:srcRect/>
                    <a:stretch>
                      <a:fillRect/>
                    </a:stretch>
                  </pic:blipFill>
                  <pic:spPr>
                    <a:xfrm>
                      <a:off x="0" y="0"/>
                      <a:ext cx="1259205" cy="215900"/>
                    </a:xfrm>
                    <a:prstGeom prst="rect">
                      <a:avLst/>
                    </a:prstGeom>
                    <a:noFill/>
                    <a:ln w="9525">
                      <a:noFill/>
                      <a:miter lim="800000"/>
                      <a:headEnd/>
                      <a:tailEnd/>
                    </a:ln>
                  </pic:spPr>
                </pic:pic>
              </a:graphicData>
            </a:graphic>
          </wp:inline>
        </w:drawing>
      </w:r>
    </w:p>
    <w:p>
      <w:pPr>
        <w:spacing w:line="240" w:lineRule="auto"/>
        <w:ind w:firstLine="480"/>
        <w:rPr>
          <w:rFonts w:eastAsiaTheme="minorEastAsia"/>
          <w:snapToGrid w:val="0"/>
        </w:rPr>
      </w:pPr>
      <w:r>
        <w:rPr>
          <w:rFonts w:eastAsiaTheme="minorEastAsia"/>
          <w:snapToGrid w:val="0"/>
        </w:rPr>
        <w:t>式中：</w:t>
      </w:r>
      <w:r>
        <w:rPr>
          <w:rFonts w:eastAsiaTheme="minorEastAsia"/>
          <w:i/>
          <w:snapToGrid w:val="0"/>
        </w:rPr>
        <w:t>TL</w:t>
      </w:r>
      <w:r>
        <w:rPr>
          <w:rFonts w:eastAsiaTheme="minorEastAsia"/>
          <w:snapToGrid w:val="0"/>
        </w:rPr>
        <w:t>—隔墙（或窗户）倍频带的隔声量，dB(A)</w:t>
      </w:r>
      <w:r>
        <w:rPr>
          <w:rFonts w:hint="eastAsia" w:eastAsiaTheme="minorEastAsia"/>
          <w:snapToGrid w:val="0"/>
        </w:rPr>
        <w:t>。</w:t>
      </w:r>
    </w:p>
    <w:p>
      <w:pPr>
        <w:keepNext/>
        <w:spacing w:line="240" w:lineRule="auto"/>
        <w:ind w:firstLine="0" w:firstLineChars="0"/>
        <w:jc w:val="center"/>
      </w:pPr>
      <w:r>
        <w:rPr>
          <w:rFonts w:eastAsiaTheme="minorEastAsia"/>
        </w:rPr>
        <w:drawing>
          <wp:inline distT="0" distB="0" distL="114300" distR="114300">
            <wp:extent cx="3142615" cy="1390650"/>
            <wp:effectExtent l="0" t="0" r="635" b="0"/>
            <wp:docPr id="1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3"/>
                    <pic:cNvPicPr>
                      <a:picLocks noChangeAspect="1"/>
                    </pic:cNvPicPr>
                  </pic:nvPicPr>
                  <pic:blipFill>
                    <a:blip r:embed="rId82" cstate="print"/>
                    <a:srcRect/>
                    <a:stretch>
                      <a:fillRect/>
                    </a:stretch>
                  </pic:blipFill>
                  <pic:spPr>
                    <a:xfrm>
                      <a:off x="0" y="0"/>
                      <a:ext cx="3142615" cy="1390650"/>
                    </a:xfrm>
                    <a:prstGeom prst="rect">
                      <a:avLst/>
                    </a:prstGeom>
                    <a:noFill/>
                    <a:ln w="9525">
                      <a:noFill/>
                    </a:ln>
                  </pic:spPr>
                </pic:pic>
              </a:graphicData>
            </a:graphic>
          </wp:inline>
        </w:drawing>
      </w:r>
    </w:p>
    <w:p>
      <w:pPr>
        <w:pStyle w:val="18"/>
        <w:rPr>
          <w:rFonts w:eastAsiaTheme="minorEastAsia"/>
        </w:rPr>
      </w:pPr>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4.5</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rPr>
          <w:rFonts w:hint="eastAsia"/>
        </w:rPr>
        <w:t>室内声源等效为室外声源图例</w:t>
      </w:r>
    </w:p>
    <w:p>
      <w:pPr>
        <w:ind w:firstLine="480"/>
        <w:rPr>
          <w:rFonts w:eastAsiaTheme="minorEastAsia"/>
          <w:snapToGrid w:val="0"/>
        </w:rPr>
      </w:pPr>
      <w:r>
        <w:rPr>
          <w:rFonts w:hint="eastAsia" w:eastAsiaTheme="minorEastAsia"/>
          <w:snapToGrid w:val="0"/>
        </w:rPr>
        <w:t>也可按照下式计算某一室内声源靠近围护结构处产生的倍频带声压级</w:t>
      </w:r>
      <w:r>
        <w:rPr>
          <w:rFonts w:eastAsiaTheme="minorEastAsia"/>
          <w:snapToGrid w:val="0"/>
        </w:rPr>
        <w:t>：</w:t>
      </w:r>
    </w:p>
    <w:p>
      <w:pPr>
        <w:ind w:firstLine="480"/>
        <w:jc w:val="center"/>
        <w:rPr>
          <w:rFonts w:eastAsiaTheme="minorEastAsia"/>
          <w:snapToGrid w:val="0"/>
        </w:rPr>
      </w:pPr>
      <w:r>
        <w:rPr>
          <w:rFonts w:eastAsiaTheme="minorEastAsia"/>
        </w:rPr>
        <w:drawing>
          <wp:inline distT="0" distB="0" distL="0" distR="0">
            <wp:extent cx="1742440" cy="431165"/>
            <wp:effectExtent l="19050" t="0" r="0" b="0"/>
            <wp:docPr id="1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4"/>
                    <pic:cNvPicPr>
                      <a:picLocks noChangeAspect="1" noChangeArrowheads="1"/>
                    </pic:cNvPicPr>
                  </pic:nvPicPr>
                  <pic:blipFill>
                    <a:blip r:embed="rId83" cstate="print"/>
                    <a:srcRect/>
                    <a:stretch>
                      <a:fillRect/>
                    </a:stretch>
                  </pic:blipFill>
                  <pic:spPr>
                    <a:xfrm>
                      <a:off x="0" y="0"/>
                      <a:ext cx="1742440" cy="431165"/>
                    </a:xfrm>
                    <a:prstGeom prst="rect">
                      <a:avLst/>
                    </a:prstGeom>
                    <a:noFill/>
                    <a:ln w="9525">
                      <a:noFill/>
                      <a:miter lim="800000"/>
                      <a:headEnd/>
                      <a:tailEnd/>
                    </a:ln>
                  </pic:spPr>
                </pic:pic>
              </a:graphicData>
            </a:graphic>
          </wp:inline>
        </w:drawing>
      </w:r>
    </w:p>
    <w:p>
      <w:pPr>
        <w:ind w:firstLine="480"/>
        <w:rPr>
          <w:rFonts w:eastAsiaTheme="minorEastAsia"/>
          <w:snapToGrid w:val="0"/>
        </w:rPr>
      </w:pPr>
      <w:r>
        <w:rPr>
          <w:rFonts w:eastAsiaTheme="minorEastAsia"/>
          <w:snapToGrid w:val="0"/>
        </w:rPr>
        <w:t>式中：</w:t>
      </w:r>
      <w:r>
        <w:rPr>
          <w:rFonts w:eastAsiaTheme="minorEastAsia"/>
          <w:i/>
          <w:snapToGrid w:val="0"/>
        </w:rPr>
        <w:t>Q</w:t>
      </w:r>
      <w:r>
        <w:rPr>
          <w:rFonts w:hint="eastAsia" w:eastAsiaTheme="minorEastAsia"/>
          <w:i/>
          <w:snapToGrid w:val="0"/>
        </w:rPr>
        <w:t>——</w:t>
      </w:r>
      <w:r>
        <w:rPr>
          <w:rFonts w:eastAsiaTheme="minorEastAsia"/>
          <w:snapToGrid w:val="0"/>
        </w:rPr>
        <w:t>指向性因数；通常对无指向性声源，当声源放在房间中心时，</w:t>
      </w:r>
      <w:r>
        <w:rPr>
          <w:rFonts w:eastAsiaTheme="minorEastAsia"/>
          <w:i/>
          <w:snapToGrid w:val="0"/>
        </w:rPr>
        <w:t>Q</w:t>
      </w:r>
      <w:r>
        <w:rPr>
          <w:rFonts w:eastAsiaTheme="minorEastAsia"/>
          <w:snapToGrid w:val="0"/>
        </w:rPr>
        <w:t>=1；当入在一面墙的中心时，</w:t>
      </w:r>
      <w:r>
        <w:rPr>
          <w:rFonts w:eastAsiaTheme="minorEastAsia"/>
          <w:i/>
          <w:snapToGrid w:val="0"/>
        </w:rPr>
        <w:t>Q</w:t>
      </w:r>
      <w:r>
        <w:rPr>
          <w:rFonts w:eastAsiaTheme="minorEastAsia"/>
          <w:snapToGrid w:val="0"/>
        </w:rPr>
        <w:t>=2；当放在两面墙夹角处时，</w:t>
      </w:r>
      <w:r>
        <w:rPr>
          <w:rFonts w:eastAsiaTheme="minorEastAsia"/>
          <w:i/>
          <w:snapToGrid w:val="0"/>
        </w:rPr>
        <w:t>Q</w:t>
      </w:r>
      <w:r>
        <w:rPr>
          <w:rFonts w:eastAsiaTheme="minorEastAsia"/>
          <w:snapToGrid w:val="0"/>
        </w:rPr>
        <w:t>=4；当放在三面墙夹角处时，</w:t>
      </w:r>
      <w:r>
        <w:rPr>
          <w:rFonts w:eastAsiaTheme="minorEastAsia"/>
          <w:i/>
          <w:snapToGrid w:val="0"/>
        </w:rPr>
        <w:t>Q</w:t>
      </w:r>
      <w:r>
        <w:rPr>
          <w:rFonts w:eastAsiaTheme="minorEastAsia"/>
          <w:snapToGrid w:val="0"/>
        </w:rPr>
        <w:t>=8；</w:t>
      </w:r>
    </w:p>
    <w:p>
      <w:pPr>
        <w:ind w:firstLine="1024" w:firstLineChars="427"/>
        <w:rPr>
          <w:rFonts w:eastAsiaTheme="minorEastAsia"/>
          <w:snapToGrid w:val="0"/>
        </w:rPr>
      </w:pPr>
      <w:r>
        <w:rPr>
          <w:rFonts w:hint="eastAsia"/>
          <w:i/>
        </w:rPr>
        <w:t>R</w:t>
      </w:r>
      <w:r>
        <w:rPr/>
        <w:sym w:font="Times New Roman" w:char="2014"/>
      </w:r>
      <w:r>
        <w:rPr/>
        <w:sym w:font="Times New Roman" w:char="2014"/>
      </w:r>
      <w:r>
        <w:rPr>
          <w:rFonts w:hint="eastAsia"/>
        </w:rPr>
        <w:t>房间常数；</w:t>
      </w:r>
      <w:r>
        <w:rPr>
          <w:i/>
          <w:iCs/>
        </w:rPr>
        <w:t>R</w:t>
      </w:r>
      <w:r>
        <w:t>=</w:t>
      </w:r>
      <w:r>
        <w:rPr>
          <w:i/>
          <w:iCs/>
        </w:rPr>
        <w:t>S</w:t>
      </w:r>
      <w:r>
        <w:t>α/(1−α)</w:t>
      </w:r>
      <w:r>
        <w:rPr>
          <w:rFonts w:hint="eastAsia"/>
        </w:rPr>
        <w:t>，</w:t>
      </w:r>
      <w:r>
        <w:rPr>
          <w:i/>
          <w:iCs/>
        </w:rPr>
        <w:t>S</w:t>
      </w:r>
      <w:r>
        <w:t>为房间内表面面积，m</w:t>
      </w:r>
      <w:r>
        <w:rPr>
          <w:vertAlign w:val="superscript"/>
        </w:rPr>
        <w:t>2</w:t>
      </w:r>
      <w:r>
        <w:t>；α为平均吸声系数</w:t>
      </w:r>
      <w:r>
        <w:rPr>
          <w:rFonts w:hint="eastAsia"/>
        </w:rPr>
        <w:t>；</w:t>
      </w:r>
    </w:p>
    <w:p>
      <w:pPr>
        <w:ind w:firstLine="1080" w:firstLineChars="450"/>
        <w:rPr>
          <w:rFonts w:eastAsiaTheme="minorEastAsia"/>
          <w:snapToGrid w:val="0"/>
        </w:rPr>
      </w:pPr>
      <w:r>
        <w:rPr>
          <w:rFonts w:eastAsiaTheme="minorEastAsia"/>
          <w:snapToGrid w:val="0"/>
        </w:rPr>
        <w:t>R</w:t>
      </w:r>
      <w:r>
        <w:rPr>
          <w:rFonts w:hint="eastAsia" w:eastAsiaTheme="minorEastAsia"/>
          <w:snapToGrid w:val="0"/>
        </w:rPr>
        <w:t>——</w:t>
      </w:r>
      <w:r>
        <w:rPr>
          <w:rFonts w:eastAsiaTheme="minorEastAsia"/>
          <w:snapToGrid w:val="0"/>
        </w:rPr>
        <w:t>声源到靠近围护结构某点处的距离，m。</w:t>
      </w:r>
    </w:p>
    <w:p>
      <w:pPr>
        <w:ind w:firstLine="480"/>
        <w:rPr>
          <w:rFonts w:eastAsiaTheme="minorEastAsia"/>
          <w:snapToGrid w:val="0"/>
        </w:rPr>
      </w:pPr>
      <w:r>
        <w:rPr>
          <w:rFonts w:eastAsiaTheme="minorEastAsia"/>
          <w:snapToGrid w:val="0"/>
        </w:rPr>
        <w:t>所有室内声源在围护结构处产生的i倍频带叠加声压级的计算：</w:t>
      </w:r>
    </w:p>
    <w:p>
      <w:pPr>
        <w:ind w:firstLine="480"/>
        <w:jc w:val="center"/>
        <w:rPr>
          <w:rFonts w:eastAsiaTheme="minorEastAsia"/>
          <w:snapToGrid w:val="0"/>
        </w:rPr>
      </w:pPr>
      <w:r>
        <w:rPr>
          <w:rFonts w:eastAsiaTheme="minorEastAsia"/>
        </w:rPr>
        <w:drawing>
          <wp:inline distT="0" distB="0" distL="0" distR="0">
            <wp:extent cx="1699260" cy="457200"/>
            <wp:effectExtent l="19050" t="0" r="0" b="0"/>
            <wp:docPr id="2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7"/>
                    <pic:cNvPicPr>
                      <a:picLocks noChangeAspect="1" noChangeArrowheads="1"/>
                    </pic:cNvPicPr>
                  </pic:nvPicPr>
                  <pic:blipFill>
                    <a:blip r:embed="rId84" cstate="print"/>
                    <a:srcRect/>
                    <a:stretch>
                      <a:fillRect/>
                    </a:stretch>
                  </pic:blipFill>
                  <pic:spPr>
                    <a:xfrm>
                      <a:off x="0" y="0"/>
                      <a:ext cx="1699260" cy="457200"/>
                    </a:xfrm>
                    <a:prstGeom prst="rect">
                      <a:avLst/>
                    </a:prstGeom>
                    <a:noFill/>
                    <a:ln w="9525">
                      <a:noFill/>
                      <a:miter lim="800000"/>
                      <a:headEnd/>
                      <a:tailEnd/>
                    </a:ln>
                  </pic:spPr>
                </pic:pic>
              </a:graphicData>
            </a:graphic>
          </wp:inline>
        </w:drawing>
      </w:r>
    </w:p>
    <w:p>
      <w:pPr>
        <w:ind w:firstLine="480"/>
        <w:rPr>
          <w:rFonts w:eastAsiaTheme="minorEastAsia"/>
          <w:snapToGrid w:val="0"/>
        </w:rPr>
      </w:pPr>
      <w:r>
        <w:rPr>
          <w:rFonts w:eastAsiaTheme="minorEastAsia"/>
          <w:snapToGrid w:val="0"/>
        </w:rPr>
        <w:t>式中：L</w:t>
      </w:r>
      <w:r>
        <w:rPr>
          <w:rFonts w:hint="eastAsia" w:eastAsiaTheme="minorEastAsia"/>
          <w:snapToGrid w:val="0"/>
          <w:vertAlign w:val="subscript"/>
        </w:rPr>
        <w:t>P1,i</w:t>
      </w:r>
      <w:r>
        <w:rPr>
          <w:rFonts w:eastAsiaTheme="minorEastAsia"/>
          <w:snapToGrid w:val="0"/>
        </w:rPr>
        <w:t>（T）</w:t>
      </w:r>
      <w:r>
        <w:rPr>
          <w:rFonts w:hint="eastAsia" w:eastAsiaTheme="minorEastAsia"/>
          <w:snapToGrid w:val="0"/>
        </w:rPr>
        <w:t>——</w:t>
      </w:r>
      <w:r>
        <w:rPr>
          <w:rFonts w:eastAsiaTheme="minorEastAsia"/>
          <w:snapToGrid w:val="0"/>
        </w:rPr>
        <w:t>靠近围护结构处室内N个声源i倍频带的叠加声压级，dB；</w:t>
      </w:r>
    </w:p>
    <w:p>
      <w:pPr>
        <w:ind w:firstLine="1200" w:firstLineChars="500"/>
        <w:rPr>
          <w:rFonts w:eastAsiaTheme="minorEastAsia"/>
          <w:snapToGrid w:val="0"/>
        </w:rPr>
      </w:pPr>
      <w:r>
        <w:rPr>
          <w:rFonts w:eastAsiaTheme="minorEastAsia"/>
          <w:snapToGrid w:val="0"/>
        </w:rPr>
        <w:t>L</w:t>
      </w:r>
      <w:r>
        <w:rPr>
          <w:rFonts w:hint="eastAsia" w:eastAsiaTheme="minorEastAsia"/>
          <w:snapToGrid w:val="0"/>
          <w:vertAlign w:val="subscript"/>
        </w:rPr>
        <w:t>P1</w:t>
      </w:r>
      <w:r>
        <w:rPr>
          <w:rFonts w:eastAsiaTheme="minorEastAsia"/>
          <w:snapToGrid w:val="0"/>
          <w:vertAlign w:val="subscript"/>
        </w:rPr>
        <w:t>,j</w:t>
      </w:r>
      <w:r>
        <w:rPr>
          <w:rFonts w:hint="eastAsia" w:eastAsiaTheme="minorEastAsia"/>
          <w:snapToGrid w:val="0"/>
        </w:rPr>
        <w:t>——</w:t>
      </w:r>
      <w:r>
        <w:rPr>
          <w:rFonts w:eastAsiaTheme="minorEastAsia"/>
          <w:snapToGrid w:val="0"/>
        </w:rPr>
        <w:t>室内j声源i倍频带的声压级，dB；</w:t>
      </w:r>
    </w:p>
    <w:p>
      <w:pPr>
        <w:ind w:firstLine="1200" w:firstLineChars="500"/>
        <w:rPr>
          <w:rFonts w:eastAsiaTheme="minorEastAsia"/>
          <w:snapToGrid w:val="0"/>
        </w:rPr>
      </w:pPr>
      <w:r>
        <w:rPr>
          <w:rFonts w:eastAsiaTheme="minorEastAsia"/>
          <w:snapToGrid w:val="0"/>
        </w:rPr>
        <w:t>N</w:t>
      </w:r>
      <w:r>
        <w:rPr>
          <w:rFonts w:hint="eastAsia" w:eastAsiaTheme="minorEastAsia"/>
          <w:snapToGrid w:val="0"/>
        </w:rPr>
        <w:t>——</w:t>
      </w:r>
      <w:r>
        <w:rPr>
          <w:rFonts w:eastAsiaTheme="minorEastAsia"/>
          <w:snapToGrid w:val="0"/>
        </w:rPr>
        <w:t>室内声源总数；</w:t>
      </w:r>
    </w:p>
    <w:p>
      <w:pPr>
        <w:ind w:firstLine="480"/>
        <w:rPr>
          <w:rFonts w:eastAsiaTheme="minorEastAsia"/>
          <w:snapToGrid w:val="0"/>
        </w:rPr>
      </w:pPr>
      <w:r>
        <w:rPr>
          <w:rFonts w:eastAsiaTheme="minorEastAsia"/>
          <w:snapToGrid w:val="0"/>
        </w:rPr>
        <w:t>在室内近似为扩散声场时，按下式计算出靠近室外围护结构处的声压级</w:t>
      </w:r>
      <w:r>
        <w:rPr>
          <w:rFonts w:hint="eastAsia" w:eastAsiaTheme="minorEastAsia"/>
          <w:snapToGrid w:val="0"/>
        </w:rPr>
        <w:t>：</w:t>
      </w:r>
    </w:p>
    <w:p>
      <w:pPr>
        <w:ind w:firstLine="480"/>
        <w:jc w:val="center"/>
        <w:rPr>
          <w:rFonts w:eastAsiaTheme="minorEastAsia"/>
          <w:snapToGrid w:val="0"/>
        </w:rPr>
      </w:pPr>
      <w:r>
        <w:rPr>
          <w:rFonts w:eastAsiaTheme="minorEastAsia"/>
        </w:rPr>
        <w:drawing>
          <wp:inline distT="0" distB="0" distL="0" distR="0">
            <wp:extent cx="1664970" cy="233045"/>
            <wp:effectExtent l="0" t="0" r="11430" b="146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85" cstate="print"/>
                    <a:srcRect/>
                    <a:stretch>
                      <a:fillRect/>
                    </a:stretch>
                  </pic:blipFill>
                  <pic:spPr>
                    <a:xfrm>
                      <a:off x="0" y="0"/>
                      <a:ext cx="1664970" cy="233045"/>
                    </a:xfrm>
                    <a:prstGeom prst="rect">
                      <a:avLst/>
                    </a:prstGeom>
                    <a:noFill/>
                    <a:ln w="9525">
                      <a:noFill/>
                      <a:miter lim="800000"/>
                      <a:headEnd/>
                      <a:tailEnd/>
                    </a:ln>
                  </pic:spPr>
                </pic:pic>
              </a:graphicData>
            </a:graphic>
          </wp:inline>
        </w:drawing>
      </w:r>
    </w:p>
    <w:p>
      <w:pPr>
        <w:ind w:firstLine="480"/>
        <w:rPr>
          <w:rFonts w:eastAsiaTheme="minorEastAsia"/>
          <w:snapToGrid w:val="0"/>
        </w:rPr>
      </w:pPr>
      <w:r>
        <w:rPr>
          <w:rFonts w:eastAsiaTheme="minorEastAsia"/>
          <w:snapToGrid w:val="0"/>
        </w:rPr>
        <w:t>式中：L</w:t>
      </w:r>
      <w:r>
        <w:rPr>
          <w:rFonts w:hint="eastAsia" w:eastAsiaTheme="minorEastAsia"/>
          <w:snapToGrid w:val="0"/>
          <w:vertAlign w:val="subscript"/>
        </w:rPr>
        <w:t>P2</w:t>
      </w:r>
      <w:r>
        <w:rPr>
          <w:rFonts w:eastAsiaTheme="minorEastAsia"/>
          <w:snapToGrid w:val="0"/>
          <w:vertAlign w:val="subscript"/>
        </w:rPr>
        <w:t>,</w:t>
      </w:r>
      <w:r>
        <w:rPr>
          <w:rFonts w:hint="eastAsia" w:eastAsiaTheme="minorEastAsia"/>
          <w:snapToGrid w:val="0"/>
          <w:vertAlign w:val="subscript"/>
        </w:rPr>
        <w:t>i</w:t>
      </w:r>
      <w:r>
        <w:rPr>
          <w:rFonts w:eastAsiaTheme="minorEastAsia"/>
          <w:snapToGrid w:val="0"/>
        </w:rPr>
        <w:t>（T）</w:t>
      </w:r>
      <w:r>
        <w:rPr>
          <w:rFonts w:hint="eastAsia" w:eastAsiaTheme="minorEastAsia"/>
          <w:snapToGrid w:val="0"/>
        </w:rPr>
        <w:t>——</w:t>
      </w:r>
      <w:r>
        <w:rPr>
          <w:rFonts w:eastAsiaTheme="minorEastAsia"/>
          <w:snapToGrid w:val="0"/>
        </w:rPr>
        <w:t>靠近围护结构处室外N个声源i倍频带的叠加声压级，dB；</w:t>
      </w:r>
    </w:p>
    <w:p>
      <w:pPr>
        <w:ind w:firstLine="1200" w:firstLineChars="500"/>
        <w:rPr>
          <w:rFonts w:eastAsiaTheme="minorEastAsia"/>
          <w:snapToGrid w:val="0"/>
        </w:rPr>
      </w:pPr>
      <w:r>
        <w:rPr>
          <w:rFonts w:eastAsiaTheme="minorEastAsia"/>
          <w:snapToGrid w:val="0"/>
        </w:rPr>
        <w:t>T</w:t>
      </w:r>
      <w:r>
        <w:rPr>
          <w:rFonts w:hint="eastAsia" w:eastAsiaTheme="minorEastAsia"/>
          <w:snapToGrid w:val="0"/>
        </w:rPr>
        <w:t>L</w:t>
      </w:r>
      <w:r>
        <w:rPr>
          <w:rFonts w:eastAsiaTheme="minorEastAsia"/>
          <w:snapToGrid w:val="0"/>
        </w:rPr>
        <w:t>i</w:t>
      </w:r>
      <w:r>
        <w:rPr>
          <w:rFonts w:hint="eastAsia" w:eastAsiaTheme="minorEastAsia"/>
          <w:snapToGrid w:val="0"/>
        </w:rPr>
        <w:t>——</w:t>
      </w:r>
      <w:r>
        <w:rPr>
          <w:rFonts w:eastAsiaTheme="minorEastAsia"/>
          <w:snapToGrid w:val="0"/>
        </w:rPr>
        <w:t>围护结构i倍频带的隔声量，dB；</w:t>
      </w:r>
    </w:p>
    <w:p>
      <w:pPr>
        <w:ind w:firstLine="480"/>
        <w:rPr>
          <w:rFonts w:eastAsiaTheme="minorEastAsia"/>
          <w:snapToGrid w:val="0"/>
        </w:rPr>
      </w:pPr>
      <w:r>
        <w:rPr>
          <w:rFonts w:eastAsiaTheme="minorEastAsia"/>
          <w:snapToGrid w:val="0"/>
        </w:rPr>
        <w:t>将室外声源的声压级和透过面积换算成等效的室外声源，计算出中心位置于透声面积（S）处的等效声源的倍频带声功率级，见下式</w:t>
      </w:r>
      <w:r>
        <w:rPr>
          <w:rFonts w:hint="eastAsia" w:eastAsiaTheme="minorEastAsia"/>
          <w:snapToGrid w:val="0"/>
        </w:rPr>
        <w:t>：</w:t>
      </w:r>
    </w:p>
    <w:p>
      <w:pPr>
        <w:ind w:firstLine="480"/>
        <w:jc w:val="center"/>
        <w:rPr>
          <w:rFonts w:eastAsiaTheme="minorEastAsia"/>
          <w:snapToGrid w:val="0"/>
        </w:rPr>
      </w:pPr>
      <w:r>
        <w:rPr>
          <w:rFonts w:hint="eastAsia" w:eastAsiaTheme="minorEastAsia"/>
          <w:snapToGrid w:val="0"/>
          <w:position w:val="-12"/>
        </w:rPr>
        <w:object>
          <v:shape id="_x0000_i1033" o:spt="75" type="#_x0000_t75" style="height:21.5pt;width:100.5pt;" o:ole="t" filled="f" o:preferrelative="t" stroked="f" coordsize="21600,21600">
            <v:path/>
            <v:fill on="f" focussize="0,0"/>
            <v:stroke on="f" joinstyle="miter"/>
            <v:imagedata r:id="rId87" o:title=""/>
            <o:lock v:ext="edit" aspectratio="t"/>
            <w10:wrap type="none"/>
            <w10:anchorlock/>
          </v:shape>
          <o:OLEObject Type="Embed" ProgID="Equation.3" ShapeID="_x0000_i1033" DrawAspect="Content" ObjectID="_1468075733" r:id="rId86">
            <o:LockedField>false</o:LockedField>
          </o:OLEObject>
        </w:object>
      </w:r>
    </w:p>
    <w:p>
      <w:pPr>
        <w:ind w:firstLine="480"/>
        <w:rPr>
          <w:rFonts w:eastAsiaTheme="minorEastAsia"/>
          <w:snapToGrid w:val="0"/>
        </w:rPr>
      </w:pPr>
      <w:r>
        <w:rPr>
          <w:rFonts w:eastAsiaTheme="minorEastAsia"/>
          <w:snapToGrid w:val="0"/>
        </w:rPr>
        <w:t>然后按室外声源预测方法计</w:t>
      </w:r>
      <w:r>
        <w:rPr>
          <w:rFonts w:hint="eastAsia" w:eastAsiaTheme="minorEastAsia"/>
          <w:snapToGrid w:val="0"/>
        </w:rPr>
        <w:t>算</w:t>
      </w:r>
      <w:r>
        <w:rPr>
          <w:rFonts w:eastAsiaTheme="minorEastAsia"/>
          <w:snapToGrid w:val="0"/>
        </w:rPr>
        <w:t>预测点处的A声级。</w:t>
      </w:r>
    </w:p>
    <w:p>
      <w:pPr>
        <w:pStyle w:val="102"/>
        <w:rPr>
          <w:rFonts w:asciiTheme="minorHAnsi" w:hAnsiTheme="minorHAnsi"/>
          <w:snapToGrid w:val="0"/>
        </w:rPr>
      </w:pPr>
      <w:r>
        <w:rPr>
          <w:rFonts w:hint="eastAsia" w:asciiTheme="minorHAnsi" w:hAnsiTheme="minorHAnsi"/>
          <w:snapToGrid w:val="0"/>
        </w:rPr>
        <w:t>计算总声压级</w:t>
      </w:r>
    </w:p>
    <w:p>
      <w:pPr>
        <w:pStyle w:val="131"/>
        <w:numPr>
          <w:ilvl w:val="0"/>
          <w:numId w:val="58"/>
        </w:numPr>
        <w:ind w:firstLine="480" w:firstLineChars="200"/>
        <w:rPr>
          <w:snapToGrid w:val="0"/>
        </w:rPr>
      </w:pPr>
      <w:r>
        <w:rPr>
          <w:rFonts w:hint="eastAsia"/>
          <w:snapToGrid w:val="0"/>
        </w:rPr>
        <w:t>多声源声压级的叠加</w:t>
      </w:r>
    </w:p>
    <w:p>
      <w:pPr>
        <w:ind w:firstLine="480"/>
        <w:rPr>
          <w:rFonts w:eastAsiaTheme="minorEastAsia"/>
          <w:snapToGrid w:val="0"/>
        </w:rPr>
      </w:pPr>
      <w:r>
        <w:rPr>
          <w:rFonts w:eastAsiaTheme="minorEastAsia"/>
          <w:snapToGrid w:val="0"/>
        </w:rPr>
        <w:t>对两个以上多个声源同时存在时，多点源叠加计算总源强，采用如下公式：</w:t>
      </w:r>
    </w:p>
    <w:p>
      <w:pPr>
        <w:ind w:firstLine="480"/>
        <w:jc w:val="center"/>
        <w:rPr>
          <w:rFonts w:eastAsiaTheme="minorEastAsia"/>
          <w:snapToGrid w:val="0"/>
        </w:rPr>
      </w:pPr>
      <w:r>
        <w:rPr>
          <w:rFonts w:eastAsiaTheme="minorEastAsia"/>
          <w:snapToGrid w:val="0"/>
        </w:rPr>
        <w:object>
          <v:shape id="_x0000_i1034" o:spt="75" type="#_x0000_t75" style="height:21.5pt;width:100.5pt;" o:ole="t" filled="f" o:preferrelative="t" stroked="f" coordsize="21600,21600">
            <v:path/>
            <v:fill on="f" focussize="0,0"/>
            <v:stroke on="f" joinstyle="miter"/>
            <v:imagedata r:id="rId89" o:title=""/>
            <o:lock v:ext="edit" aspectratio="t"/>
            <w10:wrap type="none"/>
            <w10:anchorlock/>
          </v:shape>
          <o:OLEObject Type="Embed" ProgID="Equation.DSMT4" ShapeID="_x0000_i1034" DrawAspect="Content" ObjectID="_1468075734" r:id="rId88">
            <o:LockedField>false</o:LockedField>
          </o:OLEObject>
        </w:object>
      </w:r>
    </w:p>
    <w:p>
      <w:pPr>
        <w:ind w:firstLine="480"/>
        <w:rPr>
          <w:rFonts w:eastAsiaTheme="minorEastAsia"/>
          <w:snapToGrid w:val="0"/>
        </w:rPr>
      </w:pPr>
      <w:r>
        <w:rPr>
          <w:rFonts w:eastAsiaTheme="minorEastAsia"/>
          <w:snapToGrid w:val="0"/>
        </w:rPr>
        <w:t>式中：</w:t>
      </w:r>
      <w:r>
        <w:rPr>
          <w:rFonts w:eastAsiaTheme="minorEastAsia"/>
          <w:i/>
          <w:snapToGrid w:val="0"/>
        </w:rPr>
        <w:t>L</w:t>
      </w:r>
      <w:r>
        <w:rPr>
          <w:rFonts w:eastAsiaTheme="minorEastAsia"/>
          <w:i/>
          <w:snapToGrid w:val="0"/>
          <w:vertAlign w:val="subscript"/>
        </w:rPr>
        <w:t>eq</w:t>
      </w:r>
      <w:r>
        <w:rPr>
          <w:rFonts w:eastAsiaTheme="minorEastAsia"/>
          <w:snapToGrid w:val="0"/>
        </w:rPr>
        <w:t>—预测点的总等效声级，dB(A)；</w:t>
      </w:r>
    </w:p>
    <w:p>
      <w:pPr>
        <w:ind w:firstLine="1200" w:firstLineChars="500"/>
        <w:rPr>
          <w:rFonts w:eastAsiaTheme="minorEastAsia"/>
          <w:snapToGrid w:val="0"/>
        </w:rPr>
      </w:pPr>
      <w:r>
        <w:rPr>
          <w:rFonts w:eastAsiaTheme="minorEastAsia"/>
          <w:i/>
          <w:snapToGrid w:val="0"/>
        </w:rPr>
        <w:t>L</w:t>
      </w:r>
      <w:r>
        <w:rPr>
          <w:rFonts w:eastAsiaTheme="minorEastAsia"/>
          <w:i/>
          <w:snapToGrid w:val="0"/>
          <w:vertAlign w:val="subscript"/>
        </w:rPr>
        <w:t>i</w:t>
      </w:r>
      <w:r>
        <w:rPr>
          <w:rFonts w:eastAsiaTheme="minorEastAsia"/>
          <w:snapToGrid w:val="0"/>
        </w:rPr>
        <w:t>—第i个声源对预测点的声级影响，dB(A)</w:t>
      </w:r>
      <w:r>
        <w:rPr>
          <w:rFonts w:hint="eastAsia" w:eastAsiaTheme="minorEastAsia"/>
          <w:snapToGrid w:val="0"/>
        </w:rPr>
        <w:t>。</w:t>
      </w:r>
    </w:p>
    <w:p>
      <w:pPr>
        <w:pStyle w:val="131"/>
        <w:numPr>
          <w:ilvl w:val="0"/>
          <w:numId w:val="58"/>
        </w:numPr>
        <w:ind w:firstLine="480" w:firstLineChars="200"/>
        <w:rPr>
          <w:snapToGrid w:val="0"/>
        </w:rPr>
      </w:pPr>
      <w:r>
        <w:rPr>
          <w:rFonts w:hint="eastAsia"/>
          <w:snapToGrid w:val="0"/>
        </w:rPr>
        <w:t>预测点的噪声预测值</w:t>
      </w:r>
    </w:p>
    <w:p>
      <w:pPr>
        <w:ind w:firstLine="480"/>
        <w:rPr>
          <w:rFonts w:eastAsiaTheme="minorEastAsia"/>
          <w:snapToGrid w:val="0"/>
        </w:rPr>
      </w:pPr>
      <w:r>
        <w:rPr>
          <w:rFonts w:eastAsiaTheme="minorEastAsia"/>
          <w:snapToGrid w:val="0"/>
        </w:rPr>
        <w:t>为预测项目噪声源对周围声环境的影响情况，首先预测噪声源随距离的衰减，然后将噪声源产生的噪声值与区域噪声背景值叠加，即可以预测不同距离的噪声值。叠加公式为：</w:t>
      </w:r>
    </w:p>
    <w:p>
      <w:pPr>
        <w:snapToGrid w:val="0"/>
        <w:spacing w:after="312" w:afterLines="100" w:line="460" w:lineRule="atLeast"/>
        <w:ind w:firstLine="560"/>
        <w:jc w:val="center"/>
        <w:rPr>
          <w:rFonts w:eastAsiaTheme="minorEastAsia"/>
          <w:color w:val="000000"/>
          <w:spacing w:val="12"/>
        </w:rPr>
      </w:pPr>
      <w:r>
        <w:rPr>
          <w:position w:val="-14"/>
          <w:sz w:val="28"/>
        </w:rPr>
        <w:object>
          <v:shape id="_x0000_i1035" o:spt="75" type="#_x0000_t75" style="height:21.5pt;width:129.5pt;" o:ole="t" filled="f" o:preferrelative="t" stroked="f" coordsize="21600,21600">
            <v:path/>
            <v:fill on="f" focussize="0,0"/>
            <v:stroke on="f" joinstyle="miter"/>
            <v:imagedata r:id="rId91" o:title=""/>
            <o:lock v:ext="edit" aspectratio="t"/>
            <w10:wrap type="none"/>
            <w10:anchorlock/>
          </v:shape>
          <o:OLEObject Type="Embed" ProgID="Equation.DSMT4" ShapeID="_x0000_i1035" DrawAspect="Content" ObjectID="_1468075735" r:id="rId90">
            <o:LockedField>false</o:LockedField>
          </o:OLEObject>
        </w:object>
      </w:r>
    </w:p>
    <w:p>
      <w:pPr>
        <w:adjustRightInd w:val="0"/>
        <w:snapToGrid w:val="0"/>
        <w:ind w:firstLine="480"/>
        <w:rPr>
          <w:szCs w:val="21"/>
        </w:rPr>
      </w:pPr>
      <w:r>
        <w:rPr>
          <w:szCs w:val="21"/>
        </w:rPr>
        <w:t>式中：</w:t>
      </w:r>
      <w:r>
        <w:rPr>
          <w:i/>
        </w:rPr>
        <w:t>L</w:t>
      </w:r>
      <w:r>
        <w:rPr>
          <w:i/>
          <w:vertAlign w:val="subscript"/>
        </w:rPr>
        <w:t>eq</w:t>
      </w:r>
      <w:r>
        <w:rPr>
          <w:rFonts w:hint="eastAsia"/>
        </w:rPr>
        <w:t xml:space="preserve"> </w:t>
      </w:r>
      <w:r>
        <w:t>——</w:t>
      </w:r>
      <w:r>
        <w:rPr>
          <w:rFonts w:hint="eastAsia"/>
        </w:rPr>
        <w:t>预测等效声级，</w:t>
      </w:r>
      <w:r>
        <w:t>dB(A)；</w:t>
      </w:r>
    </w:p>
    <w:p>
      <w:pPr>
        <w:ind w:firstLine="1200" w:firstLineChars="500"/>
        <w:rPr>
          <w:szCs w:val="21"/>
        </w:rPr>
      </w:pPr>
      <w:r>
        <w:rPr>
          <w:i/>
          <w:szCs w:val="21"/>
        </w:rPr>
        <w:t>L</w:t>
      </w:r>
      <w:r>
        <w:rPr>
          <w:i/>
          <w:szCs w:val="21"/>
          <w:vertAlign w:val="subscript"/>
        </w:rPr>
        <w:t>eqg</w:t>
      </w:r>
      <w:r>
        <w:rPr>
          <w:szCs w:val="21"/>
        </w:rPr>
        <w:t xml:space="preserve">——建设项目声源在预测点的等效声级贡献值，dB(A)； </w:t>
      </w:r>
    </w:p>
    <w:p>
      <w:pPr>
        <w:ind w:firstLine="1200" w:firstLineChars="500"/>
        <w:rPr>
          <w:szCs w:val="21"/>
        </w:rPr>
      </w:pPr>
      <w:r>
        <w:rPr>
          <w:i/>
          <w:szCs w:val="21"/>
        </w:rPr>
        <w:t>L</w:t>
      </w:r>
      <w:r>
        <w:rPr>
          <w:i/>
          <w:szCs w:val="21"/>
          <w:vertAlign w:val="subscript"/>
        </w:rPr>
        <w:t>eqb</w:t>
      </w:r>
      <w:r>
        <w:rPr>
          <w:szCs w:val="21"/>
        </w:rPr>
        <w:t>——预测点的背景值，dB(A)。</w:t>
      </w:r>
    </w:p>
    <w:p>
      <w:pPr>
        <w:pStyle w:val="102"/>
        <w:rPr>
          <w:rFonts w:asciiTheme="minorHAnsi" w:hAnsiTheme="minorHAnsi"/>
        </w:rPr>
      </w:pPr>
      <w:bookmarkStart w:id="538" w:name="_Toc331536195"/>
      <w:r>
        <w:rPr>
          <w:rFonts w:hint="eastAsia" w:asciiTheme="minorHAnsi" w:hAnsiTheme="minorHAnsi"/>
        </w:rPr>
        <w:t>模式选用参数的确定</w:t>
      </w:r>
    </w:p>
    <w:p>
      <w:pPr>
        <w:ind w:firstLine="480"/>
        <w:rPr>
          <w:rFonts w:cs="Times New Roman" w:eastAsiaTheme="minorEastAsia"/>
        </w:rPr>
      </w:pPr>
      <w:r>
        <w:rPr>
          <w:rFonts w:hint="eastAsia" w:cs="Times New Roman" w:eastAsiaTheme="minorEastAsia"/>
        </w:rPr>
        <w:t>根据厂区平面布置，以及各车间设备布局，预测主要生产设备均投入运行时，同时采取消声、隔音、减振等噪声治理措施，并考虑车间墙体隔声</w:t>
      </w:r>
      <w:r>
        <w:rPr>
          <w:rFonts w:cs="Times New Roman" w:eastAsiaTheme="minorEastAsia"/>
        </w:rPr>
        <w:t>2</w:t>
      </w:r>
      <w:r>
        <w:rPr>
          <w:rFonts w:hint="eastAsia" w:cs="Times New Roman" w:eastAsiaTheme="minorEastAsia"/>
        </w:rPr>
        <w:t>0dB(A)、距离衰减后各厂界的噪声预测值。项目正常生产为两班制，每班8小时，噪声源设备夜间不生产。采用环安科技</w:t>
      </w:r>
      <w:r>
        <w:rPr>
          <w:rFonts w:cs="Times New Roman" w:eastAsiaTheme="minorEastAsia"/>
        </w:rPr>
        <w:t>N</w:t>
      </w:r>
      <w:r>
        <w:rPr>
          <w:rFonts w:hint="eastAsia" w:cs="Times New Roman" w:eastAsiaTheme="minorEastAsia"/>
        </w:rPr>
        <w:t>oise-</w:t>
      </w:r>
      <w:r>
        <w:rPr>
          <w:rFonts w:cs="Times New Roman" w:eastAsiaTheme="minorEastAsia"/>
        </w:rPr>
        <w:t>S</w:t>
      </w:r>
      <w:r>
        <w:rPr>
          <w:rFonts w:hint="eastAsia" w:cs="Times New Roman" w:eastAsiaTheme="minorEastAsia"/>
        </w:rPr>
        <w:t>ystem软件预测厂界四周噪声，选用参数见</w:t>
      </w:r>
      <w:r>
        <w:rPr>
          <w:rFonts w:cs="Times New Roman" w:eastAsiaTheme="minorEastAsia"/>
        </w:rPr>
        <w:fldChar w:fldCharType="begin"/>
      </w:r>
      <w:r>
        <w:rPr>
          <w:rFonts w:cs="Times New Roman" w:eastAsiaTheme="minorEastAsia"/>
        </w:rPr>
        <w:instrText xml:space="preserve"> </w:instrText>
      </w:r>
      <w:r>
        <w:rPr>
          <w:rFonts w:hint="eastAsia" w:cs="Times New Roman" w:eastAsiaTheme="minorEastAsia"/>
        </w:rPr>
        <w:instrText xml:space="preserve">REF _Ref528224907 \h</w:instrText>
      </w:r>
      <w:r>
        <w:rPr>
          <w:rFonts w:cs="Times New Roman" w:eastAsiaTheme="minorEastAsia"/>
        </w:rPr>
        <w:instrText xml:space="preserve">  \* MERGEFORMAT </w:instrText>
      </w:r>
      <w:r>
        <w:rPr>
          <w:rFonts w:cs="Times New Roman" w:eastAsiaTheme="minorEastAsia"/>
        </w:rPr>
        <w:fldChar w:fldCharType="separate"/>
      </w:r>
      <w:r>
        <w:rPr>
          <w:rFonts w:hint="eastAsia" w:eastAsiaTheme="minorEastAsia"/>
        </w:rPr>
        <w:t xml:space="preserve">表 </w:t>
      </w:r>
      <w:r>
        <w:rPr>
          <w:rFonts w:eastAsiaTheme="minorEastAsia"/>
        </w:rPr>
        <w:t>4.5</w:t>
      </w:r>
      <w:r>
        <w:rPr>
          <w:rFonts w:eastAsiaTheme="minorEastAsia"/>
        </w:rPr>
        <w:noBreakHyphen/>
      </w:r>
      <w:r>
        <w:rPr>
          <w:rFonts w:eastAsiaTheme="minorEastAsia"/>
        </w:rPr>
        <w:t>3</w:t>
      </w:r>
      <w:r>
        <w:rPr>
          <w:rFonts w:cs="Times New Roman" w:eastAsiaTheme="minorEastAsia"/>
        </w:rPr>
        <w:fldChar w:fldCharType="end"/>
      </w:r>
      <w:r>
        <w:rPr>
          <w:rFonts w:hint="eastAsia" w:cs="Times New Roman" w:eastAsiaTheme="minorEastAsia"/>
        </w:rPr>
        <w:t>。</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r>
        <w:rPr>
          <w:rFonts w:hint="eastAsia"/>
        </w:rPr>
        <w:t>噪声预测模式选用参数</w:t>
      </w:r>
      <w:r>
        <w:tab/>
      </w:r>
      <w:r>
        <w:rPr>
          <w:rFonts w:hint="eastAsia"/>
        </w:rPr>
        <w:t>单位：dB(A)</w:t>
      </w:r>
    </w:p>
    <w:tbl>
      <w:tblPr>
        <w:tblStyle w:val="56"/>
        <w:tblW w:w="9060" w:type="dxa"/>
        <w:tblInd w:w="0" w:type="dxa"/>
        <w:tblLayout w:type="fixed"/>
        <w:tblCellMar>
          <w:top w:w="0" w:type="dxa"/>
          <w:left w:w="108" w:type="dxa"/>
          <w:bottom w:w="0" w:type="dxa"/>
          <w:right w:w="108" w:type="dxa"/>
        </w:tblCellMar>
      </w:tblPr>
      <w:tblGrid>
        <w:gridCol w:w="638"/>
        <w:gridCol w:w="913"/>
        <w:gridCol w:w="2123"/>
        <w:gridCol w:w="894"/>
        <w:gridCol w:w="1012"/>
        <w:gridCol w:w="1014"/>
        <w:gridCol w:w="1014"/>
        <w:gridCol w:w="1452"/>
      </w:tblGrid>
      <w:tr>
        <w:tblPrEx>
          <w:tblLayout w:type="fixed"/>
          <w:tblCellMar>
            <w:top w:w="0" w:type="dxa"/>
            <w:left w:w="108" w:type="dxa"/>
            <w:bottom w:w="0" w:type="dxa"/>
            <w:right w:w="108" w:type="dxa"/>
          </w:tblCellMar>
        </w:tblPrEx>
        <w:trPr>
          <w:trHeight w:val="379" w:hRule="atLeast"/>
          <w:tblHeader/>
        </w:trPr>
        <w:tc>
          <w:tcPr>
            <w:tcW w:w="63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b/>
              </w:rPr>
            </w:pPr>
            <w:r>
              <w:rPr>
                <w:rFonts w:hint="eastAsia"/>
                <w:b/>
              </w:rPr>
              <w:t>序号</w:t>
            </w:r>
          </w:p>
        </w:tc>
        <w:tc>
          <w:tcPr>
            <w:tcW w:w="91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b/>
              </w:rPr>
            </w:pPr>
            <w:r>
              <w:rPr>
                <w:rFonts w:hint="eastAsia"/>
                <w:b/>
              </w:rPr>
              <w:t>主要产噪设备</w:t>
            </w:r>
          </w:p>
        </w:tc>
        <w:tc>
          <w:tcPr>
            <w:tcW w:w="212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b/>
              </w:rPr>
            </w:pPr>
            <w:r>
              <w:rPr>
                <w:rFonts w:hint="eastAsia"/>
                <w:b/>
              </w:rPr>
              <w:t>位置</w:t>
            </w:r>
          </w:p>
        </w:tc>
        <w:tc>
          <w:tcPr>
            <w:tcW w:w="89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b/>
              </w:rPr>
            </w:pPr>
            <w:r>
              <w:rPr>
                <w:rFonts w:hint="eastAsia"/>
                <w:b/>
              </w:rPr>
              <w:t>治理后噪声值</w:t>
            </w:r>
          </w:p>
        </w:tc>
        <w:tc>
          <w:tcPr>
            <w:tcW w:w="2026" w:type="dxa"/>
            <w:gridSpan w:val="2"/>
            <w:tcBorders>
              <w:top w:val="single" w:color="auto" w:sz="4" w:space="0"/>
              <w:left w:val="nil"/>
              <w:bottom w:val="single" w:color="auto" w:sz="4" w:space="0"/>
              <w:right w:val="single" w:color="auto" w:sz="4" w:space="0"/>
            </w:tcBorders>
            <w:shd w:val="clear" w:color="auto" w:fill="auto"/>
            <w:vAlign w:val="center"/>
          </w:tcPr>
          <w:p>
            <w:pPr>
              <w:pStyle w:val="107"/>
              <w:rPr>
                <w:b/>
              </w:rPr>
            </w:pPr>
            <w:r>
              <w:rPr>
                <w:rFonts w:hint="eastAsia"/>
                <w:b/>
              </w:rPr>
              <w:t>声源属性</w:t>
            </w:r>
          </w:p>
        </w:tc>
        <w:tc>
          <w:tcPr>
            <w:tcW w:w="2466" w:type="dxa"/>
            <w:gridSpan w:val="2"/>
            <w:tcBorders>
              <w:top w:val="single" w:color="auto" w:sz="4" w:space="0"/>
              <w:left w:val="nil"/>
              <w:bottom w:val="single" w:color="auto" w:sz="4" w:space="0"/>
              <w:right w:val="single" w:color="auto" w:sz="4" w:space="0"/>
            </w:tcBorders>
            <w:shd w:val="clear" w:color="auto" w:fill="auto"/>
            <w:vAlign w:val="center"/>
          </w:tcPr>
          <w:p>
            <w:pPr>
              <w:pStyle w:val="107"/>
              <w:rPr>
                <w:b/>
              </w:rPr>
            </w:pPr>
            <w:r>
              <w:rPr>
                <w:rFonts w:hint="eastAsia"/>
                <w:b/>
              </w:rPr>
              <w:t>预测方案属性</w:t>
            </w:r>
          </w:p>
        </w:tc>
      </w:tr>
      <w:tr>
        <w:tblPrEx>
          <w:tblLayout w:type="fixed"/>
          <w:tblCellMar>
            <w:top w:w="0" w:type="dxa"/>
            <w:left w:w="108" w:type="dxa"/>
            <w:bottom w:w="0" w:type="dxa"/>
            <w:right w:w="108" w:type="dxa"/>
          </w:tblCellMar>
        </w:tblPrEx>
        <w:trPr>
          <w:trHeight w:val="413" w:hRule="atLeast"/>
          <w:tblHeader/>
        </w:trPr>
        <w:tc>
          <w:tcPr>
            <w:tcW w:w="638" w:type="dxa"/>
            <w:vMerge w:val="continue"/>
            <w:tcBorders>
              <w:top w:val="single" w:color="auto" w:sz="4" w:space="0"/>
              <w:left w:val="single" w:color="auto" w:sz="4" w:space="0"/>
              <w:bottom w:val="single" w:color="auto" w:sz="4" w:space="0"/>
              <w:right w:val="single" w:color="auto" w:sz="4" w:space="0"/>
            </w:tcBorders>
            <w:vAlign w:val="center"/>
          </w:tcPr>
          <w:p>
            <w:pPr>
              <w:pStyle w:val="107"/>
              <w:rPr>
                <w:b/>
              </w:rPr>
            </w:pPr>
          </w:p>
        </w:tc>
        <w:tc>
          <w:tcPr>
            <w:tcW w:w="913" w:type="dxa"/>
            <w:vMerge w:val="continue"/>
            <w:tcBorders>
              <w:top w:val="single" w:color="auto" w:sz="4" w:space="0"/>
              <w:left w:val="single" w:color="auto" w:sz="4" w:space="0"/>
              <w:bottom w:val="single" w:color="auto" w:sz="4" w:space="0"/>
              <w:right w:val="single" w:color="auto" w:sz="4" w:space="0"/>
            </w:tcBorders>
            <w:vAlign w:val="center"/>
          </w:tcPr>
          <w:p>
            <w:pPr>
              <w:pStyle w:val="107"/>
              <w:rPr>
                <w:b/>
              </w:rPr>
            </w:pPr>
          </w:p>
        </w:tc>
        <w:tc>
          <w:tcPr>
            <w:tcW w:w="2123" w:type="dxa"/>
            <w:vMerge w:val="continue"/>
            <w:tcBorders>
              <w:top w:val="single" w:color="auto" w:sz="4" w:space="0"/>
              <w:left w:val="single" w:color="auto" w:sz="4" w:space="0"/>
              <w:bottom w:val="single" w:color="auto" w:sz="4" w:space="0"/>
              <w:right w:val="single" w:color="auto" w:sz="4" w:space="0"/>
            </w:tcBorders>
            <w:vAlign w:val="center"/>
          </w:tcPr>
          <w:p>
            <w:pPr>
              <w:pStyle w:val="107"/>
              <w:rPr>
                <w:b/>
              </w:rPr>
            </w:pPr>
          </w:p>
        </w:tc>
        <w:tc>
          <w:tcPr>
            <w:tcW w:w="894" w:type="dxa"/>
            <w:vMerge w:val="continue"/>
            <w:tcBorders>
              <w:top w:val="single" w:color="auto" w:sz="4" w:space="0"/>
              <w:left w:val="single" w:color="auto" w:sz="4" w:space="0"/>
              <w:bottom w:val="single" w:color="auto" w:sz="4" w:space="0"/>
              <w:right w:val="single" w:color="auto" w:sz="4" w:space="0"/>
            </w:tcBorders>
            <w:vAlign w:val="center"/>
          </w:tcPr>
          <w:p>
            <w:pPr>
              <w:pStyle w:val="107"/>
              <w:rPr>
                <w:b/>
              </w:rPr>
            </w:pPr>
          </w:p>
        </w:tc>
        <w:tc>
          <w:tcPr>
            <w:tcW w:w="1012" w:type="dxa"/>
            <w:tcBorders>
              <w:top w:val="nil"/>
              <w:left w:val="nil"/>
              <w:bottom w:val="single" w:color="auto" w:sz="4" w:space="0"/>
              <w:right w:val="single" w:color="auto" w:sz="4" w:space="0"/>
            </w:tcBorders>
            <w:shd w:val="clear" w:color="auto" w:fill="auto"/>
            <w:vAlign w:val="center"/>
          </w:tcPr>
          <w:p>
            <w:pPr>
              <w:pStyle w:val="107"/>
              <w:rPr>
                <w:b/>
              </w:rPr>
            </w:pPr>
            <w:r>
              <w:rPr>
                <w:rFonts w:hint="eastAsia"/>
                <w:b/>
              </w:rPr>
              <w:t>一般属性</w:t>
            </w:r>
          </w:p>
        </w:tc>
        <w:tc>
          <w:tcPr>
            <w:tcW w:w="1014" w:type="dxa"/>
            <w:tcBorders>
              <w:top w:val="nil"/>
              <w:left w:val="nil"/>
              <w:bottom w:val="single" w:color="auto" w:sz="4" w:space="0"/>
              <w:right w:val="single" w:color="auto" w:sz="4" w:space="0"/>
            </w:tcBorders>
            <w:shd w:val="clear" w:color="auto" w:fill="auto"/>
            <w:vAlign w:val="center"/>
          </w:tcPr>
          <w:p>
            <w:pPr>
              <w:pStyle w:val="107"/>
              <w:rPr>
                <w:b/>
              </w:rPr>
            </w:pPr>
            <w:r>
              <w:rPr>
                <w:rFonts w:hint="eastAsia"/>
                <w:b/>
              </w:rPr>
              <w:t>发生特性</w:t>
            </w:r>
          </w:p>
        </w:tc>
        <w:tc>
          <w:tcPr>
            <w:tcW w:w="1014" w:type="dxa"/>
            <w:tcBorders>
              <w:top w:val="nil"/>
              <w:left w:val="nil"/>
              <w:bottom w:val="single" w:color="auto" w:sz="4" w:space="0"/>
              <w:right w:val="single" w:color="auto" w:sz="4" w:space="0"/>
            </w:tcBorders>
            <w:shd w:val="clear" w:color="auto" w:fill="auto"/>
            <w:vAlign w:val="center"/>
          </w:tcPr>
          <w:p>
            <w:pPr>
              <w:pStyle w:val="107"/>
              <w:rPr>
                <w:b/>
              </w:rPr>
            </w:pPr>
            <w:r>
              <w:rPr>
                <w:rFonts w:hint="eastAsia"/>
                <w:b/>
              </w:rPr>
              <w:t>地面类型</w:t>
            </w:r>
          </w:p>
        </w:tc>
        <w:tc>
          <w:tcPr>
            <w:tcW w:w="1452" w:type="dxa"/>
            <w:tcBorders>
              <w:top w:val="nil"/>
              <w:left w:val="nil"/>
              <w:bottom w:val="single" w:color="auto" w:sz="4" w:space="0"/>
              <w:right w:val="single" w:color="auto" w:sz="4" w:space="0"/>
            </w:tcBorders>
            <w:shd w:val="clear" w:color="auto" w:fill="auto"/>
            <w:vAlign w:val="center"/>
          </w:tcPr>
          <w:p>
            <w:pPr>
              <w:pStyle w:val="107"/>
              <w:rPr>
                <w:b/>
              </w:rPr>
            </w:pPr>
            <w:r>
              <w:rPr>
                <w:rFonts w:hint="eastAsia"/>
                <w:b/>
              </w:rPr>
              <w:t>环境空气参数</w:t>
            </w: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9"/>
              </w:numPr>
            </w:pPr>
          </w:p>
        </w:tc>
        <w:tc>
          <w:tcPr>
            <w:tcW w:w="913" w:type="dxa"/>
            <w:tcBorders>
              <w:top w:val="nil"/>
              <w:left w:val="nil"/>
              <w:bottom w:val="single" w:color="auto" w:sz="4" w:space="0"/>
              <w:right w:val="single" w:color="auto" w:sz="4" w:space="0"/>
            </w:tcBorders>
            <w:shd w:val="clear" w:color="auto" w:fill="auto"/>
            <w:vAlign w:val="center"/>
          </w:tcPr>
          <w:p>
            <w:pPr>
              <w:pStyle w:val="107"/>
            </w:pPr>
            <w:r>
              <w:rPr>
                <w:rFonts w:hint="eastAsia"/>
              </w:rPr>
              <w:t>密炼机</w:t>
            </w:r>
          </w:p>
        </w:tc>
        <w:tc>
          <w:tcPr>
            <w:tcW w:w="2123" w:type="dxa"/>
            <w:tcBorders>
              <w:top w:val="nil"/>
              <w:left w:val="nil"/>
              <w:bottom w:val="single" w:color="auto" w:sz="4" w:space="0"/>
              <w:right w:val="single" w:color="auto" w:sz="4" w:space="0"/>
            </w:tcBorders>
            <w:shd w:val="clear" w:color="auto" w:fill="auto"/>
            <w:vAlign w:val="center"/>
          </w:tcPr>
          <w:p>
            <w:pPr>
              <w:pStyle w:val="107"/>
            </w:pPr>
            <w:r>
              <w:rPr>
                <w:rFonts w:hint="eastAsia"/>
              </w:rPr>
              <w:t>密炼车间</w:t>
            </w:r>
          </w:p>
        </w:tc>
        <w:tc>
          <w:tcPr>
            <w:tcW w:w="894" w:type="dxa"/>
            <w:tcBorders>
              <w:top w:val="nil"/>
              <w:left w:val="nil"/>
              <w:bottom w:val="single" w:color="auto" w:sz="4" w:space="0"/>
              <w:right w:val="single" w:color="auto" w:sz="4" w:space="0"/>
            </w:tcBorders>
            <w:shd w:val="clear" w:color="auto" w:fill="auto"/>
            <w:vAlign w:val="center"/>
          </w:tcPr>
          <w:p>
            <w:pPr>
              <w:pStyle w:val="107"/>
            </w:pPr>
            <w:r>
              <w:rPr>
                <w:rFonts w:hint="eastAsia"/>
              </w:rPr>
              <w:t>60～65</w:t>
            </w:r>
          </w:p>
        </w:tc>
        <w:tc>
          <w:tcPr>
            <w:tcW w:w="1012" w:type="dxa"/>
            <w:vMerge w:val="restart"/>
            <w:tcBorders>
              <w:top w:val="nil"/>
              <w:left w:val="single" w:color="auto" w:sz="4" w:space="0"/>
              <w:bottom w:val="single" w:color="auto" w:sz="4" w:space="0"/>
              <w:right w:val="single" w:color="auto" w:sz="4" w:space="0"/>
            </w:tcBorders>
            <w:shd w:val="clear" w:color="auto" w:fill="auto"/>
            <w:vAlign w:val="center"/>
          </w:tcPr>
          <w:p>
            <w:pPr>
              <w:pStyle w:val="107"/>
            </w:pPr>
            <w:r>
              <w:rPr>
                <w:rFonts w:hint="eastAsia"/>
              </w:rPr>
              <w:t>声源离地高度：1m</w:t>
            </w:r>
          </w:p>
        </w:tc>
        <w:tc>
          <w:tcPr>
            <w:tcW w:w="1014" w:type="dxa"/>
            <w:vMerge w:val="restart"/>
            <w:tcBorders>
              <w:top w:val="nil"/>
              <w:left w:val="single" w:color="auto" w:sz="4" w:space="0"/>
              <w:bottom w:val="single" w:color="auto" w:sz="4" w:space="0"/>
              <w:right w:val="single" w:color="auto" w:sz="4" w:space="0"/>
            </w:tcBorders>
            <w:shd w:val="clear" w:color="auto" w:fill="auto"/>
            <w:vAlign w:val="center"/>
          </w:tcPr>
          <w:p>
            <w:pPr>
              <w:pStyle w:val="107"/>
            </w:pPr>
            <w:r>
              <w:rPr>
                <w:rFonts w:hint="eastAsia"/>
              </w:rPr>
              <w:t>稳态发生，不分频</w:t>
            </w:r>
          </w:p>
        </w:tc>
        <w:tc>
          <w:tcPr>
            <w:tcW w:w="1014" w:type="dxa"/>
            <w:vMerge w:val="restart"/>
            <w:tcBorders>
              <w:top w:val="nil"/>
              <w:left w:val="single" w:color="auto" w:sz="4" w:space="0"/>
              <w:bottom w:val="single" w:color="auto" w:sz="4" w:space="0"/>
              <w:right w:val="single" w:color="auto" w:sz="4" w:space="0"/>
            </w:tcBorders>
            <w:shd w:val="clear" w:color="auto" w:fill="auto"/>
            <w:vAlign w:val="center"/>
          </w:tcPr>
          <w:p>
            <w:pPr>
              <w:pStyle w:val="107"/>
            </w:pPr>
            <w:r>
              <w:rPr>
                <w:rFonts w:hint="eastAsia"/>
              </w:rPr>
              <w:t>声源离地高度：1m</w:t>
            </w:r>
          </w:p>
        </w:tc>
        <w:tc>
          <w:tcPr>
            <w:tcW w:w="1452" w:type="dxa"/>
            <w:vMerge w:val="restart"/>
            <w:tcBorders>
              <w:top w:val="nil"/>
              <w:left w:val="single" w:color="auto" w:sz="4" w:space="0"/>
              <w:bottom w:val="single" w:color="auto" w:sz="4" w:space="0"/>
              <w:right w:val="single" w:color="auto" w:sz="4" w:space="0"/>
            </w:tcBorders>
            <w:shd w:val="clear" w:color="auto" w:fill="auto"/>
            <w:vAlign w:val="center"/>
          </w:tcPr>
          <w:p>
            <w:pPr>
              <w:pStyle w:val="107"/>
            </w:pPr>
            <w:r>
              <w:rPr>
                <w:rFonts w:hint="eastAsia"/>
              </w:rPr>
              <w:t>环境空气温度：20℃</w:t>
            </w:r>
          </w:p>
          <w:p>
            <w:pPr>
              <w:pStyle w:val="107"/>
            </w:pPr>
            <w:r>
              <w:rPr>
                <w:rFonts w:hint="eastAsia"/>
              </w:rPr>
              <w:t>空气相对湿度：60%</w:t>
            </w:r>
          </w:p>
          <w:p>
            <w:pPr>
              <w:pStyle w:val="107"/>
            </w:pPr>
            <w:r>
              <w:rPr>
                <w:rFonts w:hint="eastAsia"/>
              </w:rPr>
              <w:t>空气大气压：1atm</w:t>
            </w: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9"/>
              </w:numPr>
            </w:pPr>
          </w:p>
        </w:tc>
        <w:tc>
          <w:tcPr>
            <w:tcW w:w="913" w:type="dxa"/>
            <w:tcBorders>
              <w:top w:val="nil"/>
              <w:left w:val="nil"/>
              <w:bottom w:val="single" w:color="auto" w:sz="4" w:space="0"/>
              <w:right w:val="single" w:color="auto" w:sz="4" w:space="0"/>
            </w:tcBorders>
            <w:shd w:val="clear" w:color="auto" w:fill="auto"/>
            <w:vAlign w:val="center"/>
          </w:tcPr>
          <w:p>
            <w:pPr>
              <w:pStyle w:val="107"/>
            </w:pPr>
            <w:r>
              <w:rPr>
                <w:rFonts w:hint="eastAsia"/>
              </w:rPr>
              <w:t>开炼机</w:t>
            </w:r>
          </w:p>
        </w:tc>
        <w:tc>
          <w:tcPr>
            <w:tcW w:w="2123" w:type="dxa"/>
            <w:tcBorders>
              <w:top w:val="nil"/>
              <w:left w:val="nil"/>
              <w:bottom w:val="single" w:color="auto" w:sz="4" w:space="0"/>
              <w:right w:val="single" w:color="auto" w:sz="4" w:space="0"/>
            </w:tcBorders>
            <w:shd w:val="clear" w:color="auto" w:fill="auto"/>
            <w:vAlign w:val="center"/>
          </w:tcPr>
          <w:p>
            <w:pPr>
              <w:pStyle w:val="107"/>
            </w:pPr>
            <w:r>
              <w:rPr>
                <w:rFonts w:hint="eastAsia"/>
              </w:rPr>
              <w:t>混炼车间</w:t>
            </w:r>
          </w:p>
        </w:tc>
        <w:tc>
          <w:tcPr>
            <w:tcW w:w="894" w:type="dxa"/>
            <w:tcBorders>
              <w:top w:val="nil"/>
              <w:left w:val="nil"/>
              <w:bottom w:val="single" w:color="auto" w:sz="4" w:space="0"/>
              <w:right w:val="single" w:color="auto" w:sz="4" w:space="0"/>
            </w:tcBorders>
            <w:shd w:val="clear" w:color="auto" w:fill="auto"/>
            <w:vAlign w:val="center"/>
          </w:tcPr>
          <w:p>
            <w:pPr>
              <w:pStyle w:val="107"/>
            </w:pPr>
            <w:r>
              <w:rPr>
                <w:rFonts w:hint="eastAsia"/>
              </w:rPr>
              <w:t>60～65</w:t>
            </w:r>
          </w:p>
        </w:tc>
        <w:tc>
          <w:tcPr>
            <w:tcW w:w="1012" w:type="dxa"/>
            <w:vMerge w:val="continue"/>
            <w:tcBorders>
              <w:top w:val="nil"/>
              <w:left w:val="single" w:color="auto" w:sz="4" w:space="0"/>
              <w:bottom w:val="single" w:color="auto" w:sz="4" w:space="0"/>
              <w:right w:val="single" w:color="auto" w:sz="4" w:space="0"/>
            </w:tcBorders>
            <w:vAlign w:val="center"/>
          </w:tcPr>
          <w:p>
            <w:pPr>
              <w:pStyle w:val="107"/>
            </w:pPr>
          </w:p>
        </w:tc>
        <w:tc>
          <w:tcPr>
            <w:tcW w:w="1014" w:type="dxa"/>
            <w:vMerge w:val="continue"/>
            <w:tcBorders>
              <w:top w:val="nil"/>
              <w:left w:val="single" w:color="auto" w:sz="4" w:space="0"/>
              <w:bottom w:val="single" w:color="auto" w:sz="4" w:space="0"/>
              <w:right w:val="single" w:color="auto" w:sz="4" w:space="0"/>
            </w:tcBorders>
            <w:vAlign w:val="center"/>
          </w:tcPr>
          <w:p>
            <w:pPr>
              <w:pStyle w:val="107"/>
            </w:pPr>
          </w:p>
        </w:tc>
        <w:tc>
          <w:tcPr>
            <w:tcW w:w="1014" w:type="dxa"/>
            <w:vMerge w:val="continue"/>
            <w:tcBorders>
              <w:top w:val="nil"/>
              <w:left w:val="single" w:color="auto" w:sz="4" w:space="0"/>
              <w:bottom w:val="single" w:color="auto" w:sz="4" w:space="0"/>
              <w:right w:val="single" w:color="auto" w:sz="4" w:space="0"/>
            </w:tcBorders>
            <w:vAlign w:val="center"/>
          </w:tcPr>
          <w:p>
            <w:pPr>
              <w:pStyle w:val="107"/>
            </w:pPr>
          </w:p>
        </w:tc>
        <w:tc>
          <w:tcPr>
            <w:tcW w:w="1452" w:type="dxa"/>
            <w:vMerge w:val="continue"/>
            <w:tcBorders>
              <w:top w:val="nil"/>
              <w:left w:val="single" w:color="auto" w:sz="4" w:space="0"/>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9"/>
              </w:numPr>
            </w:pPr>
          </w:p>
        </w:tc>
        <w:tc>
          <w:tcPr>
            <w:tcW w:w="913" w:type="dxa"/>
            <w:tcBorders>
              <w:top w:val="nil"/>
              <w:left w:val="nil"/>
              <w:bottom w:val="single" w:color="auto" w:sz="4" w:space="0"/>
              <w:right w:val="single" w:color="auto" w:sz="4" w:space="0"/>
            </w:tcBorders>
            <w:shd w:val="clear" w:color="auto" w:fill="auto"/>
            <w:vAlign w:val="center"/>
          </w:tcPr>
          <w:p>
            <w:pPr>
              <w:pStyle w:val="107"/>
            </w:pPr>
            <w:r>
              <w:rPr>
                <w:rFonts w:hint="eastAsia"/>
              </w:rPr>
              <w:t>裁切机</w:t>
            </w:r>
          </w:p>
        </w:tc>
        <w:tc>
          <w:tcPr>
            <w:tcW w:w="2123" w:type="dxa"/>
            <w:tcBorders>
              <w:top w:val="nil"/>
              <w:left w:val="nil"/>
              <w:bottom w:val="single" w:color="auto" w:sz="4" w:space="0"/>
              <w:right w:val="single" w:color="auto" w:sz="4" w:space="0"/>
            </w:tcBorders>
            <w:shd w:val="clear" w:color="auto" w:fill="auto"/>
            <w:vAlign w:val="center"/>
          </w:tcPr>
          <w:p>
            <w:pPr>
              <w:pStyle w:val="107"/>
            </w:pPr>
            <w:r>
              <w:rPr>
                <w:rFonts w:hint="eastAsia"/>
              </w:rPr>
              <w:t>混炼车间</w:t>
            </w:r>
          </w:p>
        </w:tc>
        <w:tc>
          <w:tcPr>
            <w:tcW w:w="894" w:type="dxa"/>
            <w:tcBorders>
              <w:top w:val="nil"/>
              <w:left w:val="nil"/>
              <w:bottom w:val="single" w:color="auto" w:sz="4" w:space="0"/>
              <w:right w:val="single" w:color="auto" w:sz="4" w:space="0"/>
            </w:tcBorders>
            <w:shd w:val="clear" w:color="auto" w:fill="auto"/>
            <w:vAlign w:val="center"/>
          </w:tcPr>
          <w:p>
            <w:pPr>
              <w:pStyle w:val="107"/>
            </w:pPr>
            <w:r>
              <w:rPr>
                <w:rFonts w:hint="eastAsia"/>
              </w:rPr>
              <w:t>55～60</w:t>
            </w:r>
          </w:p>
        </w:tc>
        <w:tc>
          <w:tcPr>
            <w:tcW w:w="1012" w:type="dxa"/>
            <w:vMerge w:val="continue"/>
            <w:tcBorders>
              <w:top w:val="nil"/>
              <w:left w:val="single" w:color="auto" w:sz="4" w:space="0"/>
              <w:bottom w:val="single" w:color="auto" w:sz="4" w:space="0"/>
              <w:right w:val="single" w:color="auto" w:sz="4" w:space="0"/>
            </w:tcBorders>
            <w:vAlign w:val="center"/>
          </w:tcPr>
          <w:p>
            <w:pPr>
              <w:pStyle w:val="107"/>
            </w:pPr>
          </w:p>
        </w:tc>
        <w:tc>
          <w:tcPr>
            <w:tcW w:w="1014" w:type="dxa"/>
            <w:vMerge w:val="continue"/>
            <w:tcBorders>
              <w:top w:val="nil"/>
              <w:left w:val="single" w:color="auto" w:sz="4" w:space="0"/>
              <w:bottom w:val="single" w:color="auto" w:sz="4" w:space="0"/>
              <w:right w:val="single" w:color="auto" w:sz="4" w:space="0"/>
            </w:tcBorders>
            <w:vAlign w:val="center"/>
          </w:tcPr>
          <w:p>
            <w:pPr>
              <w:pStyle w:val="107"/>
            </w:pPr>
          </w:p>
        </w:tc>
        <w:tc>
          <w:tcPr>
            <w:tcW w:w="1014" w:type="dxa"/>
            <w:vMerge w:val="continue"/>
            <w:tcBorders>
              <w:top w:val="nil"/>
              <w:left w:val="single" w:color="auto" w:sz="4" w:space="0"/>
              <w:bottom w:val="single" w:color="auto" w:sz="4" w:space="0"/>
              <w:right w:val="single" w:color="auto" w:sz="4" w:space="0"/>
            </w:tcBorders>
            <w:vAlign w:val="center"/>
          </w:tcPr>
          <w:p>
            <w:pPr>
              <w:pStyle w:val="107"/>
            </w:pPr>
          </w:p>
        </w:tc>
        <w:tc>
          <w:tcPr>
            <w:tcW w:w="1452" w:type="dxa"/>
            <w:vMerge w:val="continue"/>
            <w:tcBorders>
              <w:top w:val="nil"/>
              <w:left w:val="single" w:color="auto" w:sz="4" w:space="0"/>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9"/>
              </w:numPr>
            </w:pPr>
          </w:p>
        </w:tc>
        <w:tc>
          <w:tcPr>
            <w:tcW w:w="913" w:type="dxa"/>
            <w:tcBorders>
              <w:top w:val="nil"/>
              <w:left w:val="nil"/>
              <w:bottom w:val="single" w:color="auto" w:sz="4" w:space="0"/>
              <w:right w:val="single" w:color="auto" w:sz="4" w:space="0"/>
            </w:tcBorders>
            <w:shd w:val="clear" w:color="auto" w:fill="auto"/>
            <w:vAlign w:val="center"/>
          </w:tcPr>
          <w:p>
            <w:pPr>
              <w:pStyle w:val="107"/>
            </w:pPr>
            <w:r>
              <w:rPr>
                <w:rFonts w:hint="eastAsia"/>
              </w:rPr>
              <w:t>硫化机</w:t>
            </w:r>
          </w:p>
        </w:tc>
        <w:tc>
          <w:tcPr>
            <w:tcW w:w="2123" w:type="dxa"/>
            <w:tcBorders>
              <w:top w:val="nil"/>
              <w:left w:val="nil"/>
              <w:bottom w:val="single" w:color="auto" w:sz="4" w:space="0"/>
              <w:right w:val="single" w:color="auto" w:sz="4" w:space="0"/>
            </w:tcBorders>
            <w:shd w:val="clear" w:color="auto" w:fill="auto"/>
            <w:vAlign w:val="center"/>
          </w:tcPr>
          <w:p>
            <w:pPr>
              <w:pStyle w:val="107"/>
            </w:pPr>
            <w:r>
              <w:rPr>
                <w:rFonts w:hint="eastAsia"/>
              </w:rPr>
              <w:t>硫化车间</w:t>
            </w:r>
          </w:p>
        </w:tc>
        <w:tc>
          <w:tcPr>
            <w:tcW w:w="894" w:type="dxa"/>
            <w:tcBorders>
              <w:top w:val="nil"/>
              <w:left w:val="nil"/>
              <w:bottom w:val="single" w:color="auto" w:sz="4" w:space="0"/>
              <w:right w:val="single" w:color="auto" w:sz="4" w:space="0"/>
            </w:tcBorders>
            <w:shd w:val="clear" w:color="auto" w:fill="auto"/>
            <w:vAlign w:val="center"/>
          </w:tcPr>
          <w:p>
            <w:pPr>
              <w:pStyle w:val="107"/>
            </w:pPr>
            <w:r>
              <w:rPr>
                <w:rFonts w:hint="eastAsia"/>
              </w:rPr>
              <w:t>60～65</w:t>
            </w:r>
          </w:p>
        </w:tc>
        <w:tc>
          <w:tcPr>
            <w:tcW w:w="1012" w:type="dxa"/>
            <w:vMerge w:val="continue"/>
            <w:tcBorders>
              <w:top w:val="nil"/>
              <w:left w:val="single" w:color="auto" w:sz="4" w:space="0"/>
              <w:bottom w:val="single" w:color="auto" w:sz="4" w:space="0"/>
              <w:right w:val="single" w:color="auto" w:sz="4" w:space="0"/>
            </w:tcBorders>
            <w:vAlign w:val="center"/>
          </w:tcPr>
          <w:p>
            <w:pPr>
              <w:pStyle w:val="107"/>
            </w:pPr>
          </w:p>
        </w:tc>
        <w:tc>
          <w:tcPr>
            <w:tcW w:w="1014" w:type="dxa"/>
            <w:vMerge w:val="continue"/>
            <w:tcBorders>
              <w:top w:val="nil"/>
              <w:left w:val="single" w:color="auto" w:sz="4" w:space="0"/>
              <w:bottom w:val="single" w:color="auto" w:sz="4" w:space="0"/>
              <w:right w:val="single" w:color="auto" w:sz="4" w:space="0"/>
            </w:tcBorders>
            <w:vAlign w:val="center"/>
          </w:tcPr>
          <w:p>
            <w:pPr>
              <w:pStyle w:val="107"/>
            </w:pPr>
          </w:p>
        </w:tc>
        <w:tc>
          <w:tcPr>
            <w:tcW w:w="1014" w:type="dxa"/>
            <w:vMerge w:val="continue"/>
            <w:tcBorders>
              <w:top w:val="nil"/>
              <w:left w:val="single" w:color="auto" w:sz="4" w:space="0"/>
              <w:bottom w:val="single" w:color="auto" w:sz="4" w:space="0"/>
              <w:right w:val="single" w:color="auto" w:sz="4" w:space="0"/>
            </w:tcBorders>
            <w:vAlign w:val="center"/>
          </w:tcPr>
          <w:p>
            <w:pPr>
              <w:pStyle w:val="107"/>
            </w:pPr>
          </w:p>
        </w:tc>
        <w:tc>
          <w:tcPr>
            <w:tcW w:w="1452" w:type="dxa"/>
            <w:vMerge w:val="continue"/>
            <w:tcBorders>
              <w:top w:val="nil"/>
              <w:left w:val="single" w:color="auto" w:sz="4" w:space="0"/>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9"/>
              </w:numPr>
            </w:pPr>
          </w:p>
        </w:tc>
        <w:tc>
          <w:tcPr>
            <w:tcW w:w="913" w:type="dxa"/>
            <w:tcBorders>
              <w:top w:val="nil"/>
              <w:left w:val="nil"/>
              <w:bottom w:val="single" w:color="auto" w:sz="4" w:space="0"/>
              <w:right w:val="single" w:color="auto" w:sz="4" w:space="0"/>
            </w:tcBorders>
            <w:shd w:val="clear" w:color="auto" w:fill="auto"/>
            <w:vAlign w:val="center"/>
          </w:tcPr>
          <w:p>
            <w:pPr>
              <w:pStyle w:val="107"/>
            </w:pPr>
            <w:r>
              <w:rPr>
                <w:rFonts w:hint="eastAsia"/>
              </w:rPr>
              <w:t>抛丸机</w:t>
            </w:r>
          </w:p>
        </w:tc>
        <w:tc>
          <w:tcPr>
            <w:tcW w:w="2123" w:type="dxa"/>
            <w:tcBorders>
              <w:top w:val="nil"/>
              <w:left w:val="nil"/>
              <w:bottom w:val="single" w:color="auto" w:sz="4" w:space="0"/>
              <w:right w:val="single" w:color="auto" w:sz="4" w:space="0"/>
            </w:tcBorders>
            <w:shd w:val="clear" w:color="auto" w:fill="auto"/>
            <w:vAlign w:val="center"/>
          </w:tcPr>
          <w:p>
            <w:pPr>
              <w:pStyle w:val="107"/>
            </w:pPr>
            <w:r>
              <w:rPr>
                <w:rFonts w:hint="eastAsia"/>
              </w:rPr>
              <w:t>包装车间</w:t>
            </w:r>
          </w:p>
        </w:tc>
        <w:tc>
          <w:tcPr>
            <w:tcW w:w="894" w:type="dxa"/>
            <w:tcBorders>
              <w:top w:val="nil"/>
              <w:left w:val="nil"/>
              <w:bottom w:val="single" w:color="auto" w:sz="4" w:space="0"/>
              <w:right w:val="single" w:color="auto" w:sz="4" w:space="0"/>
            </w:tcBorders>
            <w:shd w:val="clear" w:color="auto" w:fill="auto"/>
            <w:vAlign w:val="center"/>
          </w:tcPr>
          <w:p>
            <w:pPr>
              <w:pStyle w:val="107"/>
            </w:pPr>
            <w:r>
              <w:rPr>
                <w:rFonts w:hint="eastAsia"/>
              </w:rPr>
              <w:t>60～65</w:t>
            </w:r>
          </w:p>
        </w:tc>
        <w:tc>
          <w:tcPr>
            <w:tcW w:w="1012" w:type="dxa"/>
            <w:vMerge w:val="continue"/>
            <w:tcBorders>
              <w:top w:val="nil"/>
              <w:left w:val="single" w:color="auto" w:sz="4" w:space="0"/>
              <w:bottom w:val="single" w:color="auto" w:sz="4" w:space="0"/>
              <w:right w:val="single" w:color="auto" w:sz="4" w:space="0"/>
            </w:tcBorders>
            <w:vAlign w:val="center"/>
          </w:tcPr>
          <w:p>
            <w:pPr>
              <w:pStyle w:val="107"/>
            </w:pPr>
          </w:p>
        </w:tc>
        <w:tc>
          <w:tcPr>
            <w:tcW w:w="1014" w:type="dxa"/>
            <w:vMerge w:val="continue"/>
            <w:tcBorders>
              <w:top w:val="nil"/>
              <w:left w:val="single" w:color="auto" w:sz="4" w:space="0"/>
              <w:bottom w:val="single" w:color="auto" w:sz="4" w:space="0"/>
              <w:right w:val="single" w:color="auto" w:sz="4" w:space="0"/>
            </w:tcBorders>
            <w:vAlign w:val="center"/>
          </w:tcPr>
          <w:p>
            <w:pPr>
              <w:pStyle w:val="107"/>
            </w:pPr>
          </w:p>
        </w:tc>
        <w:tc>
          <w:tcPr>
            <w:tcW w:w="1014" w:type="dxa"/>
            <w:vMerge w:val="continue"/>
            <w:tcBorders>
              <w:top w:val="nil"/>
              <w:left w:val="single" w:color="auto" w:sz="4" w:space="0"/>
              <w:bottom w:val="single" w:color="auto" w:sz="4" w:space="0"/>
              <w:right w:val="single" w:color="auto" w:sz="4" w:space="0"/>
            </w:tcBorders>
            <w:vAlign w:val="center"/>
          </w:tcPr>
          <w:p>
            <w:pPr>
              <w:pStyle w:val="107"/>
            </w:pPr>
          </w:p>
        </w:tc>
        <w:tc>
          <w:tcPr>
            <w:tcW w:w="1452" w:type="dxa"/>
            <w:vMerge w:val="continue"/>
            <w:tcBorders>
              <w:top w:val="nil"/>
              <w:left w:val="single" w:color="auto" w:sz="4" w:space="0"/>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9"/>
              </w:numPr>
            </w:pPr>
          </w:p>
        </w:tc>
        <w:tc>
          <w:tcPr>
            <w:tcW w:w="913" w:type="dxa"/>
            <w:tcBorders>
              <w:top w:val="nil"/>
              <w:left w:val="nil"/>
              <w:bottom w:val="single" w:color="auto" w:sz="4" w:space="0"/>
              <w:right w:val="single" w:color="auto" w:sz="4" w:space="0"/>
            </w:tcBorders>
            <w:shd w:val="clear" w:color="auto" w:fill="auto"/>
            <w:vAlign w:val="center"/>
          </w:tcPr>
          <w:p>
            <w:pPr>
              <w:pStyle w:val="107"/>
            </w:pPr>
            <w:r>
              <w:rPr>
                <w:rFonts w:hint="eastAsia"/>
              </w:rPr>
              <w:t>空压机</w:t>
            </w:r>
          </w:p>
        </w:tc>
        <w:tc>
          <w:tcPr>
            <w:tcW w:w="2123" w:type="dxa"/>
            <w:tcBorders>
              <w:top w:val="nil"/>
              <w:left w:val="nil"/>
              <w:bottom w:val="single" w:color="auto" w:sz="4" w:space="0"/>
              <w:right w:val="single" w:color="auto" w:sz="4" w:space="0"/>
            </w:tcBorders>
            <w:shd w:val="clear" w:color="auto" w:fill="auto"/>
            <w:vAlign w:val="center"/>
          </w:tcPr>
          <w:p>
            <w:pPr>
              <w:pStyle w:val="107"/>
            </w:pPr>
            <w:r>
              <w:rPr>
                <w:rFonts w:hint="eastAsia"/>
              </w:rPr>
              <w:t>密炼车间外</w:t>
            </w:r>
            <w:r>
              <w:rPr>
                <w:rFonts w:hint="eastAsia"/>
                <w:color w:val="000000"/>
              </w:rPr>
              <w:t>东侧</w:t>
            </w:r>
          </w:p>
        </w:tc>
        <w:tc>
          <w:tcPr>
            <w:tcW w:w="894" w:type="dxa"/>
            <w:tcBorders>
              <w:top w:val="nil"/>
              <w:left w:val="nil"/>
              <w:bottom w:val="single" w:color="auto" w:sz="4" w:space="0"/>
              <w:right w:val="single" w:color="auto" w:sz="4" w:space="0"/>
            </w:tcBorders>
            <w:shd w:val="clear" w:color="auto" w:fill="auto"/>
            <w:vAlign w:val="center"/>
          </w:tcPr>
          <w:p>
            <w:pPr>
              <w:pStyle w:val="107"/>
            </w:pPr>
            <w:r>
              <w:rPr>
                <w:rFonts w:hint="eastAsia"/>
              </w:rPr>
              <w:t>70～75</w:t>
            </w:r>
          </w:p>
        </w:tc>
        <w:tc>
          <w:tcPr>
            <w:tcW w:w="1012" w:type="dxa"/>
            <w:vMerge w:val="continue"/>
            <w:tcBorders>
              <w:top w:val="nil"/>
              <w:left w:val="single" w:color="auto" w:sz="4" w:space="0"/>
              <w:bottom w:val="single" w:color="auto" w:sz="4" w:space="0"/>
              <w:right w:val="single" w:color="auto" w:sz="4" w:space="0"/>
            </w:tcBorders>
            <w:vAlign w:val="center"/>
          </w:tcPr>
          <w:p>
            <w:pPr>
              <w:pStyle w:val="107"/>
            </w:pPr>
          </w:p>
        </w:tc>
        <w:tc>
          <w:tcPr>
            <w:tcW w:w="1014" w:type="dxa"/>
            <w:vMerge w:val="continue"/>
            <w:tcBorders>
              <w:top w:val="nil"/>
              <w:left w:val="single" w:color="auto" w:sz="4" w:space="0"/>
              <w:bottom w:val="single" w:color="auto" w:sz="4" w:space="0"/>
              <w:right w:val="single" w:color="auto" w:sz="4" w:space="0"/>
            </w:tcBorders>
            <w:vAlign w:val="center"/>
          </w:tcPr>
          <w:p>
            <w:pPr>
              <w:pStyle w:val="107"/>
            </w:pPr>
          </w:p>
        </w:tc>
        <w:tc>
          <w:tcPr>
            <w:tcW w:w="1014" w:type="dxa"/>
            <w:vMerge w:val="continue"/>
            <w:tcBorders>
              <w:top w:val="nil"/>
              <w:left w:val="single" w:color="auto" w:sz="4" w:space="0"/>
              <w:bottom w:val="single" w:color="auto" w:sz="4" w:space="0"/>
              <w:right w:val="single" w:color="auto" w:sz="4" w:space="0"/>
            </w:tcBorders>
            <w:vAlign w:val="center"/>
          </w:tcPr>
          <w:p>
            <w:pPr>
              <w:pStyle w:val="107"/>
            </w:pPr>
          </w:p>
        </w:tc>
        <w:tc>
          <w:tcPr>
            <w:tcW w:w="1452" w:type="dxa"/>
            <w:vMerge w:val="continue"/>
            <w:tcBorders>
              <w:top w:val="nil"/>
              <w:left w:val="single" w:color="auto" w:sz="4" w:space="0"/>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9"/>
              </w:numPr>
            </w:pPr>
          </w:p>
        </w:tc>
        <w:tc>
          <w:tcPr>
            <w:tcW w:w="913" w:type="dxa"/>
            <w:tcBorders>
              <w:top w:val="nil"/>
              <w:left w:val="nil"/>
              <w:bottom w:val="single" w:color="auto" w:sz="4" w:space="0"/>
              <w:right w:val="single" w:color="auto" w:sz="4" w:space="0"/>
            </w:tcBorders>
            <w:shd w:val="clear" w:color="auto" w:fill="auto"/>
            <w:vAlign w:val="center"/>
          </w:tcPr>
          <w:p>
            <w:pPr>
              <w:pStyle w:val="107"/>
            </w:pPr>
            <w:r>
              <w:rPr>
                <w:rFonts w:hint="eastAsia"/>
              </w:rPr>
              <w:t>水泵</w:t>
            </w:r>
          </w:p>
        </w:tc>
        <w:tc>
          <w:tcPr>
            <w:tcW w:w="2123" w:type="dxa"/>
            <w:tcBorders>
              <w:top w:val="nil"/>
              <w:left w:val="nil"/>
              <w:bottom w:val="single" w:color="auto" w:sz="4" w:space="0"/>
              <w:right w:val="single" w:color="auto" w:sz="4" w:space="0"/>
            </w:tcBorders>
            <w:shd w:val="clear" w:color="auto" w:fill="auto"/>
            <w:vAlign w:val="center"/>
          </w:tcPr>
          <w:p>
            <w:pPr>
              <w:pStyle w:val="107"/>
            </w:pPr>
            <w:r>
              <w:rPr>
                <w:rFonts w:hint="eastAsia"/>
              </w:rPr>
              <w:t>密炼车间外</w:t>
            </w:r>
            <w:r>
              <w:rPr>
                <w:rFonts w:hint="eastAsia"/>
                <w:color w:val="000000"/>
              </w:rPr>
              <w:t>东侧</w:t>
            </w:r>
          </w:p>
        </w:tc>
        <w:tc>
          <w:tcPr>
            <w:tcW w:w="894" w:type="dxa"/>
            <w:tcBorders>
              <w:top w:val="nil"/>
              <w:left w:val="nil"/>
              <w:bottom w:val="single" w:color="auto" w:sz="4" w:space="0"/>
              <w:right w:val="single" w:color="auto" w:sz="4" w:space="0"/>
            </w:tcBorders>
            <w:shd w:val="clear" w:color="auto" w:fill="auto"/>
            <w:vAlign w:val="center"/>
          </w:tcPr>
          <w:p>
            <w:pPr>
              <w:pStyle w:val="107"/>
            </w:pPr>
            <w:r>
              <w:rPr>
                <w:rFonts w:hint="eastAsia"/>
              </w:rPr>
              <w:t>60～65</w:t>
            </w:r>
          </w:p>
        </w:tc>
        <w:tc>
          <w:tcPr>
            <w:tcW w:w="1012" w:type="dxa"/>
            <w:vMerge w:val="continue"/>
            <w:tcBorders>
              <w:top w:val="nil"/>
              <w:left w:val="single" w:color="auto" w:sz="4" w:space="0"/>
              <w:bottom w:val="single" w:color="auto" w:sz="4" w:space="0"/>
              <w:right w:val="single" w:color="auto" w:sz="4" w:space="0"/>
            </w:tcBorders>
            <w:vAlign w:val="center"/>
          </w:tcPr>
          <w:p>
            <w:pPr>
              <w:pStyle w:val="107"/>
            </w:pPr>
          </w:p>
        </w:tc>
        <w:tc>
          <w:tcPr>
            <w:tcW w:w="1014" w:type="dxa"/>
            <w:vMerge w:val="continue"/>
            <w:tcBorders>
              <w:top w:val="nil"/>
              <w:left w:val="single" w:color="auto" w:sz="4" w:space="0"/>
              <w:bottom w:val="single" w:color="auto" w:sz="4" w:space="0"/>
              <w:right w:val="single" w:color="auto" w:sz="4" w:space="0"/>
            </w:tcBorders>
            <w:vAlign w:val="center"/>
          </w:tcPr>
          <w:p>
            <w:pPr>
              <w:pStyle w:val="107"/>
            </w:pPr>
          </w:p>
        </w:tc>
        <w:tc>
          <w:tcPr>
            <w:tcW w:w="1014" w:type="dxa"/>
            <w:vMerge w:val="continue"/>
            <w:tcBorders>
              <w:top w:val="nil"/>
              <w:left w:val="single" w:color="auto" w:sz="4" w:space="0"/>
              <w:bottom w:val="single" w:color="auto" w:sz="4" w:space="0"/>
              <w:right w:val="single" w:color="auto" w:sz="4" w:space="0"/>
            </w:tcBorders>
            <w:vAlign w:val="center"/>
          </w:tcPr>
          <w:p>
            <w:pPr>
              <w:pStyle w:val="107"/>
            </w:pPr>
          </w:p>
        </w:tc>
        <w:tc>
          <w:tcPr>
            <w:tcW w:w="1452" w:type="dxa"/>
            <w:vMerge w:val="continue"/>
            <w:tcBorders>
              <w:top w:val="nil"/>
              <w:left w:val="single" w:color="auto" w:sz="4" w:space="0"/>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9"/>
              </w:numPr>
            </w:pPr>
          </w:p>
        </w:tc>
        <w:tc>
          <w:tcPr>
            <w:tcW w:w="913" w:type="dxa"/>
            <w:tcBorders>
              <w:top w:val="nil"/>
              <w:left w:val="nil"/>
              <w:bottom w:val="single" w:color="auto" w:sz="4" w:space="0"/>
              <w:right w:val="single" w:color="auto" w:sz="4" w:space="0"/>
            </w:tcBorders>
            <w:shd w:val="clear" w:color="auto" w:fill="auto"/>
            <w:vAlign w:val="center"/>
          </w:tcPr>
          <w:p>
            <w:pPr>
              <w:pStyle w:val="107"/>
            </w:pPr>
            <w:r>
              <w:rPr>
                <w:rFonts w:hint="eastAsia"/>
              </w:rPr>
              <w:t>风机</w:t>
            </w:r>
          </w:p>
        </w:tc>
        <w:tc>
          <w:tcPr>
            <w:tcW w:w="2123" w:type="dxa"/>
            <w:tcBorders>
              <w:top w:val="nil"/>
              <w:left w:val="nil"/>
              <w:bottom w:val="single" w:color="auto" w:sz="4" w:space="0"/>
              <w:right w:val="single" w:color="auto" w:sz="4" w:space="0"/>
            </w:tcBorders>
            <w:shd w:val="clear" w:color="auto" w:fill="auto"/>
            <w:vAlign w:val="center"/>
          </w:tcPr>
          <w:p>
            <w:pPr>
              <w:pStyle w:val="107"/>
            </w:pPr>
            <w:r>
              <w:rPr>
                <w:rFonts w:hint="eastAsia"/>
              </w:rPr>
              <w:t>混炼车间</w:t>
            </w:r>
          </w:p>
        </w:tc>
        <w:tc>
          <w:tcPr>
            <w:tcW w:w="894" w:type="dxa"/>
            <w:tcBorders>
              <w:top w:val="nil"/>
              <w:left w:val="nil"/>
              <w:bottom w:val="single" w:color="auto" w:sz="4" w:space="0"/>
              <w:right w:val="single" w:color="auto" w:sz="4" w:space="0"/>
            </w:tcBorders>
            <w:shd w:val="clear" w:color="auto" w:fill="auto"/>
            <w:vAlign w:val="center"/>
          </w:tcPr>
          <w:p>
            <w:pPr>
              <w:pStyle w:val="107"/>
            </w:pPr>
            <w:r>
              <w:rPr>
                <w:rFonts w:hint="eastAsia"/>
              </w:rPr>
              <w:t>65～70</w:t>
            </w:r>
          </w:p>
        </w:tc>
        <w:tc>
          <w:tcPr>
            <w:tcW w:w="1012" w:type="dxa"/>
            <w:vMerge w:val="continue"/>
            <w:tcBorders>
              <w:top w:val="nil"/>
              <w:left w:val="single" w:color="auto" w:sz="4" w:space="0"/>
              <w:bottom w:val="single" w:color="auto" w:sz="4" w:space="0"/>
              <w:right w:val="single" w:color="auto" w:sz="4" w:space="0"/>
            </w:tcBorders>
            <w:vAlign w:val="center"/>
          </w:tcPr>
          <w:p>
            <w:pPr>
              <w:pStyle w:val="107"/>
            </w:pPr>
          </w:p>
        </w:tc>
        <w:tc>
          <w:tcPr>
            <w:tcW w:w="1014" w:type="dxa"/>
            <w:vMerge w:val="continue"/>
            <w:tcBorders>
              <w:top w:val="nil"/>
              <w:left w:val="single" w:color="auto" w:sz="4" w:space="0"/>
              <w:bottom w:val="single" w:color="auto" w:sz="4" w:space="0"/>
              <w:right w:val="single" w:color="auto" w:sz="4" w:space="0"/>
            </w:tcBorders>
            <w:vAlign w:val="center"/>
          </w:tcPr>
          <w:p>
            <w:pPr>
              <w:pStyle w:val="107"/>
            </w:pPr>
          </w:p>
        </w:tc>
        <w:tc>
          <w:tcPr>
            <w:tcW w:w="1014" w:type="dxa"/>
            <w:vMerge w:val="continue"/>
            <w:tcBorders>
              <w:top w:val="nil"/>
              <w:left w:val="single" w:color="auto" w:sz="4" w:space="0"/>
              <w:bottom w:val="single" w:color="auto" w:sz="4" w:space="0"/>
              <w:right w:val="single" w:color="auto" w:sz="4" w:space="0"/>
            </w:tcBorders>
            <w:vAlign w:val="center"/>
          </w:tcPr>
          <w:p>
            <w:pPr>
              <w:pStyle w:val="107"/>
            </w:pPr>
          </w:p>
        </w:tc>
        <w:tc>
          <w:tcPr>
            <w:tcW w:w="1452" w:type="dxa"/>
            <w:vMerge w:val="continue"/>
            <w:tcBorders>
              <w:top w:val="nil"/>
              <w:left w:val="single" w:color="auto" w:sz="4" w:space="0"/>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300" w:hRule="atLeast"/>
        </w:trPr>
        <w:tc>
          <w:tcPr>
            <w:tcW w:w="638" w:type="dxa"/>
            <w:tcBorders>
              <w:top w:val="nil"/>
              <w:left w:val="single" w:color="auto" w:sz="4" w:space="0"/>
              <w:bottom w:val="single" w:color="auto" w:sz="4" w:space="0"/>
              <w:right w:val="single" w:color="auto" w:sz="4" w:space="0"/>
            </w:tcBorders>
            <w:shd w:val="clear" w:color="auto" w:fill="auto"/>
            <w:vAlign w:val="center"/>
          </w:tcPr>
          <w:p>
            <w:pPr>
              <w:pStyle w:val="107"/>
              <w:numPr>
                <w:ilvl w:val="0"/>
                <w:numId w:val="59"/>
              </w:numPr>
            </w:pPr>
          </w:p>
        </w:tc>
        <w:tc>
          <w:tcPr>
            <w:tcW w:w="913" w:type="dxa"/>
            <w:tcBorders>
              <w:top w:val="nil"/>
              <w:left w:val="nil"/>
              <w:bottom w:val="single" w:color="auto" w:sz="4" w:space="0"/>
              <w:right w:val="single" w:color="auto" w:sz="4" w:space="0"/>
            </w:tcBorders>
            <w:shd w:val="clear" w:color="auto" w:fill="auto"/>
            <w:vAlign w:val="center"/>
          </w:tcPr>
          <w:p>
            <w:pPr>
              <w:pStyle w:val="107"/>
            </w:pPr>
            <w:r>
              <w:rPr>
                <w:rFonts w:hint="eastAsia"/>
              </w:rPr>
              <w:t>风机</w:t>
            </w:r>
          </w:p>
        </w:tc>
        <w:tc>
          <w:tcPr>
            <w:tcW w:w="2123" w:type="dxa"/>
            <w:tcBorders>
              <w:top w:val="nil"/>
              <w:left w:val="nil"/>
              <w:bottom w:val="single" w:color="auto" w:sz="4" w:space="0"/>
              <w:right w:val="single" w:color="auto" w:sz="4" w:space="0"/>
            </w:tcBorders>
            <w:shd w:val="clear" w:color="auto" w:fill="auto"/>
            <w:vAlign w:val="center"/>
          </w:tcPr>
          <w:p>
            <w:pPr>
              <w:pStyle w:val="107"/>
            </w:pPr>
            <w:r>
              <w:rPr>
                <w:rFonts w:hint="eastAsia"/>
              </w:rPr>
              <w:t>密炼车间外东侧</w:t>
            </w:r>
          </w:p>
        </w:tc>
        <w:tc>
          <w:tcPr>
            <w:tcW w:w="894" w:type="dxa"/>
            <w:tcBorders>
              <w:top w:val="nil"/>
              <w:left w:val="nil"/>
              <w:bottom w:val="single" w:color="auto" w:sz="4" w:space="0"/>
              <w:right w:val="single" w:color="auto" w:sz="4" w:space="0"/>
            </w:tcBorders>
            <w:shd w:val="clear" w:color="auto" w:fill="auto"/>
            <w:vAlign w:val="center"/>
          </w:tcPr>
          <w:p>
            <w:pPr>
              <w:pStyle w:val="107"/>
            </w:pPr>
            <w:r>
              <w:rPr>
                <w:rFonts w:hint="eastAsia"/>
              </w:rPr>
              <w:t>65～70</w:t>
            </w:r>
          </w:p>
        </w:tc>
        <w:tc>
          <w:tcPr>
            <w:tcW w:w="1012" w:type="dxa"/>
            <w:vMerge w:val="continue"/>
            <w:tcBorders>
              <w:top w:val="nil"/>
              <w:left w:val="single" w:color="auto" w:sz="4" w:space="0"/>
              <w:bottom w:val="single" w:color="auto" w:sz="4" w:space="0"/>
              <w:right w:val="single" w:color="auto" w:sz="4" w:space="0"/>
            </w:tcBorders>
            <w:vAlign w:val="center"/>
          </w:tcPr>
          <w:p>
            <w:pPr>
              <w:pStyle w:val="107"/>
            </w:pPr>
          </w:p>
        </w:tc>
        <w:tc>
          <w:tcPr>
            <w:tcW w:w="1014" w:type="dxa"/>
            <w:vMerge w:val="continue"/>
            <w:tcBorders>
              <w:top w:val="nil"/>
              <w:left w:val="single" w:color="auto" w:sz="4" w:space="0"/>
              <w:bottom w:val="single" w:color="auto" w:sz="4" w:space="0"/>
              <w:right w:val="single" w:color="auto" w:sz="4" w:space="0"/>
            </w:tcBorders>
            <w:vAlign w:val="center"/>
          </w:tcPr>
          <w:p>
            <w:pPr>
              <w:pStyle w:val="107"/>
            </w:pPr>
          </w:p>
        </w:tc>
        <w:tc>
          <w:tcPr>
            <w:tcW w:w="1014" w:type="dxa"/>
            <w:vMerge w:val="continue"/>
            <w:tcBorders>
              <w:top w:val="nil"/>
              <w:left w:val="single" w:color="auto" w:sz="4" w:space="0"/>
              <w:bottom w:val="single" w:color="auto" w:sz="4" w:space="0"/>
              <w:right w:val="single" w:color="auto" w:sz="4" w:space="0"/>
            </w:tcBorders>
            <w:vAlign w:val="center"/>
          </w:tcPr>
          <w:p>
            <w:pPr>
              <w:pStyle w:val="107"/>
            </w:pPr>
          </w:p>
        </w:tc>
        <w:tc>
          <w:tcPr>
            <w:tcW w:w="1452" w:type="dxa"/>
            <w:vMerge w:val="continue"/>
            <w:tcBorders>
              <w:top w:val="nil"/>
              <w:left w:val="single" w:color="auto" w:sz="4" w:space="0"/>
              <w:bottom w:val="single" w:color="auto" w:sz="4" w:space="0"/>
              <w:right w:val="single" w:color="auto" w:sz="4" w:space="0"/>
            </w:tcBorders>
            <w:vAlign w:val="center"/>
          </w:tcPr>
          <w:p>
            <w:pPr>
              <w:pStyle w:val="107"/>
            </w:pPr>
          </w:p>
        </w:tc>
      </w:tr>
    </w:tbl>
    <w:p>
      <w:pPr>
        <w:pStyle w:val="5"/>
      </w:pPr>
      <w:r>
        <w:t>预测</w:t>
      </w:r>
      <w:r>
        <w:rPr>
          <w:rFonts w:hint="eastAsia"/>
        </w:rPr>
        <w:t>结果</w:t>
      </w:r>
      <w:bookmarkEnd w:id="538"/>
      <w:r>
        <w:rPr>
          <w:rFonts w:hint="eastAsia"/>
        </w:rPr>
        <w:t>及分析</w:t>
      </w:r>
    </w:p>
    <w:p>
      <w:pPr>
        <w:ind w:firstLine="480"/>
        <w:rPr>
          <w:rFonts w:cs="Times New Roman" w:eastAsiaTheme="minorEastAsia"/>
        </w:rPr>
      </w:pPr>
      <w:r>
        <w:rPr>
          <w:rFonts w:hint="eastAsia" w:cs="Times New Roman" w:eastAsiaTheme="minorEastAsia"/>
        </w:rPr>
        <w:t>根据调查，厂区周围2</w:t>
      </w:r>
      <w:r>
        <w:rPr>
          <w:rFonts w:cs="Times New Roman" w:eastAsiaTheme="minorEastAsia"/>
        </w:rPr>
        <w:t>00</w:t>
      </w:r>
      <w:r>
        <w:rPr>
          <w:rFonts w:hint="eastAsia" w:cs="Times New Roman" w:eastAsiaTheme="minorEastAsia"/>
        </w:rPr>
        <w:t>m范围内无声环境敏感点。且根据本项目平面布置图，厂区产生噪声的主要生产设备大部分布置在主厂房或专门设置的车间内，厂房位于厂区北部，东、北两侧距边界较近。炼胶机、硫化机等设备主要分布在北侧。预计项目正常生产时噪声影响集中在厂区东北侧。本项目厂界预测结果见</w:t>
      </w:r>
      <w:r>
        <w:rPr>
          <w:rFonts w:cs="Times New Roman" w:eastAsiaTheme="minorEastAsia"/>
        </w:rPr>
        <w:fldChar w:fldCharType="begin"/>
      </w:r>
      <w:r>
        <w:rPr>
          <w:rFonts w:cs="Times New Roman" w:eastAsiaTheme="minorEastAsia"/>
        </w:rPr>
        <w:instrText xml:space="preserve"> </w:instrText>
      </w:r>
      <w:r>
        <w:rPr>
          <w:rFonts w:hint="eastAsia" w:cs="Times New Roman" w:eastAsiaTheme="minorEastAsia"/>
        </w:rPr>
        <w:instrText xml:space="preserve">REF _Ref528224907 \h</w:instrText>
      </w:r>
      <w:r>
        <w:rPr>
          <w:rFonts w:cs="Times New Roman" w:eastAsiaTheme="minorEastAsia"/>
        </w:rPr>
        <w:instrText xml:space="preserve">  \* MERGEFORMAT </w:instrText>
      </w:r>
      <w:r>
        <w:rPr>
          <w:rFonts w:cs="Times New Roman" w:eastAsiaTheme="minorEastAsia"/>
        </w:rPr>
        <w:fldChar w:fldCharType="separate"/>
      </w:r>
      <w:r>
        <w:rPr>
          <w:rFonts w:hint="eastAsia" w:eastAsiaTheme="minorEastAsia"/>
        </w:rPr>
        <w:t xml:space="preserve">表 </w:t>
      </w:r>
      <w:r>
        <w:rPr>
          <w:rFonts w:eastAsiaTheme="minorEastAsia"/>
        </w:rPr>
        <w:t>4.5</w:t>
      </w:r>
      <w:r>
        <w:rPr>
          <w:rFonts w:eastAsiaTheme="minorEastAsia"/>
        </w:rPr>
        <w:noBreakHyphen/>
      </w:r>
      <w:r>
        <w:rPr>
          <w:rFonts w:eastAsiaTheme="minorEastAsia"/>
        </w:rPr>
        <w:t>3</w:t>
      </w:r>
      <w:r>
        <w:rPr>
          <w:rFonts w:cs="Times New Roman" w:eastAsiaTheme="minorEastAsia"/>
        </w:rPr>
        <w:fldChar w:fldCharType="end"/>
      </w:r>
      <w:r>
        <w:rPr>
          <w:rFonts w:hint="eastAsia" w:cs="Times New Roman" w:eastAsiaTheme="minorEastAsia"/>
        </w:rPr>
        <w:t>，厂界昼夜间噪声排放等值线见</w:t>
      </w:r>
      <w:r>
        <w:rPr>
          <w:rFonts w:cs="Times New Roman" w:eastAsiaTheme="minorEastAsia"/>
        </w:rPr>
        <w:fldChar w:fldCharType="begin"/>
      </w:r>
      <w:r>
        <w:rPr>
          <w:rFonts w:cs="Times New Roman" w:eastAsiaTheme="minorEastAsia"/>
        </w:rPr>
        <w:instrText xml:space="preserve"> </w:instrText>
      </w:r>
      <w:r>
        <w:rPr>
          <w:rFonts w:hint="eastAsia" w:cs="Times New Roman" w:eastAsiaTheme="minorEastAsia"/>
        </w:rPr>
        <w:instrText xml:space="preserve">REF _Ref528226453 \h</w:instrText>
      </w:r>
      <w:r>
        <w:rPr>
          <w:rFonts w:cs="Times New Roman" w:eastAsiaTheme="minorEastAsia"/>
        </w:rPr>
        <w:instrText xml:space="preserve">  \* MERGEFORMAT </w:instrText>
      </w:r>
      <w:r>
        <w:rPr>
          <w:rFonts w:cs="Times New Roman" w:eastAsiaTheme="minorEastAsia"/>
        </w:rPr>
        <w:fldChar w:fldCharType="separate"/>
      </w:r>
      <w:r>
        <w:rPr>
          <w:rFonts w:hint="eastAsia" w:eastAsiaTheme="minorEastAsia"/>
        </w:rPr>
        <w:t xml:space="preserve">图 </w:t>
      </w:r>
      <w:r>
        <w:rPr>
          <w:rFonts w:eastAsiaTheme="minorEastAsia"/>
        </w:rPr>
        <w:t>4.5</w:t>
      </w:r>
      <w:r>
        <w:rPr>
          <w:rFonts w:eastAsiaTheme="minorEastAsia"/>
        </w:rPr>
        <w:noBreakHyphen/>
      </w:r>
      <w:r>
        <w:rPr>
          <w:rFonts w:eastAsiaTheme="minorEastAsia"/>
        </w:rPr>
        <w:t>2</w:t>
      </w:r>
      <w:r>
        <w:rPr>
          <w:rFonts w:cs="Times New Roman" w:eastAsiaTheme="minorEastAsia"/>
        </w:rPr>
        <w:fldChar w:fldCharType="end"/>
      </w:r>
      <w:r>
        <w:rPr>
          <w:rFonts w:hint="eastAsia" w:cs="Times New Roman" w:eastAsiaTheme="minorEastAsia"/>
        </w:rPr>
        <w:t>。</w:t>
      </w:r>
    </w:p>
    <w:p>
      <w:pPr>
        <w:pStyle w:val="18"/>
      </w:pPr>
      <w:bookmarkStart w:id="539" w:name="_Ref528224907"/>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3</w:t>
      </w:r>
      <w:r>
        <w:fldChar w:fldCharType="end"/>
      </w:r>
      <w:bookmarkEnd w:id="539"/>
      <w:r>
        <w:rPr>
          <w:rFonts w:hint="eastAsia"/>
        </w:rPr>
        <w:t>项目厂界及敏感点噪声影响预测结果</w:t>
      </w:r>
      <w:r>
        <w:tab/>
      </w:r>
      <w:r>
        <w:rPr>
          <w:rFonts w:hint="eastAsia"/>
        </w:rPr>
        <w:t>单位：dB(A)</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8"/>
        <w:gridCol w:w="1234"/>
        <w:gridCol w:w="819"/>
        <w:gridCol w:w="819"/>
        <w:gridCol w:w="962"/>
        <w:gridCol w:w="835"/>
        <w:gridCol w:w="830"/>
        <w:gridCol w:w="998"/>
        <w:gridCol w:w="984"/>
        <w:gridCol w:w="8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012" w:type="dxa"/>
            <w:gridSpan w:val="2"/>
            <w:shd w:val="clear" w:color="auto" w:fill="auto"/>
            <w:vAlign w:val="center"/>
          </w:tcPr>
          <w:p>
            <w:pPr>
              <w:spacing w:line="240" w:lineRule="auto"/>
              <w:ind w:firstLine="0" w:firstLineChars="0"/>
              <w:jc w:val="center"/>
              <w:rPr>
                <w:b/>
                <w:bCs/>
                <w:color w:val="000000"/>
                <w:sz w:val="21"/>
                <w:szCs w:val="21"/>
              </w:rPr>
            </w:pPr>
            <w:r>
              <w:rPr>
                <w:rFonts w:hint="eastAsia"/>
                <w:b/>
                <w:bCs/>
                <w:color w:val="000000"/>
                <w:sz w:val="21"/>
                <w:szCs w:val="21"/>
              </w:rPr>
              <w:t>预测点</w:t>
            </w:r>
          </w:p>
        </w:tc>
        <w:tc>
          <w:tcPr>
            <w:tcW w:w="1638" w:type="dxa"/>
            <w:gridSpan w:val="2"/>
            <w:shd w:val="clear" w:color="auto" w:fill="auto"/>
            <w:vAlign w:val="center"/>
          </w:tcPr>
          <w:p>
            <w:pPr>
              <w:spacing w:line="240" w:lineRule="auto"/>
              <w:ind w:firstLine="0" w:firstLineChars="0"/>
              <w:jc w:val="center"/>
              <w:rPr>
                <w:rStyle w:val="63"/>
                <w:b/>
                <w:color w:val="auto"/>
                <w:sz w:val="21"/>
                <w:szCs w:val="21"/>
              </w:rPr>
            </w:pPr>
            <w:r>
              <w:rPr>
                <w:rStyle w:val="63"/>
                <w:rFonts w:hint="eastAsia"/>
                <w:b/>
                <w:color w:val="auto"/>
                <w:sz w:val="21"/>
                <w:szCs w:val="21"/>
              </w:rPr>
              <w:t>现状最大值</w:t>
            </w:r>
          </w:p>
        </w:tc>
        <w:tc>
          <w:tcPr>
            <w:tcW w:w="1797" w:type="dxa"/>
            <w:gridSpan w:val="2"/>
            <w:shd w:val="clear" w:color="auto" w:fill="auto"/>
            <w:vAlign w:val="center"/>
          </w:tcPr>
          <w:p>
            <w:pPr>
              <w:spacing w:line="240" w:lineRule="auto"/>
              <w:ind w:firstLine="0" w:firstLineChars="0"/>
              <w:jc w:val="center"/>
              <w:rPr>
                <w:b/>
                <w:bCs/>
                <w:color w:val="000000"/>
                <w:sz w:val="21"/>
                <w:szCs w:val="21"/>
              </w:rPr>
            </w:pPr>
            <w:r>
              <w:rPr>
                <w:rFonts w:hint="eastAsia"/>
                <w:b/>
                <w:bCs/>
                <w:color w:val="000000"/>
                <w:sz w:val="21"/>
                <w:szCs w:val="21"/>
              </w:rPr>
              <w:t>最大贡献值</w:t>
            </w:r>
          </w:p>
        </w:tc>
        <w:tc>
          <w:tcPr>
            <w:tcW w:w="1828" w:type="dxa"/>
            <w:gridSpan w:val="2"/>
            <w:shd w:val="clear" w:color="auto" w:fill="auto"/>
            <w:vAlign w:val="center"/>
          </w:tcPr>
          <w:p>
            <w:pPr>
              <w:spacing w:line="240" w:lineRule="auto"/>
              <w:ind w:firstLine="0" w:firstLineChars="0"/>
              <w:jc w:val="center"/>
              <w:rPr>
                <w:b/>
                <w:bCs/>
                <w:color w:val="000000"/>
                <w:sz w:val="21"/>
                <w:szCs w:val="21"/>
              </w:rPr>
            </w:pPr>
            <w:r>
              <w:rPr>
                <w:rFonts w:hint="eastAsia"/>
                <w:b/>
                <w:bCs/>
                <w:color w:val="000000"/>
                <w:sz w:val="21"/>
                <w:szCs w:val="21"/>
              </w:rPr>
              <w:t>标准值</w:t>
            </w:r>
          </w:p>
        </w:tc>
        <w:tc>
          <w:tcPr>
            <w:tcW w:w="1785" w:type="dxa"/>
            <w:gridSpan w:val="2"/>
            <w:shd w:val="clear" w:color="auto" w:fill="auto"/>
            <w:vAlign w:val="center"/>
          </w:tcPr>
          <w:p>
            <w:pPr>
              <w:spacing w:line="240" w:lineRule="auto"/>
              <w:ind w:firstLine="0" w:firstLineChars="0"/>
              <w:jc w:val="center"/>
              <w:rPr>
                <w:b/>
                <w:bCs/>
                <w:color w:val="000000"/>
                <w:sz w:val="21"/>
                <w:szCs w:val="21"/>
              </w:rPr>
            </w:pPr>
            <w:r>
              <w:rPr>
                <w:rFonts w:hint="eastAsia"/>
                <w:b/>
                <w:bCs/>
                <w:color w:val="000000"/>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778" w:type="dxa"/>
            <w:shd w:val="clear" w:color="auto" w:fill="auto"/>
            <w:vAlign w:val="center"/>
          </w:tcPr>
          <w:p>
            <w:pPr>
              <w:spacing w:line="240" w:lineRule="auto"/>
              <w:ind w:firstLine="0" w:firstLineChars="0"/>
              <w:jc w:val="center"/>
              <w:rPr>
                <w:b/>
                <w:bCs/>
                <w:color w:val="000000"/>
                <w:sz w:val="21"/>
                <w:szCs w:val="21"/>
              </w:rPr>
            </w:pPr>
            <w:r>
              <w:rPr>
                <w:rFonts w:hint="eastAsia"/>
                <w:b/>
                <w:bCs/>
                <w:color w:val="000000"/>
                <w:sz w:val="21"/>
                <w:szCs w:val="21"/>
              </w:rPr>
              <w:t>编号</w:t>
            </w:r>
          </w:p>
        </w:tc>
        <w:tc>
          <w:tcPr>
            <w:tcW w:w="1234" w:type="dxa"/>
            <w:shd w:val="clear" w:color="auto" w:fill="auto"/>
            <w:vAlign w:val="center"/>
          </w:tcPr>
          <w:p>
            <w:pPr>
              <w:spacing w:line="240" w:lineRule="auto"/>
              <w:ind w:firstLine="0" w:firstLineChars="0"/>
              <w:jc w:val="center"/>
              <w:rPr>
                <w:b/>
                <w:bCs/>
                <w:color w:val="000000"/>
                <w:sz w:val="21"/>
                <w:szCs w:val="21"/>
              </w:rPr>
            </w:pPr>
            <w:r>
              <w:rPr>
                <w:rFonts w:hint="eastAsia"/>
                <w:b/>
                <w:bCs/>
                <w:color w:val="000000"/>
                <w:sz w:val="21"/>
                <w:szCs w:val="21"/>
              </w:rPr>
              <w:t>位置</w:t>
            </w:r>
          </w:p>
        </w:tc>
        <w:tc>
          <w:tcPr>
            <w:tcW w:w="819" w:type="dxa"/>
            <w:shd w:val="clear" w:color="auto" w:fill="auto"/>
            <w:vAlign w:val="center"/>
          </w:tcPr>
          <w:p>
            <w:pPr>
              <w:spacing w:line="240" w:lineRule="auto"/>
              <w:ind w:firstLine="0" w:firstLineChars="0"/>
              <w:jc w:val="center"/>
              <w:rPr>
                <w:b/>
                <w:bCs/>
                <w:color w:val="000000"/>
                <w:sz w:val="21"/>
                <w:szCs w:val="21"/>
              </w:rPr>
            </w:pPr>
            <w:r>
              <w:rPr>
                <w:rFonts w:hint="eastAsia"/>
                <w:b/>
                <w:bCs/>
                <w:color w:val="000000"/>
                <w:sz w:val="21"/>
                <w:szCs w:val="21"/>
              </w:rPr>
              <w:t>昼间</w:t>
            </w:r>
          </w:p>
        </w:tc>
        <w:tc>
          <w:tcPr>
            <w:tcW w:w="819" w:type="dxa"/>
            <w:shd w:val="clear" w:color="auto" w:fill="auto"/>
            <w:vAlign w:val="center"/>
          </w:tcPr>
          <w:p>
            <w:pPr>
              <w:spacing w:line="240" w:lineRule="auto"/>
              <w:ind w:firstLine="0" w:firstLineChars="0"/>
              <w:jc w:val="center"/>
              <w:rPr>
                <w:b/>
                <w:bCs/>
                <w:color w:val="000000"/>
                <w:sz w:val="21"/>
                <w:szCs w:val="21"/>
              </w:rPr>
            </w:pPr>
            <w:r>
              <w:rPr>
                <w:rFonts w:hint="eastAsia"/>
                <w:b/>
                <w:bCs/>
                <w:color w:val="000000"/>
                <w:sz w:val="21"/>
                <w:szCs w:val="21"/>
              </w:rPr>
              <w:t>夜间</w:t>
            </w:r>
          </w:p>
        </w:tc>
        <w:tc>
          <w:tcPr>
            <w:tcW w:w="962" w:type="dxa"/>
            <w:shd w:val="clear" w:color="auto" w:fill="auto"/>
            <w:vAlign w:val="center"/>
          </w:tcPr>
          <w:p>
            <w:pPr>
              <w:spacing w:line="240" w:lineRule="auto"/>
              <w:ind w:firstLine="0" w:firstLineChars="0"/>
              <w:jc w:val="center"/>
              <w:rPr>
                <w:b/>
                <w:bCs/>
                <w:color w:val="000000"/>
                <w:sz w:val="21"/>
                <w:szCs w:val="21"/>
              </w:rPr>
            </w:pPr>
            <w:r>
              <w:rPr>
                <w:rFonts w:hint="eastAsia"/>
                <w:b/>
                <w:bCs/>
                <w:color w:val="000000"/>
                <w:sz w:val="21"/>
                <w:szCs w:val="21"/>
              </w:rPr>
              <w:t>昼间</w:t>
            </w:r>
          </w:p>
        </w:tc>
        <w:tc>
          <w:tcPr>
            <w:tcW w:w="835" w:type="dxa"/>
            <w:shd w:val="clear" w:color="auto" w:fill="auto"/>
            <w:vAlign w:val="center"/>
          </w:tcPr>
          <w:p>
            <w:pPr>
              <w:spacing w:line="240" w:lineRule="auto"/>
              <w:ind w:firstLine="0" w:firstLineChars="0"/>
              <w:jc w:val="center"/>
              <w:rPr>
                <w:b/>
                <w:bCs/>
                <w:color w:val="000000"/>
                <w:sz w:val="21"/>
                <w:szCs w:val="21"/>
              </w:rPr>
            </w:pPr>
            <w:r>
              <w:rPr>
                <w:rFonts w:hint="eastAsia"/>
                <w:b/>
                <w:bCs/>
                <w:color w:val="000000"/>
                <w:sz w:val="21"/>
                <w:szCs w:val="21"/>
              </w:rPr>
              <w:t>夜间</w:t>
            </w:r>
          </w:p>
        </w:tc>
        <w:tc>
          <w:tcPr>
            <w:tcW w:w="830" w:type="dxa"/>
            <w:shd w:val="clear" w:color="auto" w:fill="auto"/>
            <w:vAlign w:val="center"/>
          </w:tcPr>
          <w:p>
            <w:pPr>
              <w:spacing w:line="240" w:lineRule="auto"/>
              <w:ind w:firstLine="0" w:firstLineChars="0"/>
              <w:jc w:val="center"/>
              <w:rPr>
                <w:b/>
                <w:bCs/>
                <w:color w:val="000000"/>
                <w:sz w:val="21"/>
                <w:szCs w:val="21"/>
              </w:rPr>
            </w:pPr>
            <w:r>
              <w:rPr>
                <w:rFonts w:hint="eastAsia"/>
                <w:b/>
                <w:bCs/>
                <w:color w:val="000000"/>
                <w:sz w:val="21"/>
                <w:szCs w:val="21"/>
              </w:rPr>
              <w:t>昼间</w:t>
            </w:r>
          </w:p>
        </w:tc>
        <w:tc>
          <w:tcPr>
            <w:tcW w:w="998" w:type="dxa"/>
            <w:shd w:val="clear" w:color="auto" w:fill="auto"/>
            <w:vAlign w:val="center"/>
          </w:tcPr>
          <w:p>
            <w:pPr>
              <w:spacing w:line="240" w:lineRule="auto"/>
              <w:ind w:firstLine="0" w:firstLineChars="0"/>
              <w:jc w:val="center"/>
              <w:rPr>
                <w:b/>
                <w:bCs/>
                <w:color w:val="000000"/>
                <w:sz w:val="21"/>
                <w:szCs w:val="21"/>
              </w:rPr>
            </w:pPr>
            <w:r>
              <w:rPr>
                <w:rFonts w:hint="eastAsia"/>
                <w:b/>
                <w:bCs/>
                <w:color w:val="000000"/>
                <w:sz w:val="21"/>
                <w:szCs w:val="21"/>
              </w:rPr>
              <w:t>夜间</w:t>
            </w:r>
          </w:p>
        </w:tc>
        <w:tc>
          <w:tcPr>
            <w:tcW w:w="984" w:type="dxa"/>
            <w:shd w:val="clear" w:color="auto" w:fill="auto"/>
            <w:vAlign w:val="center"/>
          </w:tcPr>
          <w:p>
            <w:pPr>
              <w:spacing w:line="240" w:lineRule="auto"/>
              <w:ind w:firstLine="0" w:firstLineChars="0"/>
              <w:jc w:val="center"/>
              <w:rPr>
                <w:b/>
                <w:bCs/>
                <w:color w:val="000000"/>
                <w:sz w:val="21"/>
                <w:szCs w:val="21"/>
              </w:rPr>
            </w:pPr>
            <w:r>
              <w:rPr>
                <w:rFonts w:hint="eastAsia"/>
                <w:b/>
                <w:bCs/>
                <w:color w:val="000000"/>
                <w:sz w:val="21"/>
                <w:szCs w:val="21"/>
              </w:rPr>
              <w:t>昼间</w:t>
            </w:r>
          </w:p>
        </w:tc>
        <w:tc>
          <w:tcPr>
            <w:tcW w:w="801" w:type="dxa"/>
            <w:shd w:val="clear" w:color="auto" w:fill="auto"/>
            <w:vAlign w:val="center"/>
          </w:tcPr>
          <w:p>
            <w:pPr>
              <w:spacing w:line="240" w:lineRule="auto"/>
              <w:ind w:firstLine="0" w:firstLineChars="0"/>
              <w:jc w:val="center"/>
              <w:rPr>
                <w:b/>
                <w:bCs/>
                <w:color w:val="000000"/>
                <w:sz w:val="21"/>
                <w:szCs w:val="21"/>
              </w:rPr>
            </w:pPr>
            <w:r>
              <w:rPr>
                <w:rFonts w:hint="eastAsia"/>
                <w:b/>
                <w:bCs/>
                <w:color w:val="000000"/>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778"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N1</w:t>
            </w:r>
          </w:p>
        </w:tc>
        <w:tc>
          <w:tcPr>
            <w:tcW w:w="1234" w:type="dxa"/>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东边界</w:t>
            </w:r>
          </w:p>
        </w:tc>
        <w:tc>
          <w:tcPr>
            <w:tcW w:w="819"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58.6</w:t>
            </w:r>
          </w:p>
        </w:tc>
        <w:tc>
          <w:tcPr>
            <w:tcW w:w="819"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47.1</w:t>
            </w:r>
          </w:p>
        </w:tc>
        <w:tc>
          <w:tcPr>
            <w:tcW w:w="962" w:type="dxa"/>
            <w:tcBorders>
              <w:top w:val="nil"/>
              <w:left w:val="nil"/>
              <w:bottom w:val="single" w:color="auto" w:sz="8" w:space="0"/>
              <w:right w:val="single" w:color="auto" w:sz="8" w:space="0"/>
            </w:tcBorders>
            <w:shd w:val="clear" w:color="auto" w:fill="auto"/>
            <w:vAlign w:val="center"/>
          </w:tcPr>
          <w:p>
            <w:pPr>
              <w:pStyle w:val="107"/>
            </w:pPr>
            <w:r>
              <w:t>30.65</w:t>
            </w:r>
          </w:p>
        </w:tc>
        <w:tc>
          <w:tcPr>
            <w:tcW w:w="835" w:type="dxa"/>
            <w:tcBorders>
              <w:top w:val="nil"/>
              <w:left w:val="nil"/>
              <w:bottom w:val="single" w:color="auto" w:sz="8" w:space="0"/>
              <w:right w:val="single" w:color="auto" w:sz="8" w:space="0"/>
            </w:tcBorders>
            <w:shd w:val="clear" w:color="auto" w:fill="auto"/>
            <w:vAlign w:val="center"/>
          </w:tcPr>
          <w:p>
            <w:pPr>
              <w:pStyle w:val="107"/>
            </w:pPr>
            <w:r>
              <w:t>0</w:t>
            </w:r>
          </w:p>
        </w:tc>
        <w:tc>
          <w:tcPr>
            <w:tcW w:w="830"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60</w:t>
            </w:r>
          </w:p>
        </w:tc>
        <w:tc>
          <w:tcPr>
            <w:tcW w:w="998"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50</w:t>
            </w:r>
          </w:p>
        </w:tc>
        <w:tc>
          <w:tcPr>
            <w:tcW w:w="984" w:type="dxa"/>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达标</w:t>
            </w:r>
          </w:p>
        </w:tc>
        <w:tc>
          <w:tcPr>
            <w:tcW w:w="801" w:type="dxa"/>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778"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N2</w:t>
            </w:r>
          </w:p>
        </w:tc>
        <w:tc>
          <w:tcPr>
            <w:tcW w:w="1234" w:type="dxa"/>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南边界</w:t>
            </w:r>
          </w:p>
        </w:tc>
        <w:tc>
          <w:tcPr>
            <w:tcW w:w="819"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58.5</w:t>
            </w:r>
          </w:p>
        </w:tc>
        <w:tc>
          <w:tcPr>
            <w:tcW w:w="819"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48.8</w:t>
            </w:r>
          </w:p>
        </w:tc>
        <w:tc>
          <w:tcPr>
            <w:tcW w:w="962" w:type="dxa"/>
            <w:tcBorders>
              <w:top w:val="nil"/>
              <w:left w:val="nil"/>
              <w:bottom w:val="single" w:color="auto" w:sz="8" w:space="0"/>
              <w:right w:val="single" w:color="auto" w:sz="8" w:space="0"/>
            </w:tcBorders>
            <w:shd w:val="clear" w:color="auto" w:fill="auto"/>
            <w:vAlign w:val="center"/>
          </w:tcPr>
          <w:p>
            <w:pPr>
              <w:pStyle w:val="107"/>
            </w:pPr>
            <w:r>
              <w:t>27.28</w:t>
            </w:r>
          </w:p>
        </w:tc>
        <w:tc>
          <w:tcPr>
            <w:tcW w:w="835" w:type="dxa"/>
            <w:tcBorders>
              <w:top w:val="nil"/>
              <w:left w:val="nil"/>
              <w:bottom w:val="single" w:color="auto" w:sz="8" w:space="0"/>
              <w:right w:val="single" w:color="auto" w:sz="8" w:space="0"/>
            </w:tcBorders>
            <w:shd w:val="clear" w:color="auto" w:fill="auto"/>
            <w:vAlign w:val="center"/>
          </w:tcPr>
          <w:p>
            <w:pPr>
              <w:pStyle w:val="107"/>
            </w:pPr>
            <w:r>
              <w:t>0</w:t>
            </w:r>
          </w:p>
        </w:tc>
        <w:tc>
          <w:tcPr>
            <w:tcW w:w="830"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60</w:t>
            </w:r>
          </w:p>
        </w:tc>
        <w:tc>
          <w:tcPr>
            <w:tcW w:w="998"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50</w:t>
            </w:r>
          </w:p>
        </w:tc>
        <w:tc>
          <w:tcPr>
            <w:tcW w:w="984" w:type="dxa"/>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达标</w:t>
            </w:r>
          </w:p>
        </w:tc>
        <w:tc>
          <w:tcPr>
            <w:tcW w:w="801" w:type="dxa"/>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778"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N3</w:t>
            </w:r>
          </w:p>
        </w:tc>
        <w:tc>
          <w:tcPr>
            <w:tcW w:w="1234" w:type="dxa"/>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西边界</w:t>
            </w:r>
          </w:p>
        </w:tc>
        <w:tc>
          <w:tcPr>
            <w:tcW w:w="819"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58.3</w:t>
            </w:r>
          </w:p>
        </w:tc>
        <w:tc>
          <w:tcPr>
            <w:tcW w:w="819"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47.6</w:t>
            </w:r>
          </w:p>
        </w:tc>
        <w:tc>
          <w:tcPr>
            <w:tcW w:w="962" w:type="dxa"/>
            <w:tcBorders>
              <w:top w:val="nil"/>
              <w:left w:val="nil"/>
              <w:bottom w:val="single" w:color="auto" w:sz="8" w:space="0"/>
              <w:right w:val="single" w:color="auto" w:sz="8" w:space="0"/>
            </w:tcBorders>
            <w:shd w:val="clear" w:color="auto" w:fill="auto"/>
            <w:vAlign w:val="center"/>
          </w:tcPr>
          <w:p>
            <w:pPr>
              <w:pStyle w:val="107"/>
            </w:pPr>
            <w:r>
              <w:t>31.25</w:t>
            </w:r>
          </w:p>
        </w:tc>
        <w:tc>
          <w:tcPr>
            <w:tcW w:w="835" w:type="dxa"/>
            <w:tcBorders>
              <w:top w:val="nil"/>
              <w:left w:val="nil"/>
              <w:bottom w:val="single" w:color="auto" w:sz="8" w:space="0"/>
              <w:right w:val="single" w:color="auto" w:sz="8" w:space="0"/>
            </w:tcBorders>
            <w:shd w:val="clear" w:color="auto" w:fill="auto"/>
            <w:vAlign w:val="center"/>
          </w:tcPr>
          <w:p>
            <w:pPr>
              <w:pStyle w:val="107"/>
            </w:pPr>
            <w:r>
              <w:t>0</w:t>
            </w:r>
          </w:p>
        </w:tc>
        <w:tc>
          <w:tcPr>
            <w:tcW w:w="830"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60</w:t>
            </w:r>
          </w:p>
        </w:tc>
        <w:tc>
          <w:tcPr>
            <w:tcW w:w="998"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50</w:t>
            </w:r>
          </w:p>
        </w:tc>
        <w:tc>
          <w:tcPr>
            <w:tcW w:w="984" w:type="dxa"/>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达标</w:t>
            </w:r>
          </w:p>
        </w:tc>
        <w:tc>
          <w:tcPr>
            <w:tcW w:w="801" w:type="dxa"/>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778"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N4</w:t>
            </w:r>
          </w:p>
        </w:tc>
        <w:tc>
          <w:tcPr>
            <w:tcW w:w="1234" w:type="dxa"/>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北边界</w:t>
            </w:r>
          </w:p>
        </w:tc>
        <w:tc>
          <w:tcPr>
            <w:tcW w:w="819"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57.4</w:t>
            </w:r>
          </w:p>
        </w:tc>
        <w:tc>
          <w:tcPr>
            <w:tcW w:w="819"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48.6</w:t>
            </w:r>
          </w:p>
        </w:tc>
        <w:tc>
          <w:tcPr>
            <w:tcW w:w="962" w:type="dxa"/>
            <w:tcBorders>
              <w:top w:val="nil"/>
              <w:left w:val="nil"/>
              <w:bottom w:val="single" w:color="auto" w:sz="8" w:space="0"/>
              <w:right w:val="single" w:color="auto" w:sz="8" w:space="0"/>
            </w:tcBorders>
            <w:shd w:val="clear" w:color="auto" w:fill="auto"/>
            <w:vAlign w:val="center"/>
          </w:tcPr>
          <w:p>
            <w:pPr>
              <w:pStyle w:val="107"/>
            </w:pPr>
            <w:r>
              <w:t>30.13</w:t>
            </w:r>
          </w:p>
        </w:tc>
        <w:tc>
          <w:tcPr>
            <w:tcW w:w="835" w:type="dxa"/>
            <w:tcBorders>
              <w:top w:val="nil"/>
              <w:left w:val="nil"/>
              <w:bottom w:val="single" w:color="auto" w:sz="8" w:space="0"/>
              <w:right w:val="single" w:color="auto" w:sz="4" w:space="0"/>
            </w:tcBorders>
            <w:shd w:val="clear" w:color="auto" w:fill="auto"/>
            <w:vAlign w:val="center"/>
          </w:tcPr>
          <w:p>
            <w:pPr>
              <w:pStyle w:val="107"/>
            </w:pPr>
            <w:r>
              <w:t>0</w:t>
            </w:r>
          </w:p>
        </w:tc>
        <w:tc>
          <w:tcPr>
            <w:tcW w:w="830" w:type="dxa"/>
            <w:tcBorders>
              <w:left w:val="single" w:color="auto" w:sz="4" w:space="0"/>
            </w:tcBorders>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60</w:t>
            </w:r>
          </w:p>
        </w:tc>
        <w:tc>
          <w:tcPr>
            <w:tcW w:w="998" w:type="dxa"/>
            <w:shd w:val="clear" w:color="auto" w:fill="auto"/>
            <w:vAlign w:val="center"/>
          </w:tcPr>
          <w:p>
            <w:pPr>
              <w:spacing w:line="240" w:lineRule="auto"/>
              <w:ind w:firstLine="0" w:firstLineChars="0"/>
              <w:jc w:val="center"/>
              <w:rPr>
                <w:rFonts w:eastAsia="等线" w:cs="Arial"/>
                <w:color w:val="000000"/>
                <w:sz w:val="21"/>
                <w:szCs w:val="21"/>
              </w:rPr>
            </w:pPr>
            <w:r>
              <w:rPr>
                <w:rFonts w:eastAsia="等线" w:cs="Arial"/>
                <w:color w:val="000000"/>
                <w:sz w:val="21"/>
                <w:szCs w:val="21"/>
              </w:rPr>
              <w:t>50</w:t>
            </w:r>
          </w:p>
        </w:tc>
        <w:tc>
          <w:tcPr>
            <w:tcW w:w="984" w:type="dxa"/>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达标</w:t>
            </w:r>
          </w:p>
        </w:tc>
        <w:tc>
          <w:tcPr>
            <w:tcW w:w="801" w:type="dxa"/>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012" w:type="dxa"/>
            <w:gridSpan w:val="2"/>
            <w:shd w:val="clear" w:color="auto" w:fill="auto"/>
            <w:vAlign w:val="center"/>
          </w:tcPr>
          <w:p>
            <w:pPr>
              <w:spacing w:line="240" w:lineRule="auto"/>
              <w:ind w:firstLine="0" w:firstLineChars="0"/>
              <w:jc w:val="center"/>
              <w:rPr>
                <w:color w:val="000000"/>
                <w:sz w:val="21"/>
                <w:szCs w:val="21"/>
              </w:rPr>
            </w:pPr>
            <w:r>
              <w:rPr>
                <w:rFonts w:hint="eastAsia"/>
                <w:color w:val="000000"/>
                <w:sz w:val="21"/>
                <w:szCs w:val="21"/>
              </w:rPr>
              <w:t>评价标准</w:t>
            </w:r>
          </w:p>
        </w:tc>
        <w:tc>
          <w:tcPr>
            <w:tcW w:w="7048" w:type="dxa"/>
            <w:gridSpan w:val="8"/>
            <w:shd w:val="clear" w:color="auto" w:fill="auto"/>
            <w:vAlign w:val="center"/>
          </w:tcPr>
          <w:p>
            <w:pPr>
              <w:spacing w:line="240" w:lineRule="auto"/>
              <w:ind w:firstLine="0" w:firstLineChars="0"/>
              <w:jc w:val="both"/>
              <w:rPr>
                <w:color w:val="000000"/>
                <w:sz w:val="21"/>
                <w:szCs w:val="21"/>
              </w:rPr>
            </w:pPr>
            <w:r>
              <w:rPr>
                <w:rFonts w:hint="eastAsia"/>
                <w:color w:val="000000"/>
                <w:sz w:val="21"/>
                <w:szCs w:val="21"/>
              </w:rPr>
              <w:t>项目厂界噪声贡献值执行《工业企业厂界环境噪声排放标准》（GB12348-2008）2类标准要求：昼间60dB（A），夜间50dB（A）。</w:t>
            </w:r>
          </w:p>
        </w:tc>
      </w:tr>
    </w:tbl>
    <w:p>
      <w:pPr>
        <w:pStyle w:val="107"/>
        <w:jc w:val="left"/>
      </w:pPr>
      <w:r>
        <w:rPr>
          <w:rFonts w:hint="eastAsia"/>
        </w:rPr>
        <w:t>注：</w:t>
      </w:r>
      <w:r>
        <w:rPr>
          <w:rStyle w:val="63"/>
          <w:rFonts w:hint="eastAsia"/>
          <w:color w:val="auto"/>
        </w:rPr>
        <w:t>现状值按两日监测最大值计，监测时项目工况为正常运行</w:t>
      </w:r>
      <w:r>
        <w:rPr>
          <w:rFonts w:hint="eastAsia"/>
          <w:color w:val="auto"/>
        </w:rPr>
        <w:t>。项目为一班制，每班8小时，夜间不生产。</w:t>
      </w:r>
    </w:p>
    <w:p>
      <w:pPr>
        <w:ind w:firstLine="480"/>
      </w:pPr>
      <w:r>
        <w:rPr>
          <w:rFonts w:hint="eastAsia"/>
        </w:rPr>
        <w:t>由上述预测可见，项目营运期各设备运行时，若考虑墙体及其它消声、降噪控制措施等对声源削减作用，则在主要声源排放噪声情况下，将对各边界没有明显的影响。</w:t>
      </w:r>
      <w:r>
        <w:rPr>
          <w:rStyle w:val="63"/>
          <w:rFonts w:hint="eastAsia"/>
          <w:color w:val="auto"/>
        </w:rPr>
        <w:t>其中，项目边界噪声昼、夜间的贡献值均优于《工业企业厂界环境噪声排放标准》（GB</w:t>
      </w:r>
      <w:r>
        <w:rPr>
          <w:rStyle w:val="63"/>
          <w:color w:val="auto"/>
        </w:rPr>
        <w:t xml:space="preserve"> </w:t>
      </w:r>
      <w:r>
        <w:rPr>
          <w:rStyle w:val="63"/>
          <w:rFonts w:hint="eastAsia"/>
          <w:color w:val="auto"/>
        </w:rPr>
        <w:t>12348-2008）中的2类功能区标准</w:t>
      </w:r>
      <w:r>
        <w:rPr>
          <w:rFonts w:hint="eastAsia"/>
        </w:rPr>
        <w:t>，建设项目所在地声环境功能符合《声环境质量标准》（GB</w:t>
      </w:r>
      <w:r>
        <w:t xml:space="preserve"> </w:t>
      </w:r>
      <w:r>
        <w:rPr>
          <w:rFonts w:hint="eastAsia"/>
        </w:rPr>
        <w:t>3096-2008）2类标准，故本项目建成后对周围声环境的影响不明显。</w:t>
      </w:r>
    </w:p>
    <w:p>
      <w:pPr>
        <w:ind w:firstLine="480"/>
      </w:pPr>
      <w:r>
        <w:rPr>
          <w:rFonts w:hint="eastAsia"/>
        </w:rPr>
        <w:t>项目周边为工业企业、道路、空地和农田。</w:t>
      </w:r>
      <w:r>
        <w:t>距离</w:t>
      </w:r>
      <w:r>
        <w:rPr>
          <w:rFonts w:hint="eastAsia"/>
        </w:rPr>
        <w:t>项目</w:t>
      </w:r>
      <w:r>
        <w:t>最近</w:t>
      </w:r>
      <w:r>
        <w:rPr>
          <w:rFonts w:hint="eastAsia"/>
        </w:rPr>
        <w:t>的居住集中区为下莲塘（厂区西南侧约</w:t>
      </w:r>
      <w:r>
        <w:t>320</w:t>
      </w:r>
      <w:r>
        <w:rPr>
          <w:rFonts w:hint="eastAsia"/>
        </w:rPr>
        <w:t>m）、上莲塘（厂区西南侧约</w:t>
      </w:r>
      <w:r>
        <w:t>920</w:t>
      </w:r>
      <w:r>
        <w:rPr>
          <w:rFonts w:hint="eastAsia"/>
        </w:rPr>
        <w:t>m）和三村（厂区东侧约</w:t>
      </w:r>
      <w:r>
        <w:t>910</w:t>
      </w:r>
      <w:r>
        <w:rPr>
          <w:rFonts w:hint="eastAsia"/>
        </w:rPr>
        <w:t>m）、上湾（厂区东侧约</w:t>
      </w:r>
      <w:r>
        <w:t>915</w:t>
      </w:r>
      <w:r>
        <w:rPr>
          <w:rFonts w:hint="eastAsia"/>
        </w:rPr>
        <w:t>m）</w:t>
      </w:r>
      <w:r>
        <w:rPr>
          <w:rFonts w:hint="eastAsia"/>
          <w:szCs w:val="21"/>
        </w:rPr>
        <w:t>，</w:t>
      </w:r>
      <w:r>
        <w:rPr>
          <w:rFonts w:hint="eastAsia"/>
        </w:rPr>
        <w:t>位于声环境影响评价范围外。本项目产生的噪声在厂界达标后经过进一步距离衰减，对其噪声贡献值较低，不会对其现状声环境造成明显不利影响。因此，本项目营运期对周围敏感点的声环境影响较小。</w:t>
      </w:r>
    </w:p>
    <w:bookmarkEnd w:id="536"/>
    <w:p>
      <w:pPr>
        <w:pStyle w:val="4"/>
      </w:pPr>
      <w:bookmarkStart w:id="540" w:name="_Toc30715"/>
      <w:bookmarkStart w:id="541" w:name="_Toc329784214"/>
      <w:bookmarkStart w:id="542" w:name="_Toc11026"/>
      <w:bookmarkStart w:id="543" w:name="_Ref3537420"/>
      <w:bookmarkStart w:id="544" w:name="_Toc307847899"/>
      <w:bookmarkStart w:id="545" w:name="_Toc3538801"/>
      <w:bookmarkStart w:id="546" w:name="_Toc331536197"/>
      <w:r>
        <w:rPr>
          <w:rFonts w:hint="eastAsia"/>
        </w:rPr>
        <w:t>营运期固体</w:t>
      </w:r>
      <w:r>
        <w:t>废物</w:t>
      </w:r>
      <w:r>
        <w:rPr>
          <w:rFonts w:hint="eastAsia"/>
        </w:rPr>
        <w:t>环境</w:t>
      </w:r>
      <w:r>
        <w:t>影响分析</w:t>
      </w:r>
      <w:bookmarkEnd w:id="540"/>
      <w:bookmarkEnd w:id="541"/>
      <w:bookmarkEnd w:id="542"/>
      <w:bookmarkEnd w:id="543"/>
      <w:bookmarkEnd w:id="544"/>
      <w:bookmarkEnd w:id="545"/>
      <w:bookmarkEnd w:id="546"/>
    </w:p>
    <w:p>
      <w:pPr>
        <w:ind w:firstLine="480"/>
      </w:pPr>
      <w:r>
        <w:rPr>
          <w:rFonts w:hint="eastAsia"/>
        </w:rPr>
        <w:t>项目产生的固体废弃物如未能落实处理去向，将会对周围环境产生污染。因此，从总体上看，应本着资源化、减量化的原则，对各类不同的废弃物根据其来源和组成的不同，分别采取不同的对策，既预防二次污染，又尽可能使处理费用经济合理。</w:t>
      </w:r>
    </w:p>
    <w:p>
      <w:pPr>
        <w:pStyle w:val="5"/>
      </w:pPr>
      <w:bookmarkStart w:id="547" w:name="_Toc331536198"/>
      <w:r>
        <w:t>固体废物产生情况</w:t>
      </w:r>
      <w:bookmarkEnd w:id="547"/>
    </w:p>
    <w:p>
      <w:pPr>
        <w:ind w:firstLine="480"/>
        <w:rPr>
          <w:rFonts w:cs="Times New Roman" w:eastAsiaTheme="minorEastAsia"/>
        </w:rPr>
      </w:pPr>
      <w:r>
        <w:rPr>
          <w:rFonts w:hint="eastAsia" w:cs="Times New Roman" w:eastAsiaTheme="minorEastAsia"/>
        </w:rPr>
        <w:t>由污染源分析可知，本项目运营期产生的固体废物主要有一般工业固废（切胶的边角料、修边的边角料、检验产生的不合格品、包装废弃物、袋式除尘器收集的除尘灰）、危险废物（活性炭吸附装置处理有机废气过程中产生的废饱和活性炭</w:t>
      </w:r>
      <w:r>
        <w:rPr>
          <w:rFonts w:hint="eastAsia" w:eastAsiaTheme="minorEastAsia"/>
        </w:rPr>
        <w:t>以及设备维修过程中产生的</w:t>
      </w:r>
      <w:r>
        <w:rPr>
          <w:rFonts w:hint="eastAsia"/>
        </w:rPr>
        <w:t>废润滑油、含油废抹布</w:t>
      </w:r>
      <w:r>
        <w:rPr>
          <w:rFonts w:hint="eastAsia" w:cs="Times New Roman" w:eastAsiaTheme="minorEastAsia"/>
        </w:rPr>
        <w:t>）、生活垃圾等。切胶边角料、布袋除尘灰收集后回用于生产；其他一般工业固废外卖专业资源回收公司回收利用；危险废物交由有资质的单位处理，生活垃圾交环卫部门定时清运，日产日清。</w:t>
      </w:r>
    </w:p>
    <w:p>
      <w:pPr>
        <w:pStyle w:val="5"/>
      </w:pPr>
      <w:bookmarkStart w:id="548" w:name="_Toc206215510"/>
      <w:bookmarkStart w:id="549" w:name="_Toc331536199"/>
      <w:r>
        <w:rPr>
          <w:rFonts w:hint="eastAsia"/>
        </w:rPr>
        <w:t>固体废物环境影响分析</w:t>
      </w:r>
      <w:bookmarkEnd w:id="548"/>
      <w:bookmarkEnd w:id="549"/>
    </w:p>
    <w:p>
      <w:pPr>
        <w:ind w:firstLine="480"/>
        <w:rPr>
          <w:rFonts w:cs="Times New Roman" w:eastAsiaTheme="minorEastAsia"/>
        </w:rPr>
      </w:pPr>
      <w:r>
        <w:rPr>
          <w:rFonts w:hint="eastAsia" w:cs="Times New Roman" w:eastAsiaTheme="minorEastAsia"/>
        </w:rPr>
        <w:t>固体废物中有害物质通过水体和大气而进入环境中，对环境的影响程度取决于释放过程中污染物的转移量及其浓度。从本项目产生的固体废物的种类及成份来看，若不妥当处置，将有可能对水体、环境空气质量造成影响。</w:t>
      </w:r>
    </w:p>
    <w:p>
      <w:pPr>
        <w:ind w:firstLine="480"/>
        <w:rPr>
          <w:rFonts w:cs="Times New Roman" w:eastAsiaTheme="minorEastAsia"/>
        </w:rPr>
      </w:pPr>
      <w:r>
        <w:rPr>
          <w:rFonts w:hint="eastAsia" w:cs="Times New Roman" w:eastAsiaTheme="minorEastAsia"/>
        </w:rPr>
        <w:t>（1）固体废物对土壤、水体环境的影响分析</w:t>
      </w:r>
    </w:p>
    <w:p>
      <w:pPr>
        <w:ind w:firstLine="480"/>
        <w:rPr>
          <w:rFonts w:cs="Times New Roman" w:eastAsiaTheme="minorEastAsia"/>
        </w:rPr>
      </w:pPr>
      <w:r>
        <w:rPr>
          <w:rFonts w:hint="eastAsia" w:cs="Times New Roman" w:eastAsiaTheme="minorEastAsia"/>
        </w:rPr>
        <w:t>固体废物一旦与水和地表径流相遇，固体废物中的有害成份就会渗漏出来，污染物中有害成份随浸出液体进入地面水体，使地面水体受到污染，随渗水进入土壤则污染地下水，可能对地面水体和地下水体造成二次污染。</w:t>
      </w:r>
    </w:p>
    <w:p>
      <w:pPr>
        <w:ind w:firstLine="480"/>
        <w:rPr>
          <w:rFonts w:cs="Times New Roman" w:eastAsiaTheme="minorEastAsia"/>
        </w:rPr>
      </w:pPr>
      <w:r>
        <w:rPr>
          <w:rFonts w:hint="eastAsia" w:cs="Times New Roman" w:eastAsiaTheme="minorEastAsia"/>
        </w:rPr>
        <w:t>（2）固体废物对环境空气质量的影响分析</w:t>
      </w:r>
    </w:p>
    <w:p>
      <w:pPr>
        <w:ind w:firstLine="480"/>
        <w:rPr>
          <w:rFonts w:cs="Times New Roman" w:eastAsiaTheme="minorEastAsia"/>
        </w:rPr>
      </w:pPr>
      <w:r>
        <w:rPr>
          <w:rFonts w:hint="eastAsia" w:cs="Times New Roman" w:eastAsiaTheme="minorEastAsia"/>
        </w:rPr>
        <w:t>本项目产生废活性炭、</w:t>
      </w:r>
      <w:r>
        <w:rPr>
          <w:rFonts w:hint="eastAsia"/>
        </w:rPr>
        <w:t>废润滑油、含油废抹布</w:t>
      </w:r>
      <w:r>
        <w:rPr>
          <w:rFonts w:hint="eastAsia" w:cs="Times New Roman" w:eastAsiaTheme="minorEastAsia"/>
        </w:rPr>
        <w:t>等，长期存放在环境空气中均因有机物质的分解或挥发而转化到空气中，这些废物均属于危险废物，会对居民区产生影响，若对固体废物不进行妥善处置，长期随意堆放露天，则会对环境空气造成一定的影响。</w:t>
      </w:r>
    </w:p>
    <w:p>
      <w:pPr>
        <w:ind w:firstLine="480"/>
        <w:rPr>
          <w:rFonts w:cs="Times New Roman" w:eastAsiaTheme="minorEastAsia"/>
        </w:rPr>
      </w:pPr>
      <w:r>
        <w:rPr>
          <w:rFonts w:hint="eastAsia" w:cs="Times New Roman" w:eastAsiaTheme="minorEastAsia"/>
        </w:rPr>
        <w:t>综上所述，本项目产生的固体废物，特别是危险废物，若处理不当，将对水体、环境空气质量造成二次污染，危害生态环境和人群健康，因此，必须按照国家和地方的有关法律法规的规定，对本项目产生的危险废物进行全过程严格管理和安全处置。</w:t>
      </w:r>
    </w:p>
    <w:p>
      <w:pPr>
        <w:pStyle w:val="5"/>
      </w:pPr>
      <w:bookmarkStart w:id="550" w:name="_Toc113867803"/>
      <w:bookmarkStart w:id="551" w:name="_Toc147119985"/>
      <w:bookmarkStart w:id="552" w:name="_Toc206215511"/>
      <w:bookmarkStart w:id="553" w:name="_Toc81579867"/>
      <w:bookmarkStart w:id="554" w:name="_Toc331536200"/>
      <w:r>
        <w:t>固体废物处理</w:t>
      </w:r>
      <w:r>
        <w:rPr>
          <w:rFonts w:hint="eastAsia"/>
        </w:rPr>
        <w:t>、处置</w:t>
      </w:r>
      <w:r>
        <w:t>措施</w:t>
      </w:r>
      <w:bookmarkEnd w:id="550"/>
      <w:bookmarkEnd w:id="551"/>
      <w:bookmarkEnd w:id="552"/>
      <w:bookmarkEnd w:id="553"/>
      <w:bookmarkEnd w:id="554"/>
    </w:p>
    <w:p>
      <w:pPr>
        <w:ind w:firstLine="480"/>
        <w:rPr>
          <w:rFonts w:cs="Times New Roman" w:eastAsiaTheme="minorEastAsia"/>
        </w:rPr>
      </w:pPr>
      <w:r>
        <w:rPr>
          <w:rFonts w:hint="eastAsia" w:cs="Times New Roman" w:eastAsiaTheme="minorEastAsia"/>
        </w:rPr>
        <w:t>固体废弃物处理、处置的原则是：首先考虑资源化，减少资源消耗和加速资源循环，之后考虑加速物质循环和减量化，对最后可能要残留的物质，进行最终无害化处理。</w:t>
      </w:r>
    </w:p>
    <w:p>
      <w:pPr>
        <w:ind w:firstLine="480"/>
        <w:rPr>
          <w:rFonts w:cs="Times New Roman" w:eastAsiaTheme="minorEastAsia"/>
        </w:rPr>
      </w:pPr>
      <w:r>
        <w:rPr>
          <w:rFonts w:hint="eastAsia" w:cs="Times New Roman" w:eastAsiaTheme="minorEastAsia"/>
        </w:rPr>
        <w:t>（1）一般固体废物</w:t>
      </w:r>
    </w:p>
    <w:p>
      <w:pPr>
        <w:ind w:firstLine="480"/>
        <w:rPr>
          <w:rFonts w:cs="Times New Roman" w:eastAsiaTheme="minorEastAsia"/>
        </w:rPr>
      </w:pPr>
      <w:r>
        <w:rPr>
          <w:rFonts w:hint="eastAsia" w:cs="Times New Roman" w:eastAsiaTheme="minorEastAsia"/>
        </w:rPr>
        <w:t>本项目的一般工业固体废弃物中大部分为可资源化废物，应考虑回收和综合利用。边角料、不合格产品、包装废弃物可收集后交由专业回收公司回收利用。</w:t>
      </w:r>
    </w:p>
    <w:p>
      <w:pPr>
        <w:ind w:firstLine="480"/>
        <w:rPr>
          <w:rFonts w:cs="Times New Roman" w:eastAsiaTheme="minorEastAsia"/>
        </w:rPr>
      </w:pPr>
      <w:r>
        <w:rPr>
          <w:rFonts w:hint="eastAsia" w:cs="Times New Roman" w:eastAsiaTheme="minorEastAsia"/>
        </w:rPr>
        <w:t>对于一般固废建设单位应严格按照《一般工业固体废物贮存、处置场污染控制标准》（GB</w:t>
      </w:r>
      <w:r>
        <w:rPr>
          <w:rFonts w:cs="Times New Roman" w:eastAsiaTheme="minorEastAsia"/>
        </w:rPr>
        <w:t xml:space="preserve"> </w:t>
      </w:r>
      <w:r>
        <w:rPr>
          <w:rFonts w:hint="eastAsia" w:cs="Times New Roman" w:eastAsiaTheme="minorEastAsia"/>
        </w:rPr>
        <w:t>18599- 2001）及其修改单的要求，建设必要的固废分类收集和临时贮存设施，具体要求如下：</w:t>
      </w:r>
    </w:p>
    <w:p>
      <w:pPr>
        <w:pStyle w:val="131"/>
        <w:numPr>
          <w:ilvl w:val="0"/>
          <w:numId w:val="60"/>
        </w:numPr>
        <w:ind w:firstLine="480" w:firstLineChars="200"/>
      </w:pPr>
      <w:r>
        <w:rPr>
          <w:rFonts w:hint="eastAsia"/>
        </w:rPr>
        <w:t>一般工业固体废物应分类收集、储存，不能混存。</w:t>
      </w:r>
    </w:p>
    <w:p>
      <w:pPr>
        <w:pStyle w:val="131"/>
        <w:numPr>
          <w:ilvl w:val="0"/>
          <w:numId w:val="60"/>
        </w:numPr>
        <w:ind w:firstLine="480" w:firstLineChars="200"/>
      </w:pPr>
      <w:r>
        <w:rPr>
          <w:rFonts w:hint="eastAsia"/>
        </w:rPr>
        <w:t>一般工业固体废物临时储存地点必须建有天棚，不允许露天堆放，以防雨水冲刷，雨水通过场地四周导流渠流向雨水排放管；临时堆放场地为水泥铺设地面，以防渗漏。</w:t>
      </w:r>
    </w:p>
    <w:p>
      <w:pPr>
        <w:pStyle w:val="131"/>
        <w:ind w:firstLine="480" w:firstLineChars="200"/>
      </w:pPr>
      <w:r>
        <w:rPr>
          <w:rFonts w:hint="eastAsia"/>
        </w:rPr>
        <w:t>储存场应加强监督管理，按《环境保护图形标志 固体废物贮存（处置）场》（GB</w:t>
      </w:r>
      <w:r>
        <w:t xml:space="preserve"> </w:t>
      </w:r>
      <w:r>
        <w:rPr>
          <w:rFonts w:hint="eastAsia"/>
        </w:rPr>
        <w:t>15562.2-</w:t>
      </w:r>
      <w:r>
        <w:t>1995</w:t>
      </w:r>
      <w:r>
        <w:rPr>
          <w:rFonts w:hint="eastAsia"/>
        </w:rPr>
        <w:t>）设置环境保护图形标志。</w:t>
      </w:r>
    </w:p>
    <w:p>
      <w:pPr>
        <w:pStyle w:val="131"/>
        <w:ind w:firstLine="480" w:firstLineChars="200"/>
      </w:pPr>
      <w:r>
        <w:rPr>
          <w:rFonts w:hint="eastAsia"/>
        </w:rPr>
        <w:t>建立档案制度，将临时储存的一般工业固体废物的种类、数量和外运的一般工业固体废物的种类、数量详细记录在案，长期保存，供随时查阅。</w:t>
      </w:r>
    </w:p>
    <w:p>
      <w:pPr>
        <w:ind w:firstLine="480"/>
        <w:rPr>
          <w:rFonts w:cs="Times New Roman" w:eastAsiaTheme="minorEastAsia"/>
        </w:rPr>
      </w:pPr>
      <w:r>
        <w:rPr>
          <w:rFonts w:hint="eastAsia" w:cs="Times New Roman" w:eastAsiaTheme="minorEastAsia"/>
        </w:rPr>
        <w:t>（2）危险废物</w:t>
      </w:r>
    </w:p>
    <w:p>
      <w:pPr>
        <w:ind w:firstLine="480"/>
        <w:rPr>
          <w:rFonts w:cs="Times New Roman" w:eastAsiaTheme="minorEastAsia"/>
        </w:rPr>
      </w:pPr>
      <w:r>
        <w:rPr>
          <w:rFonts w:hint="eastAsia" w:cs="Times New Roman" w:eastAsiaTheme="minorEastAsia"/>
        </w:rPr>
        <w:t>本项目生产过程中产生的危险废物主要为废活性炭以及废润滑油、含油废抹布。如对危险废物在收集、贮存、运输等过程中处理不当，将对环境造成一定的影响，为了防止二次污染，本环评要求建设单位加强危险废物的管理，并根据《危险废物贮存污染控制标准》（GB</w:t>
      </w:r>
      <w:r>
        <w:rPr>
          <w:rFonts w:cs="Times New Roman" w:eastAsiaTheme="minorEastAsia"/>
        </w:rPr>
        <w:t xml:space="preserve"> </w:t>
      </w:r>
      <w:r>
        <w:rPr>
          <w:rFonts w:hint="eastAsia" w:cs="Times New Roman" w:eastAsiaTheme="minorEastAsia"/>
        </w:rPr>
        <w:t>18597-2001）及其修改单、《危险废物收集、贮存、运输技术规范》（HJ</w:t>
      </w:r>
      <w:r>
        <w:rPr>
          <w:rFonts w:cs="Times New Roman" w:eastAsiaTheme="minorEastAsia"/>
        </w:rPr>
        <w:t xml:space="preserve"> </w:t>
      </w:r>
      <w:r>
        <w:rPr>
          <w:rFonts w:hint="eastAsia" w:cs="Times New Roman" w:eastAsiaTheme="minorEastAsia"/>
        </w:rPr>
        <w:t>2025-2012）等相应的规范要求进行危险废物处理处置，具体要求如下：</w:t>
      </w:r>
    </w:p>
    <w:p>
      <w:pPr>
        <w:pStyle w:val="131"/>
        <w:numPr>
          <w:ilvl w:val="0"/>
          <w:numId w:val="61"/>
        </w:numPr>
        <w:ind w:firstLine="480" w:firstLineChars="200"/>
      </w:pPr>
      <w:r>
        <w:rPr>
          <w:rFonts w:hint="eastAsia"/>
        </w:rPr>
        <w:t>危险废物收集</w:t>
      </w:r>
    </w:p>
    <w:p>
      <w:pPr>
        <w:pStyle w:val="99"/>
        <w:numPr>
          <w:ilvl w:val="0"/>
          <w:numId w:val="62"/>
        </w:numPr>
        <w:ind w:firstLineChars="0"/>
        <w:rPr>
          <w:rFonts w:cs="Times New Roman" w:eastAsiaTheme="minorEastAsia"/>
        </w:rPr>
      </w:pPr>
      <w:r>
        <w:rPr>
          <w:rFonts w:hint="eastAsia" w:cs="Times New Roman" w:eastAsiaTheme="minorEastAsia"/>
        </w:rPr>
        <w:t>危险废物的收集应根据危险废物产生的工艺特征、排放周期、危险废物特性、废物管理计划等因素进行收集。</w:t>
      </w:r>
    </w:p>
    <w:p>
      <w:pPr>
        <w:pStyle w:val="99"/>
        <w:numPr>
          <w:ilvl w:val="0"/>
          <w:numId w:val="62"/>
        </w:numPr>
        <w:ind w:firstLineChars="0"/>
        <w:rPr>
          <w:rFonts w:cs="Times New Roman" w:eastAsiaTheme="minorEastAsia"/>
        </w:rPr>
      </w:pPr>
      <w:r>
        <w:rPr>
          <w:rFonts w:hint="eastAsia" w:cs="Times New Roman" w:eastAsiaTheme="minorEastAsia"/>
        </w:rPr>
        <w:t>危险废物的收集应制定详细的操作规程，内容至少应包括适用范围、操作程序和方法、专用设备和工具、转移和交接、安全保障和应急防护等。</w:t>
      </w:r>
    </w:p>
    <w:p>
      <w:pPr>
        <w:pStyle w:val="99"/>
        <w:numPr>
          <w:ilvl w:val="0"/>
          <w:numId w:val="62"/>
        </w:numPr>
        <w:ind w:firstLineChars="0"/>
        <w:rPr>
          <w:rFonts w:cs="Times New Roman" w:eastAsiaTheme="minorEastAsia"/>
        </w:rPr>
      </w:pPr>
      <w:r>
        <w:rPr>
          <w:rFonts w:hint="eastAsia" w:cs="Times New Roman" w:eastAsiaTheme="minorEastAsia"/>
        </w:rPr>
        <w:t>危险废物收集和转运作业人员应根据工作需要配备必要的个人防护装备，如手套、防护镜、防护服、防毒面具或口罩等。</w:t>
      </w:r>
    </w:p>
    <w:p>
      <w:pPr>
        <w:pStyle w:val="99"/>
        <w:numPr>
          <w:ilvl w:val="0"/>
          <w:numId w:val="62"/>
        </w:numPr>
        <w:ind w:firstLineChars="0"/>
        <w:rPr>
          <w:rFonts w:cs="Times New Roman" w:eastAsiaTheme="minorEastAsia"/>
        </w:rPr>
      </w:pPr>
      <w:r>
        <w:rPr>
          <w:rFonts w:hint="eastAsia" w:cs="Times New Roman" w:eastAsiaTheme="minorEastAsia"/>
        </w:rPr>
        <w:t>在危险废物的收集和转运过程中，应采取相应的安全防护和污染防治措施，包括防爆、防火、防中毒、防感染、防泄漏、防飞扬、防雨或其它防止污染环境的措施。</w:t>
      </w:r>
    </w:p>
    <w:p>
      <w:pPr>
        <w:pStyle w:val="99"/>
        <w:numPr>
          <w:ilvl w:val="0"/>
          <w:numId w:val="62"/>
        </w:numPr>
        <w:ind w:firstLineChars="0"/>
        <w:rPr>
          <w:rFonts w:cs="Times New Roman" w:eastAsiaTheme="minorEastAsia"/>
        </w:rPr>
      </w:pPr>
      <w:r>
        <w:rPr>
          <w:rFonts w:hint="eastAsia" w:cs="Times New Roman" w:eastAsiaTheme="minorEastAsia"/>
        </w:rPr>
        <w:t>危险废物收集时应根据危险废物的种类、数量、危险特性、物理形态、运输要求等因素确定包装形式。</w:t>
      </w:r>
    </w:p>
    <w:p>
      <w:pPr>
        <w:pStyle w:val="131"/>
        <w:numPr>
          <w:ilvl w:val="0"/>
          <w:numId w:val="61"/>
        </w:numPr>
        <w:ind w:firstLine="480" w:firstLineChars="200"/>
        <w:rPr>
          <w:rFonts w:cs="Times New Roman"/>
        </w:rPr>
      </w:pPr>
      <w:r>
        <w:rPr>
          <w:rFonts w:hint="eastAsia" w:cs="Times New Roman"/>
        </w:rPr>
        <w:t>危险</w:t>
      </w:r>
      <w:r>
        <w:rPr>
          <w:rFonts w:hint="eastAsia"/>
        </w:rPr>
        <w:t>废物</w:t>
      </w:r>
      <w:r>
        <w:rPr>
          <w:rFonts w:hint="eastAsia" w:cs="Times New Roman"/>
        </w:rPr>
        <w:t>贮存</w:t>
      </w:r>
    </w:p>
    <w:p>
      <w:pPr>
        <w:pStyle w:val="99"/>
        <w:numPr>
          <w:ilvl w:val="0"/>
          <w:numId w:val="62"/>
        </w:numPr>
        <w:ind w:firstLineChars="0"/>
        <w:rPr>
          <w:rFonts w:cs="Times New Roman" w:eastAsiaTheme="minorEastAsia"/>
        </w:rPr>
      </w:pPr>
      <w:r>
        <w:rPr>
          <w:rFonts w:hint="eastAsia" w:cs="Times New Roman" w:eastAsiaTheme="minorEastAsia"/>
        </w:rPr>
        <w:t>危险废物贮存设施应配备通讯设备、照明设施和消防设施。</w:t>
      </w:r>
    </w:p>
    <w:p>
      <w:pPr>
        <w:pStyle w:val="99"/>
        <w:numPr>
          <w:ilvl w:val="0"/>
          <w:numId w:val="62"/>
        </w:numPr>
        <w:ind w:firstLineChars="0"/>
        <w:rPr>
          <w:rFonts w:cs="Times New Roman" w:eastAsiaTheme="minorEastAsia"/>
        </w:rPr>
      </w:pPr>
      <w:r>
        <w:rPr>
          <w:rFonts w:hint="eastAsia" w:cs="Times New Roman" w:eastAsiaTheme="minorEastAsia"/>
        </w:rPr>
        <w:t>贮存危险废物时应按危险废物的种类和特性进行分区贮存，每个贮存区域之间宜设置挡墙间隔，并应设置防雨、防火、防雷、防扬尘装置。</w:t>
      </w:r>
    </w:p>
    <w:p>
      <w:pPr>
        <w:pStyle w:val="99"/>
        <w:numPr>
          <w:ilvl w:val="0"/>
          <w:numId w:val="62"/>
        </w:numPr>
        <w:ind w:firstLineChars="0"/>
        <w:rPr>
          <w:rFonts w:cs="Times New Roman" w:eastAsiaTheme="minorEastAsia"/>
        </w:rPr>
      </w:pPr>
      <w:r>
        <w:rPr>
          <w:rFonts w:hint="eastAsia" w:cs="Times New Roman" w:eastAsiaTheme="minorEastAsia"/>
        </w:rPr>
        <w:t>危险废物贮存单位应建立危险废物贮存的台帐制度，危险废物出入库交接记录内容应附合规范要求。</w:t>
      </w:r>
    </w:p>
    <w:p>
      <w:pPr>
        <w:pStyle w:val="99"/>
        <w:numPr>
          <w:ilvl w:val="0"/>
          <w:numId w:val="62"/>
        </w:numPr>
        <w:ind w:firstLineChars="0"/>
        <w:rPr>
          <w:rFonts w:cs="Times New Roman" w:eastAsiaTheme="minorEastAsia"/>
        </w:rPr>
      </w:pPr>
      <w:r>
        <w:rPr>
          <w:rFonts w:hint="eastAsia" w:cs="Times New Roman" w:eastAsiaTheme="minorEastAsia"/>
        </w:rPr>
        <w:t>危险废物贮存设施的关闭应按照《危险废物贮存污染控制标准》（GB</w:t>
      </w:r>
      <w:r>
        <w:rPr>
          <w:rFonts w:cs="Times New Roman" w:eastAsiaTheme="minorEastAsia"/>
        </w:rPr>
        <w:t xml:space="preserve"> </w:t>
      </w:r>
      <w:r>
        <w:rPr>
          <w:rFonts w:hint="eastAsia" w:cs="Times New Roman" w:eastAsiaTheme="minorEastAsia"/>
        </w:rPr>
        <w:t>18597-2001）及其修改单和《危险废物经营许可证管理办法》的有关规定执行。</w:t>
      </w:r>
    </w:p>
    <w:p>
      <w:pPr>
        <w:pStyle w:val="131"/>
        <w:numPr>
          <w:ilvl w:val="0"/>
          <w:numId w:val="61"/>
        </w:numPr>
        <w:ind w:firstLine="480" w:firstLineChars="200"/>
        <w:rPr>
          <w:rFonts w:cs="Times New Roman"/>
        </w:rPr>
      </w:pPr>
      <w:r>
        <w:rPr>
          <w:rFonts w:hint="eastAsia" w:cs="Times New Roman"/>
        </w:rPr>
        <w:t>危险废物的转移及运输</w:t>
      </w:r>
    </w:p>
    <w:p>
      <w:pPr>
        <w:ind w:firstLine="480"/>
        <w:rPr>
          <w:rFonts w:cs="Times New Roman" w:eastAsiaTheme="minorEastAsia"/>
        </w:rPr>
      </w:pPr>
      <w:r>
        <w:rPr>
          <w:rFonts w:hint="eastAsia" w:cs="Times New Roman" w:eastAsiaTheme="minorEastAsia"/>
        </w:rPr>
        <w:t>本项目危险废物要求委托具有危险废物许可证处置单位进行处理。</w:t>
      </w:r>
    </w:p>
    <w:p>
      <w:pPr>
        <w:ind w:firstLine="480"/>
        <w:rPr>
          <w:rFonts w:cs="Times New Roman" w:eastAsiaTheme="minorEastAsia"/>
        </w:rPr>
      </w:pPr>
      <w:r>
        <w:rPr>
          <w:rFonts w:hint="eastAsia" w:cs="Times New Roman" w:eastAsiaTheme="minorEastAsia"/>
        </w:rPr>
        <w:t>危险废物转移过程应按《危险废物转移联单管理办法》执行。</w:t>
      </w:r>
    </w:p>
    <w:p>
      <w:pPr>
        <w:ind w:firstLine="480"/>
        <w:rPr>
          <w:rFonts w:cs="Times New Roman" w:eastAsiaTheme="minorEastAsia"/>
        </w:rPr>
      </w:pPr>
      <w:r>
        <w:rPr>
          <w:rFonts w:hint="eastAsia" w:cs="Times New Roman" w:eastAsiaTheme="minorEastAsia"/>
        </w:rPr>
        <w:t>综上所述，本项目危险固体废物委托有相关处理资质的单位外运处置，厂内的危险废物暂存场拟设置在原料仓库内，可以防止雨水对危险废物的淋洗，或大风对其卷扬；危险废物暂存点室内地面必须采用防渗措施，水泥硬化前应铺设一定厚度的防渗膜。</w:t>
      </w:r>
    </w:p>
    <w:p>
      <w:pPr>
        <w:ind w:firstLine="480"/>
        <w:rPr>
          <w:rFonts w:cs="Times New Roman" w:eastAsiaTheme="minorEastAsia"/>
        </w:rPr>
      </w:pPr>
      <w:r>
        <w:rPr>
          <w:rFonts w:hint="eastAsia" w:cs="Times New Roman" w:eastAsiaTheme="minorEastAsia"/>
        </w:rPr>
        <w:t>本项目的危险废物在常温常压下呈稳定状态，废润滑油密封保存，废活性炭、含油废抹布用防漏胶袋或其他容器盛装。项目所在区域地质结构稳定。项目产生的危险废物量较少，危险废物暂存点基本能够满足项目的储存要求。</w:t>
      </w:r>
    </w:p>
    <w:p>
      <w:pPr>
        <w:ind w:firstLine="480"/>
        <w:rPr>
          <w:rFonts w:cs="Times New Roman" w:eastAsiaTheme="minorEastAsia"/>
        </w:rPr>
      </w:pPr>
      <w:r>
        <w:rPr>
          <w:rFonts w:hint="eastAsia" w:cs="Times New Roman" w:eastAsiaTheme="minorEastAsia"/>
        </w:rPr>
        <w:t>（3）生活垃圾</w:t>
      </w:r>
    </w:p>
    <w:p>
      <w:pPr>
        <w:ind w:firstLine="480"/>
        <w:rPr>
          <w:rFonts w:cs="Times New Roman" w:eastAsiaTheme="minorEastAsia"/>
        </w:rPr>
      </w:pPr>
      <w:r>
        <w:rPr>
          <w:rFonts w:hint="eastAsia" w:cs="Times New Roman" w:eastAsiaTheme="minorEastAsia"/>
        </w:rPr>
        <w:t>生活垃圾中的成分比较复杂，包括食物垃圾、废纸、木块、布、金属、杂品、玻璃、粪便等，其中部分是可以回收利用的。生活垃圾除一部分会有异味或恶臭外，还有很大部分会在微生物和细菌的作用下发生腐烂，也成为蚊蝇滋生、病菌繁殖、老鼠肆虐的场所，是引发流行性疾病的重要发生源，因此本项目产生的生活垃圾应收集到规定的垃圾桶，不能随意丢弃至厂区周边。生活垃圾委托环卫部门每天统一清运。</w:t>
      </w:r>
    </w:p>
    <w:p>
      <w:pPr>
        <w:ind w:firstLine="480"/>
        <w:rPr>
          <w:rFonts w:cs="Times New Roman" w:eastAsiaTheme="minorEastAsia"/>
        </w:rPr>
      </w:pPr>
      <w:r>
        <w:rPr>
          <w:rFonts w:hint="eastAsia" w:cs="Times New Roman" w:eastAsiaTheme="minorEastAsia"/>
        </w:rPr>
        <w:t>（4）小结</w:t>
      </w:r>
    </w:p>
    <w:p>
      <w:pPr>
        <w:ind w:firstLine="480"/>
        <w:rPr>
          <w:rFonts w:cs="Times New Roman" w:eastAsiaTheme="minorEastAsia"/>
        </w:rPr>
      </w:pPr>
      <w:r>
        <w:rPr>
          <w:rFonts w:hint="eastAsia" w:cs="Times New Roman" w:eastAsiaTheme="minorEastAsia"/>
        </w:rPr>
        <w:t>综上所述，本项目分类收集、回收、处置固体废物的措施安全有效，去向明确。经上述“资源化、减量化、无害化”处置后，对环境的危害性大大减少。可将固废对周围环境产生的影响减少到最低限度，不会对周围环境产生明显的影响。</w:t>
      </w:r>
    </w:p>
    <w:p>
      <w:pPr>
        <w:pStyle w:val="5"/>
      </w:pPr>
      <w:bookmarkStart w:id="555" w:name="_Toc206215512"/>
      <w:bookmarkStart w:id="556" w:name="_Toc331536201"/>
      <w:bookmarkStart w:id="557" w:name="_Toc147119986"/>
      <w:r>
        <w:t>固废临时储存设施位置及管理的具体要求</w:t>
      </w:r>
      <w:bookmarkEnd w:id="555"/>
      <w:bookmarkEnd w:id="556"/>
      <w:bookmarkEnd w:id="557"/>
    </w:p>
    <w:p>
      <w:pPr>
        <w:pStyle w:val="6"/>
      </w:pPr>
      <w:r>
        <w:t>固废临时储存设施位置</w:t>
      </w:r>
    </w:p>
    <w:p>
      <w:pPr>
        <w:ind w:firstLine="480"/>
        <w:rPr>
          <w:rFonts w:cs="Times New Roman" w:eastAsiaTheme="minorEastAsia"/>
        </w:rPr>
      </w:pPr>
      <w:r>
        <w:rPr>
          <w:rFonts w:cs="Times New Roman" w:eastAsiaTheme="minorEastAsia"/>
        </w:rPr>
        <w:t>本项目废活性炭</w:t>
      </w:r>
      <w:r>
        <w:rPr>
          <w:rFonts w:hint="eastAsia" w:cs="Times New Roman" w:eastAsiaTheme="minorEastAsia"/>
        </w:rPr>
        <w:t>等</w:t>
      </w:r>
      <w:r>
        <w:rPr>
          <w:rFonts w:cs="Times New Roman" w:eastAsiaTheme="minorEastAsia"/>
        </w:rPr>
        <w:t>危险固废堆放在危废暂存</w:t>
      </w:r>
      <w:r>
        <w:rPr>
          <w:rFonts w:hint="eastAsia" w:cs="Times New Roman" w:eastAsiaTheme="minorEastAsia"/>
        </w:rPr>
        <w:t>仓库，定期</w:t>
      </w:r>
      <w:r>
        <w:rPr>
          <w:rFonts w:cs="Times New Roman" w:eastAsiaTheme="minorEastAsia"/>
        </w:rPr>
        <w:t>委托</w:t>
      </w:r>
      <w:r>
        <w:rPr>
          <w:rFonts w:hint="eastAsia" w:cs="Times New Roman" w:eastAsiaTheme="minorEastAsia"/>
        </w:rPr>
        <w:t>有</w:t>
      </w:r>
      <w:r>
        <w:rPr>
          <w:rFonts w:cs="Times New Roman" w:eastAsiaTheme="minorEastAsia"/>
        </w:rPr>
        <w:t>危险废物处置</w:t>
      </w:r>
      <w:r>
        <w:rPr>
          <w:rFonts w:hint="eastAsia" w:cs="Times New Roman" w:eastAsiaTheme="minorEastAsia"/>
        </w:rPr>
        <w:t>资质的</w:t>
      </w:r>
      <w:r>
        <w:rPr>
          <w:rFonts w:cs="Times New Roman" w:eastAsiaTheme="minorEastAsia"/>
        </w:rPr>
        <w:t>单位转移；</w:t>
      </w:r>
      <w:r>
        <w:rPr>
          <w:rFonts w:hint="eastAsia" w:cs="Times New Roman" w:eastAsiaTheme="minorEastAsia"/>
        </w:rPr>
        <w:t>一般工业固体废物堆放在车间内，</w:t>
      </w:r>
      <w:r>
        <w:rPr>
          <w:rFonts w:cs="Times New Roman" w:eastAsiaTheme="minorEastAsia"/>
        </w:rPr>
        <w:t>生活垃圾置于垃圾桶（箱）中，定时由环卫部门清运。</w:t>
      </w:r>
    </w:p>
    <w:p>
      <w:pPr>
        <w:pStyle w:val="6"/>
      </w:pPr>
      <w:r>
        <w:t>固废临时储存设施管理的具体要求</w:t>
      </w:r>
    </w:p>
    <w:p>
      <w:pPr>
        <w:ind w:firstLine="480"/>
        <w:rPr>
          <w:rFonts w:cs="Times New Roman" w:eastAsiaTheme="minorEastAsia"/>
        </w:rPr>
      </w:pPr>
      <w:r>
        <w:rPr>
          <w:rFonts w:hint="eastAsia" w:cs="Times New Roman" w:eastAsiaTheme="minorEastAsia"/>
        </w:rPr>
        <w:t>（1）项目危险固废储存区对各类危险固废的堆存要求较严，危险固废储存区应根据不同性质的危废进行分区堆放储存，桶装危险废物可集中堆放在某区块，但必须用标签标明该桶所装危险废物名称，且不相容废物不得混合装同一桶内；废包装物单独堆放，也需用指示牌标明。各分区之间须有明确的界限，并做好防渗、消防等防范措施，存储区必须严格按照《危险废物贮存污染控制标准》（GB</w:t>
      </w:r>
      <w:r>
        <w:rPr>
          <w:rFonts w:cs="Times New Roman" w:eastAsiaTheme="minorEastAsia"/>
        </w:rPr>
        <w:t xml:space="preserve"> </w:t>
      </w:r>
      <w:r>
        <w:rPr>
          <w:rFonts w:hint="eastAsia" w:cs="Times New Roman" w:eastAsiaTheme="minorEastAsia"/>
        </w:rPr>
        <w:t>18597-2001）及其修改单建设和维护使用；</w:t>
      </w:r>
    </w:p>
    <w:p>
      <w:pPr>
        <w:ind w:firstLine="480"/>
        <w:rPr>
          <w:rFonts w:cs="Times New Roman" w:eastAsiaTheme="minorEastAsia"/>
        </w:rPr>
      </w:pPr>
      <w:r>
        <w:rPr>
          <w:rFonts w:hint="eastAsia" w:cs="Times New Roman" w:eastAsiaTheme="minorEastAsia"/>
        </w:rPr>
        <w:t>（2）在常温、常压下易燃、易爆及排出有毒气体的危险废物必须进行预处理，使之稳定后贮存；</w:t>
      </w:r>
    </w:p>
    <w:p>
      <w:pPr>
        <w:ind w:firstLine="480"/>
        <w:rPr>
          <w:rFonts w:cs="Times New Roman" w:eastAsiaTheme="minorEastAsia"/>
        </w:rPr>
      </w:pPr>
      <w:r>
        <w:rPr>
          <w:rFonts w:hint="eastAsia" w:cs="Times New Roman" w:eastAsiaTheme="minorEastAsia"/>
        </w:rPr>
        <w:t>（3）应使用符合标准的容器装危险废物；</w:t>
      </w:r>
    </w:p>
    <w:p>
      <w:pPr>
        <w:ind w:firstLine="480"/>
        <w:rPr>
          <w:rFonts w:cs="Times New Roman" w:eastAsiaTheme="minorEastAsia"/>
        </w:rPr>
      </w:pPr>
      <w:r>
        <w:rPr>
          <w:rFonts w:hint="eastAsia" w:cs="Times New Roman" w:eastAsiaTheme="minorEastAsia"/>
        </w:rPr>
        <w:t>（4）不相容危险废物必须分开存放，并设置隔离带；</w:t>
      </w:r>
    </w:p>
    <w:p>
      <w:pPr>
        <w:ind w:firstLine="480"/>
        <w:rPr>
          <w:rFonts w:cs="Times New Roman" w:eastAsiaTheme="minorEastAsia"/>
        </w:rPr>
      </w:pPr>
      <w:r>
        <w:rPr>
          <w:rFonts w:hint="eastAsia" w:cs="Times New Roman" w:eastAsiaTheme="minorEastAsia"/>
        </w:rPr>
        <w:t>（5）危险废物贮存前应进行检查，并注册登记，做好记录，记录上需注明危险废物的名称、来源、数量、入库日期、存放位置、出库日期及去向；</w:t>
      </w:r>
    </w:p>
    <w:p>
      <w:pPr>
        <w:ind w:firstLine="480"/>
        <w:rPr>
          <w:rFonts w:cs="Times New Roman" w:eastAsiaTheme="minorEastAsia"/>
        </w:rPr>
      </w:pPr>
      <w:r>
        <w:rPr>
          <w:rFonts w:hint="eastAsia" w:cs="Times New Roman" w:eastAsiaTheme="minorEastAsia"/>
        </w:rPr>
        <w:t>（6）建立档案管理制度，长期保存供随时查阅；</w:t>
      </w:r>
    </w:p>
    <w:p>
      <w:pPr>
        <w:ind w:firstLine="480"/>
        <w:rPr>
          <w:rFonts w:cs="Times New Roman" w:eastAsiaTheme="minorEastAsia"/>
        </w:rPr>
      </w:pPr>
      <w:r>
        <w:rPr>
          <w:rFonts w:hint="eastAsia" w:cs="Times New Roman" w:eastAsiaTheme="minorEastAsia"/>
        </w:rPr>
        <w:t>（7）必须定期对贮存危险废物的容器及设施进行检查，发现破损应及时采取措施清理更换，并做好记录；</w:t>
      </w:r>
    </w:p>
    <w:p>
      <w:pPr>
        <w:ind w:firstLine="480"/>
        <w:rPr>
          <w:rFonts w:cs="Times New Roman" w:eastAsiaTheme="minorEastAsia"/>
        </w:rPr>
      </w:pPr>
      <w:r>
        <w:rPr>
          <w:rFonts w:hint="eastAsia" w:cs="Times New Roman" w:eastAsiaTheme="minorEastAsia"/>
        </w:rPr>
        <w:t>（8）建设单位必须严格遵守有关危险废物有关储存的规定，建立一套完整的仓库管理体制，危险固废应按广东省《危险废物转移联单管理办法》做好申报转移记录。</w:t>
      </w:r>
    </w:p>
    <w:p>
      <w:pPr>
        <w:pStyle w:val="4"/>
        <w:rPr>
          <w:rStyle w:val="63"/>
          <w:color w:val="auto"/>
        </w:rPr>
      </w:pPr>
      <w:bookmarkStart w:id="558" w:name="_Toc531364210"/>
      <w:bookmarkEnd w:id="558"/>
      <w:bookmarkStart w:id="559" w:name="_Toc531364209"/>
      <w:bookmarkEnd w:id="559"/>
      <w:bookmarkStart w:id="560" w:name="_Toc531364295"/>
      <w:bookmarkEnd w:id="560"/>
      <w:bookmarkStart w:id="561" w:name="_Toc531364296"/>
      <w:bookmarkEnd w:id="561"/>
      <w:bookmarkStart w:id="562" w:name="_Toc3538802"/>
      <w:bookmarkStart w:id="563" w:name="_Hlk3526063"/>
      <w:bookmarkStart w:id="564" w:name="_Toc329784221"/>
      <w:bookmarkStart w:id="565" w:name="_Toc331536215"/>
      <w:bookmarkStart w:id="566" w:name="_Toc17836"/>
      <w:bookmarkStart w:id="567" w:name="_Toc14841"/>
      <w:r>
        <w:rPr>
          <w:rStyle w:val="63"/>
          <w:color w:val="auto"/>
        </w:rPr>
        <w:t>土壤环境影响分析</w:t>
      </w:r>
      <w:bookmarkEnd w:id="562"/>
    </w:p>
    <w:bookmarkEnd w:id="563"/>
    <w:p>
      <w:pPr>
        <w:ind w:firstLine="480"/>
        <w:rPr>
          <w:rStyle w:val="63"/>
          <w:color w:val="auto"/>
        </w:rPr>
      </w:pPr>
      <w:r>
        <w:rPr>
          <w:rStyle w:val="63"/>
          <w:rFonts w:hint="eastAsia"/>
          <w:color w:val="auto"/>
        </w:rPr>
        <w:t>根据地下水环境影响评价结论可知，项目对可能产生地下水影响的各项途径均进行有效预防，在确保各项防渗措施得以落实，并加强维护和厂区环境管理的前提下，可有效控制厂区内的废水污染物和化工原料下渗现象。土壤和地下水污染防护措施相似，主要是防止污染物渗漏，因此，在采取以上措施的情况下，项目不会对区域土壤产生明显的影响。</w:t>
      </w:r>
    </w:p>
    <w:p>
      <w:pPr>
        <w:pStyle w:val="4"/>
      </w:pPr>
      <w:bookmarkStart w:id="568" w:name="_Toc3538803"/>
      <w:r>
        <w:rPr>
          <w:rFonts w:hint="eastAsia"/>
        </w:rPr>
        <w:t>生态环境影响分析</w:t>
      </w:r>
      <w:bookmarkEnd w:id="568"/>
    </w:p>
    <w:p>
      <w:pPr>
        <w:ind w:firstLine="480"/>
      </w:pPr>
      <w:r>
        <w:rPr>
          <w:rFonts w:hint="eastAsia"/>
        </w:rPr>
        <w:t>本项目现有厂房和绿化情况已经成型，且利用已建厂房，不需新建建筑物，因此项目不会改变现有土地利用的格局，也不会对现有景观造成破坏，更不会引起水土流失，对当地生态环境基本无影响。</w:t>
      </w:r>
    </w:p>
    <w:p>
      <w:pPr>
        <w:pStyle w:val="4"/>
      </w:pPr>
      <w:bookmarkStart w:id="569" w:name="_Toc3538804"/>
      <w:r>
        <w:t>环境风险评价</w:t>
      </w:r>
      <w:bookmarkEnd w:id="564"/>
      <w:bookmarkEnd w:id="565"/>
      <w:bookmarkEnd w:id="566"/>
      <w:bookmarkEnd w:id="567"/>
      <w:bookmarkEnd w:id="569"/>
    </w:p>
    <w:p>
      <w:pPr>
        <w:ind w:firstLine="480"/>
        <w:rPr>
          <w:rFonts w:eastAsiaTheme="minorEastAsia"/>
        </w:rPr>
      </w:pPr>
      <w:r>
        <w:rPr>
          <w:rFonts w:hint="eastAsia" w:eastAsiaTheme="minorEastAsia"/>
        </w:rPr>
        <w:t>环境风险评价的目的是</w:t>
      </w:r>
      <w:r>
        <w:rPr>
          <w:rFonts w:eastAsiaTheme="minorEastAsia"/>
        </w:rPr>
        <w:t>分析和预测建设项目存在的潜在危险</w:t>
      </w:r>
      <w:r>
        <w:rPr>
          <w:rFonts w:hint="eastAsia" w:eastAsiaTheme="minorEastAsia"/>
        </w:rPr>
        <w:t>（风险）</w:t>
      </w:r>
      <w:r>
        <w:rPr>
          <w:rFonts w:eastAsiaTheme="minorEastAsia"/>
        </w:rPr>
        <w:t>、有害因素，</w:t>
      </w:r>
      <w:r>
        <w:rPr>
          <w:rFonts w:hint="eastAsia" w:eastAsiaTheme="minorEastAsia"/>
        </w:rPr>
        <w:t>建设项目建设和运行期间可能发生的突发性事件或事故（一般不包括人为破坏及自然灾害），引起有毒有害和易燃易爆等物质泄漏及其可能造成的环境（或健康）风险，即对环境产生的物理性、化学性或生物性的作用及其造成的环境变化和对人类健康和福利的可能影响，进行系统的分析和评估，并提出合理可行的防范、应急与减缓措施，以使建设项目事故率、损失和环境影响达到可接受水平。</w:t>
      </w:r>
    </w:p>
    <w:p>
      <w:pPr>
        <w:ind w:firstLine="480"/>
        <w:rPr>
          <w:rFonts w:eastAsiaTheme="minorEastAsia"/>
        </w:rPr>
      </w:pPr>
      <w:r>
        <w:rPr>
          <w:rFonts w:hint="eastAsia" w:eastAsiaTheme="minorEastAsia"/>
        </w:rPr>
        <w:t>本节重点在于根据原国家环境保护局（9</w:t>
      </w:r>
      <w:r>
        <w:rPr>
          <w:rFonts w:eastAsiaTheme="minorEastAsia"/>
        </w:rPr>
        <w:t>0</w:t>
      </w:r>
      <w:r>
        <w:rPr>
          <w:rFonts w:hint="eastAsia" w:eastAsiaTheme="minorEastAsia"/>
        </w:rPr>
        <w:t>）环管字第057号文《关于对重大环境污染事故隐患进行风险评价的通知》的精神，原环境保护部《关于进一步加强环境影响评价管理防范环境风险的通知》（环发〔2012〕77号），以及《建设项目环境风险评价技术导则》（HJ</w:t>
      </w:r>
      <w:r>
        <w:rPr>
          <w:rFonts w:eastAsiaTheme="minorEastAsia"/>
        </w:rPr>
        <w:t xml:space="preserve"> </w:t>
      </w:r>
      <w:r>
        <w:rPr>
          <w:rFonts w:hint="eastAsia" w:eastAsiaTheme="minorEastAsia"/>
        </w:rPr>
        <w:t>169-20</w:t>
      </w:r>
      <w:r>
        <w:rPr>
          <w:rFonts w:eastAsiaTheme="minorEastAsia"/>
        </w:rPr>
        <w:t>18</w:t>
      </w:r>
      <w:r>
        <w:rPr>
          <w:rFonts w:hint="eastAsia" w:eastAsiaTheme="minorEastAsia"/>
        </w:rPr>
        <w:t>），并根据项目的性质，确定项目在生产过程中可能存在的环境风险，并提出工程风险事故的防范措施和应急对策。</w:t>
      </w:r>
    </w:p>
    <w:p>
      <w:pPr>
        <w:pStyle w:val="5"/>
        <w:numPr>
          <w:ilvl w:val="0"/>
          <w:numId w:val="0"/>
        </w:numPr>
        <w:rPr>
          <w:szCs w:val="24"/>
        </w:rPr>
      </w:pPr>
      <w:bookmarkStart w:id="570" w:name="_Toc14972"/>
      <w:r>
        <w:rPr>
          <w:szCs w:val="24"/>
        </w:rPr>
        <w:t>4.9.1环境风险评价的目的和重点</w:t>
      </w:r>
    </w:p>
    <w:p>
      <w:pPr>
        <w:pStyle w:val="165"/>
        <w:ind w:firstLine="480"/>
      </w:pPr>
      <w: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pPr>
        <w:pStyle w:val="165"/>
        <w:ind w:firstLine="480"/>
      </w:pPr>
      <w:r>
        <w:t>环境风险评价基本内容包括风险调查、环境风险潜势初判、风险识别、风险事故情形分析、风险预测与评价、环境风险管理等。</w:t>
      </w:r>
    </w:p>
    <w:p>
      <w:pPr>
        <w:pStyle w:val="5"/>
        <w:numPr>
          <w:ilvl w:val="0"/>
          <w:numId w:val="0"/>
        </w:numPr>
        <w:rPr>
          <w:color w:val="000000"/>
          <w:szCs w:val="24"/>
        </w:rPr>
      </w:pPr>
      <w:r>
        <w:rPr>
          <w:szCs w:val="24"/>
        </w:rPr>
        <w:t>4.9.2</w:t>
      </w:r>
      <w:r>
        <w:rPr>
          <w:rFonts w:hint="eastAsia"/>
          <w:color w:val="000000"/>
          <w:szCs w:val="24"/>
        </w:rPr>
        <w:t>风险等级判定</w:t>
      </w:r>
    </w:p>
    <w:p>
      <w:pPr>
        <w:pStyle w:val="165"/>
        <w:ind w:firstLine="480"/>
      </w:pPr>
      <w: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pPr>
        <w:spacing w:line="480" w:lineRule="exact"/>
        <w:ind w:firstLine="470" w:firstLineChars="196"/>
        <w:rPr>
          <w:color w:val="000000"/>
        </w:rPr>
      </w:pPr>
      <w:r>
        <w:rPr>
          <w:color w:val="000000"/>
        </w:rPr>
        <w:t>环境风险评价基本内容包括风险调查、环境风险潜势初判、风险识别、风险事故情形分析、风险预测与评价、环境风险管理等</w:t>
      </w:r>
    </w:p>
    <w:p>
      <w:pPr>
        <w:spacing w:line="480" w:lineRule="exact"/>
        <w:ind w:firstLine="470" w:firstLineChars="196"/>
        <w:rPr>
          <w:color w:val="000000"/>
        </w:rPr>
      </w:pPr>
      <w:r>
        <w:rPr>
          <w:rFonts w:hint="eastAsia"/>
          <w:color w:val="000000"/>
        </w:rPr>
        <w:t>（1）风险调查</w:t>
      </w:r>
    </w:p>
    <w:p>
      <w:pPr>
        <w:spacing w:line="480" w:lineRule="exact"/>
        <w:ind w:firstLine="470" w:firstLineChars="196"/>
        <w:rPr>
          <w:color w:val="000000"/>
        </w:rPr>
      </w:pPr>
      <w:r>
        <w:rPr>
          <w:color w:val="000000"/>
        </w:rPr>
        <w:t>项目为</w:t>
      </w:r>
      <w:r>
        <w:rPr>
          <w:rFonts w:hint="eastAsia"/>
          <w:color w:val="000000"/>
        </w:rPr>
        <w:t>危险化学品储存</w:t>
      </w:r>
      <w:r>
        <w:rPr>
          <w:color w:val="000000"/>
        </w:rPr>
        <w:t>项目，对照《建设项目环境风险评价技术导则》（HJ 169-2018）附录</w:t>
      </w:r>
      <w:r>
        <w:rPr>
          <w:rFonts w:hint="eastAsia"/>
          <w:color w:val="000000"/>
        </w:rPr>
        <w:t>B，项目涉及易燃易爆、有毒有害危险物质的储存</w:t>
      </w:r>
    </w:p>
    <w:p>
      <w:pPr>
        <w:pStyle w:val="166"/>
        <w:numPr>
          <w:ilvl w:val="0"/>
          <w:numId w:val="0"/>
        </w:numPr>
        <w:spacing w:before="156" w:after="156"/>
        <w:ind w:firstLine="480" w:firstLineChars="200"/>
        <w:rPr>
          <w:rFonts w:hAnsi="Times New Roman" w:eastAsia="宋体"/>
          <w:b w:val="0"/>
          <w:bCs w:val="0"/>
          <w:spacing w:val="0"/>
          <w:kern w:val="2"/>
          <w:szCs w:val="24"/>
        </w:rPr>
      </w:pPr>
      <w:r>
        <w:rPr>
          <w:rFonts w:hint="eastAsia" w:hAnsi="Times New Roman" w:eastAsia="宋体"/>
          <w:b w:val="0"/>
          <w:bCs w:val="0"/>
          <w:spacing w:val="0"/>
          <w:kern w:val="2"/>
          <w:szCs w:val="24"/>
        </w:rPr>
        <w:t>（2）风险潜势初判</w:t>
      </w:r>
    </w:p>
    <w:p>
      <w:pPr>
        <w:pStyle w:val="165"/>
        <w:ind w:firstLine="480"/>
      </w:pPr>
      <w:r>
        <w:t>根据《建设项目环境风险评价技术导则》（HJ 169-2018）中环境风险潜势的确定步骤，首先计算项目危险物质与其临界量的比值Q。</w:t>
      </w:r>
    </w:p>
    <w:p>
      <w:pPr>
        <w:pStyle w:val="165"/>
        <w:ind w:firstLine="480"/>
      </w:pPr>
      <w:r>
        <w:t>计算所涉及的每种危险物质在厂界内的最大存在总量与其在附录B 中对应临界量的比值Q。在不同厂区的同一种物质，按其在厂界内的最大存在总量计算。对于长输管线项目，按照两个截断阀室之间管段危险物质最大存在总量计算。</w:t>
      </w:r>
    </w:p>
    <w:p>
      <w:pPr>
        <w:ind w:firstLine="480"/>
        <w:rPr>
          <w:color w:val="000000"/>
        </w:rPr>
      </w:pPr>
      <w:r>
        <w:rPr>
          <w:rFonts w:hint="eastAsia"/>
          <w:color w:val="000000"/>
        </w:rPr>
        <w:t>根据</w:t>
      </w:r>
      <w:r>
        <w:rPr>
          <w:color w:val="000000"/>
        </w:rPr>
        <w:t>HJ 169-2018《建设项目环境风险评价技术导则》</w:t>
      </w:r>
      <w:r>
        <w:rPr>
          <w:rFonts w:hint="eastAsia"/>
          <w:color w:val="000000"/>
        </w:rPr>
        <w:t>，环境风险评价等级根据表</w:t>
      </w:r>
      <w:r>
        <w:rPr>
          <w:color w:val="000000"/>
        </w:rPr>
        <w:t>4.9</w:t>
      </w:r>
      <w:r>
        <w:rPr>
          <w:rFonts w:hint="eastAsia"/>
          <w:color w:val="000000"/>
        </w:rPr>
        <w:t>-</w:t>
      </w:r>
      <w:r>
        <w:rPr>
          <w:color w:val="000000"/>
        </w:rPr>
        <w:t>1</w:t>
      </w:r>
      <w:r>
        <w:rPr>
          <w:rFonts w:hint="eastAsia"/>
          <w:color w:val="000000"/>
        </w:rPr>
        <w:t>进行划分。</w:t>
      </w:r>
    </w:p>
    <w:p>
      <w:pPr>
        <w:ind w:firstLine="482"/>
        <w:jc w:val="center"/>
        <w:rPr>
          <w:b/>
          <w:color w:val="000000"/>
        </w:rPr>
      </w:pPr>
      <w:r>
        <w:rPr>
          <w:rFonts w:hint="eastAsia"/>
          <w:b/>
          <w:color w:val="000000"/>
        </w:rPr>
        <w:t>表</w:t>
      </w:r>
      <w:r>
        <w:rPr>
          <w:b/>
          <w:color w:val="000000"/>
        </w:rPr>
        <w:t>4.9</w:t>
      </w:r>
      <w:r>
        <w:rPr>
          <w:rFonts w:hint="eastAsia"/>
          <w:b/>
          <w:color w:val="000000"/>
        </w:rPr>
        <w:t>-</w:t>
      </w:r>
      <w:r>
        <w:rPr>
          <w:b/>
          <w:color w:val="000000"/>
        </w:rPr>
        <w:t>1</w:t>
      </w:r>
      <w:r>
        <w:rPr>
          <w:rFonts w:hint="eastAsia"/>
          <w:b/>
          <w:color w:val="000000"/>
        </w:rPr>
        <w:t xml:space="preserve">  环境评价等级划分表</w:t>
      </w:r>
    </w:p>
    <w:tbl>
      <w:tblPr>
        <w:tblStyle w:val="56"/>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1789"/>
        <w:gridCol w:w="1789"/>
        <w:gridCol w:w="1789"/>
        <w:gridCol w:w="1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1789" w:type="dxa"/>
            <w:vAlign w:val="center"/>
          </w:tcPr>
          <w:p>
            <w:pPr>
              <w:ind w:firstLine="0" w:firstLineChars="0"/>
              <w:rPr>
                <w:color w:val="000000"/>
                <w:sz w:val="21"/>
                <w:szCs w:val="21"/>
              </w:rPr>
            </w:pPr>
            <w:r>
              <w:rPr>
                <w:color w:val="000000"/>
                <w:sz w:val="21"/>
                <w:szCs w:val="21"/>
              </w:rPr>
              <w:t>环境风险潜势</w:t>
            </w:r>
          </w:p>
        </w:tc>
        <w:tc>
          <w:tcPr>
            <w:tcW w:w="1789" w:type="dxa"/>
            <w:vAlign w:val="center"/>
          </w:tcPr>
          <w:p>
            <w:pPr>
              <w:ind w:firstLine="420"/>
              <w:jc w:val="center"/>
              <w:rPr>
                <w:color w:val="000000"/>
                <w:sz w:val="21"/>
                <w:szCs w:val="21"/>
              </w:rPr>
            </w:pPr>
            <w:r>
              <w:rPr>
                <w:color w:val="000000"/>
                <w:sz w:val="21"/>
                <w:szCs w:val="21"/>
              </w:rPr>
              <w:t>Ⅳ、Ⅳ</w:t>
            </w:r>
            <w:r>
              <w:rPr>
                <w:color w:val="000000"/>
                <w:sz w:val="21"/>
                <w:szCs w:val="21"/>
                <w:vertAlign w:val="superscript"/>
              </w:rPr>
              <w:t>+</w:t>
            </w:r>
          </w:p>
        </w:tc>
        <w:tc>
          <w:tcPr>
            <w:tcW w:w="1789" w:type="dxa"/>
            <w:vAlign w:val="center"/>
          </w:tcPr>
          <w:p>
            <w:pPr>
              <w:ind w:firstLine="420"/>
              <w:jc w:val="center"/>
              <w:rPr>
                <w:color w:val="000000"/>
                <w:sz w:val="21"/>
                <w:szCs w:val="21"/>
              </w:rPr>
            </w:pPr>
            <w:r>
              <w:rPr>
                <w:color w:val="000000"/>
                <w:sz w:val="21"/>
                <w:szCs w:val="21"/>
              </w:rPr>
              <w:t>Ⅲ</w:t>
            </w:r>
          </w:p>
        </w:tc>
        <w:tc>
          <w:tcPr>
            <w:tcW w:w="1789" w:type="dxa"/>
            <w:vAlign w:val="center"/>
          </w:tcPr>
          <w:p>
            <w:pPr>
              <w:ind w:firstLine="420"/>
              <w:jc w:val="center"/>
              <w:rPr>
                <w:color w:val="000000"/>
                <w:sz w:val="21"/>
                <w:szCs w:val="21"/>
              </w:rPr>
            </w:pPr>
            <w:r>
              <w:rPr>
                <w:color w:val="000000"/>
                <w:sz w:val="21"/>
                <w:szCs w:val="21"/>
              </w:rPr>
              <w:t>Ⅱ</w:t>
            </w:r>
          </w:p>
        </w:tc>
        <w:tc>
          <w:tcPr>
            <w:tcW w:w="1790" w:type="dxa"/>
            <w:vAlign w:val="center"/>
          </w:tcPr>
          <w:p>
            <w:pPr>
              <w:ind w:firstLine="420"/>
              <w:jc w:val="center"/>
              <w:rPr>
                <w:color w:val="000000"/>
                <w:sz w:val="21"/>
                <w:szCs w:val="21"/>
              </w:rPr>
            </w:pPr>
            <w:r>
              <w:rPr>
                <w:color w:val="000000"/>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atLeast"/>
        </w:trPr>
        <w:tc>
          <w:tcPr>
            <w:tcW w:w="1789" w:type="dxa"/>
            <w:vAlign w:val="center"/>
          </w:tcPr>
          <w:p>
            <w:pPr>
              <w:ind w:firstLine="0" w:firstLineChars="0"/>
              <w:rPr>
                <w:color w:val="000000"/>
                <w:sz w:val="21"/>
                <w:szCs w:val="21"/>
              </w:rPr>
            </w:pPr>
            <w:r>
              <w:rPr>
                <w:color w:val="000000"/>
                <w:sz w:val="21"/>
                <w:szCs w:val="21"/>
              </w:rPr>
              <w:t>评价工作等级</w:t>
            </w:r>
          </w:p>
        </w:tc>
        <w:tc>
          <w:tcPr>
            <w:tcW w:w="1789" w:type="dxa"/>
            <w:vAlign w:val="center"/>
          </w:tcPr>
          <w:p>
            <w:pPr>
              <w:ind w:firstLine="420"/>
              <w:jc w:val="center"/>
              <w:rPr>
                <w:color w:val="000000"/>
                <w:sz w:val="21"/>
                <w:szCs w:val="21"/>
              </w:rPr>
            </w:pPr>
            <w:r>
              <w:rPr>
                <w:color w:val="000000"/>
                <w:sz w:val="21"/>
                <w:szCs w:val="21"/>
              </w:rPr>
              <w:t>一</w:t>
            </w:r>
          </w:p>
        </w:tc>
        <w:tc>
          <w:tcPr>
            <w:tcW w:w="1789" w:type="dxa"/>
            <w:vAlign w:val="center"/>
          </w:tcPr>
          <w:p>
            <w:pPr>
              <w:ind w:firstLine="420"/>
              <w:jc w:val="center"/>
              <w:rPr>
                <w:color w:val="000000"/>
                <w:sz w:val="21"/>
                <w:szCs w:val="21"/>
              </w:rPr>
            </w:pPr>
            <w:r>
              <w:rPr>
                <w:color w:val="000000"/>
                <w:sz w:val="21"/>
                <w:szCs w:val="21"/>
              </w:rPr>
              <w:t>二</w:t>
            </w:r>
          </w:p>
        </w:tc>
        <w:tc>
          <w:tcPr>
            <w:tcW w:w="1789" w:type="dxa"/>
            <w:vAlign w:val="center"/>
          </w:tcPr>
          <w:p>
            <w:pPr>
              <w:ind w:firstLine="420"/>
              <w:jc w:val="center"/>
              <w:rPr>
                <w:color w:val="000000"/>
                <w:sz w:val="21"/>
                <w:szCs w:val="21"/>
              </w:rPr>
            </w:pPr>
            <w:r>
              <w:rPr>
                <w:color w:val="000000"/>
                <w:sz w:val="21"/>
                <w:szCs w:val="21"/>
              </w:rPr>
              <w:t>三</w:t>
            </w:r>
          </w:p>
        </w:tc>
        <w:tc>
          <w:tcPr>
            <w:tcW w:w="1790" w:type="dxa"/>
            <w:vAlign w:val="center"/>
          </w:tcPr>
          <w:p>
            <w:pPr>
              <w:ind w:firstLine="420"/>
              <w:jc w:val="center"/>
              <w:rPr>
                <w:color w:val="000000"/>
                <w:sz w:val="21"/>
                <w:szCs w:val="21"/>
              </w:rPr>
            </w:pPr>
            <w:r>
              <w:rPr>
                <w:color w:val="000000"/>
                <w:sz w:val="21"/>
                <w:szCs w:val="21"/>
              </w:rPr>
              <w:t>简单分析</w:t>
            </w:r>
            <w:r>
              <w:rPr>
                <w:color w:val="000000"/>
                <w:sz w:val="21"/>
                <w:szCs w:val="21"/>
                <w:vertAlign w:val="superscript"/>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46" w:type="dxa"/>
            <w:gridSpan w:val="5"/>
            <w:vAlign w:val="center"/>
          </w:tcPr>
          <w:p>
            <w:pPr>
              <w:ind w:firstLine="420"/>
              <w:rPr>
                <w:color w:val="000000"/>
                <w:sz w:val="21"/>
                <w:szCs w:val="21"/>
              </w:rPr>
            </w:pPr>
            <w:r>
              <w:rPr>
                <w:color w:val="000000"/>
                <w:sz w:val="21"/>
                <w:szCs w:val="21"/>
              </w:rPr>
              <w:t>a是相对于详细评价工作内容而言，在描述危险物质、环境影响途径、环境危害后果、风险防范措施等方面给出定性的说明。见附录A。</w:t>
            </w:r>
          </w:p>
        </w:tc>
      </w:tr>
    </w:tbl>
    <w:p>
      <w:pPr>
        <w:pStyle w:val="23"/>
        <w:ind w:firstLine="120" w:firstLineChars="50"/>
      </w:pPr>
      <w:r>
        <w:rPr>
          <w:rFonts w:hint="eastAsia" w:ascii="宋体" w:hAnsi="宋体" w:eastAsia="宋体"/>
        </w:rPr>
        <w:t>①</w:t>
      </w:r>
      <w:r>
        <w:t xml:space="preserve"> </w:t>
      </w:r>
      <w:r>
        <w:rPr>
          <w:rFonts w:hint="eastAsia"/>
        </w:rPr>
        <w:t>Q值确定</w:t>
      </w:r>
    </w:p>
    <w:p>
      <w:pPr>
        <w:pStyle w:val="23"/>
        <w:ind w:left="138" w:right="138" w:firstLine="480"/>
      </w:pPr>
      <w:r>
        <w:t xml:space="preserve">当只涉及一种危险物质时，计算该物质的总量与其临界量比值，即为 </w:t>
      </w:r>
      <w:r>
        <w:rPr>
          <w:i/>
        </w:rPr>
        <w:t>Q</w:t>
      </w:r>
      <w:r>
        <w:t>；</w:t>
      </w:r>
    </w:p>
    <w:p>
      <w:pPr>
        <w:pStyle w:val="23"/>
        <w:ind w:left="138" w:right="138" w:firstLine="508"/>
        <w:rPr>
          <w:spacing w:val="7"/>
        </w:rPr>
      </w:pPr>
      <w:r>
        <w:rPr>
          <w:spacing w:val="7"/>
        </w:rPr>
        <w:t>当存在多种危险物质时，则按</w:t>
      </w:r>
      <w:r>
        <w:rPr>
          <w:rFonts w:hint="eastAsia"/>
          <w:spacing w:val="7"/>
        </w:rPr>
        <w:t>下式</w:t>
      </w:r>
      <w:r>
        <w:rPr>
          <w:spacing w:val="7"/>
        </w:rPr>
        <w:t>计算物质总量与其临界量比值</w:t>
      </w:r>
      <w:r>
        <w:rPr>
          <w:rFonts w:hint="eastAsia"/>
          <w:spacing w:val="7"/>
        </w:rPr>
        <w:t>（</w:t>
      </w:r>
      <w:r>
        <w:rPr>
          <w:i/>
        </w:rPr>
        <w:t>Q</w:t>
      </w:r>
      <w:r>
        <w:rPr>
          <w:rFonts w:hint="eastAsia"/>
          <w:spacing w:val="7"/>
        </w:rPr>
        <w:t>）：</w:t>
      </w:r>
    </w:p>
    <w:p>
      <w:pPr>
        <w:pStyle w:val="23"/>
        <w:ind w:left="138" w:right="138" w:firstLine="2032" w:firstLineChars="800"/>
        <w:rPr>
          <w:spacing w:val="7"/>
        </w:rPr>
      </w:pPr>
      <w:r>
        <w:rPr>
          <w:rFonts w:hint="eastAsia"/>
          <w:spacing w:val="7"/>
        </w:rPr>
        <w:drawing>
          <wp:inline distT="0" distB="0" distL="0" distR="0">
            <wp:extent cx="1828800" cy="469900"/>
            <wp:effectExtent l="0" t="0" r="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1828800" cy="469900"/>
                    </a:xfrm>
                    <a:prstGeom prst="rect">
                      <a:avLst/>
                    </a:prstGeom>
                    <a:noFill/>
                    <a:ln>
                      <a:noFill/>
                    </a:ln>
                  </pic:spPr>
                </pic:pic>
              </a:graphicData>
            </a:graphic>
          </wp:inline>
        </w:drawing>
      </w:r>
    </w:p>
    <w:p>
      <w:pPr>
        <w:pStyle w:val="23"/>
        <w:ind w:left="138" w:right="138" w:firstLine="480"/>
      </w:pPr>
      <w:r>
        <w:t>式中：</w:t>
      </w:r>
      <w:r>
        <w:rPr>
          <w:i/>
        </w:rPr>
        <w:t>q</w:t>
      </w:r>
      <w:r>
        <w:rPr>
          <w:vertAlign w:val="subscript"/>
        </w:rPr>
        <w:t>1</w:t>
      </w:r>
      <w:r>
        <w:t>，</w:t>
      </w:r>
      <w:r>
        <w:rPr>
          <w:i/>
        </w:rPr>
        <w:t>q</w:t>
      </w:r>
      <w:r>
        <w:rPr>
          <w:vertAlign w:val="subscript"/>
        </w:rPr>
        <w:t>2</w:t>
      </w:r>
      <w:r>
        <w:t>，...，</w:t>
      </w:r>
      <w:r>
        <w:rPr>
          <w:i/>
        </w:rPr>
        <w:t>q</w:t>
      </w:r>
      <w:r>
        <w:rPr>
          <w:i/>
          <w:vertAlign w:val="subscript"/>
        </w:rPr>
        <w:t>n</w:t>
      </w:r>
      <w:r>
        <w:t>——每种危险物质的最大存在总量，t；</w:t>
      </w:r>
    </w:p>
    <w:p>
      <w:pPr>
        <w:pStyle w:val="23"/>
        <w:ind w:left="138" w:right="138" w:firstLine="480"/>
      </w:pPr>
      <w:r>
        <w:rPr>
          <w:i/>
        </w:rPr>
        <w:t>Q</w:t>
      </w:r>
      <w:r>
        <w:rPr>
          <w:vertAlign w:val="subscript"/>
        </w:rPr>
        <w:t>1</w:t>
      </w:r>
      <w:r>
        <w:t xml:space="preserve">, </w:t>
      </w:r>
      <w:r>
        <w:rPr>
          <w:i/>
        </w:rPr>
        <w:t>Q</w:t>
      </w:r>
      <w:r>
        <w:rPr>
          <w:vertAlign w:val="subscript"/>
        </w:rPr>
        <w:t>2</w:t>
      </w:r>
      <w:r>
        <w:t xml:space="preserve">, ..., </w:t>
      </w:r>
      <w:r>
        <w:rPr>
          <w:i/>
        </w:rPr>
        <w:t>Q</w:t>
      </w:r>
      <w:r>
        <w:rPr>
          <w:i/>
          <w:vertAlign w:val="subscript"/>
        </w:rPr>
        <w:t>n</w:t>
      </w:r>
      <w:r>
        <w:t>——每种危险物的临界量，t。</w:t>
      </w:r>
    </w:p>
    <w:p>
      <w:pPr>
        <w:pStyle w:val="23"/>
        <w:ind w:left="138" w:right="138" w:firstLine="480"/>
      </w:pPr>
      <w:r>
        <w:t xml:space="preserve">当 </w:t>
      </w:r>
      <w:r>
        <w:rPr>
          <w:i/>
        </w:rPr>
        <w:t>Q</w:t>
      </w:r>
      <w:r>
        <w:t>＜1 时，该项目环境风险潜势为Ⅰ。</w:t>
      </w:r>
    </w:p>
    <w:p>
      <w:pPr>
        <w:pStyle w:val="23"/>
        <w:ind w:left="138" w:right="138" w:firstLine="372"/>
      </w:pPr>
      <w:r>
        <w:rPr>
          <w:spacing w:val="-27"/>
        </w:rPr>
        <w:t xml:space="preserve">当 </w:t>
      </w:r>
      <w:r>
        <w:rPr>
          <w:i/>
          <w:spacing w:val="-1"/>
        </w:rPr>
        <w:t>Q</w:t>
      </w:r>
      <w:r>
        <w:t xml:space="preserve">≥1 </w:t>
      </w:r>
      <w:r>
        <w:rPr>
          <w:spacing w:val="-14"/>
        </w:rPr>
        <w:t xml:space="preserve">时，将 </w:t>
      </w:r>
      <w:r>
        <w:rPr>
          <w:i/>
        </w:rPr>
        <w:t>Q</w:t>
      </w:r>
      <w:r>
        <w:rPr>
          <w:spacing w:val="-21"/>
        </w:rPr>
        <w:t>值划分为：</w:t>
      </w:r>
      <w:r>
        <w:t>（1</w:t>
      </w:r>
      <w:r>
        <w:rPr>
          <w:spacing w:val="-2"/>
        </w:rPr>
        <w:t>）</w:t>
      </w:r>
      <w:r>
        <w:t>1</w:t>
      </w:r>
      <w:r>
        <w:rPr>
          <w:spacing w:val="-2"/>
        </w:rPr>
        <w:t>≤</w:t>
      </w:r>
      <w:r>
        <w:rPr>
          <w:i/>
          <w:spacing w:val="-1"/>
        </w:rPr>
        <w:t>Q</w:t>
      </w:r>
      <w:r>
        <w:t>＜10</w:t>
      </w:r>
      <w:r>
        <w:rPr>
          <w:spacing w:val="-105"/>
        </w:rPr>
        <w:t>；</w:t>
      </w:r>
      <w:r>
        <w:rPr>
          <w:spacing w:val="-2"/>
        </w:rPr>
        <w:t>（</w:t>
      </w:r>
      <w:r>
        <w:t>2</w:t>
      </w:r>
      <w:r>
        <w:rPr>
          <w:spacing w:val="-2"/>
        </w:rPr>
        <w:t>）</w:t>
      </w:r>
      <w:r>
        <w:t>10≤</w:t>
      </w:r>
      <w:r>
        <w:rPr>
          <w:i/>
          <w:spacing w:val="-1"/>
        </w:rPr>
        <w:t>Q</w:t>
      </w:r>
      <w:r>
        <w:t>＜</w:t>
      </w:r>
      <w:r>
        <w:rPr>
          <w:spacing w:val="-1"/>
        </w:rPr>
        <w:t>1</w:t>
      </w:r>
      <w:r>
        <w:t>0</w:t>
      </w:r>
      <w:r>
        <w:rPr>
          <w:spacing w:val="-1"/>
        </w:rPr>
        <w:t>0</w:t>
      </w:r>
      <w:r>
        <w:rPr>
          <w:spacing w:val="-106"/>
        </w:rPr>
        <w:t>；</w:t>
      </w:r>
      <w:r>
        <w:t>（3）</w:t>
      </w:r>
      <w:r>
        <w:rPr>
          <w:i/>
          <w:spacing w:val="-1"/>
        </w:rPr>
        <w:t>Q</w:t>
      </w:r>
      <w:r>
        <w:t>≥1</w:t>
      </w:r>
      <w:r>
        <w:rPr>
          <w:spacing w:val="-1"/>
        </w:rPr>
        <w:t>00</w:t>
      </w:r>
      <w:r>
        <w:t>。</w:t>
      </w:r>
    </w:p>
    <w:p>
      <w:pPr>
        <w:pStyle w:val="23"/>
        <w:ind w:left="138" w:right="138" w:firstLine="480"/>
      </w:pPr>
      <w:r>
        <w:rPr>
          <w:rFonts w:hint="eastAsia"/>
        </w:rPr>
        <w:t>建设项目</w:t>
      </w:r>
      <w:r>
        <w:rPr>
          <w:i/>
        </w:rPr>
        <w:t>Q</w:t>
      </w:r>
      <w:r>
        <w:rPr>
          <w:spacing w:val="-21"/>
        </w:rPr>
        <w:t>值</w:t>
      </w:r>
      <w:r>
        <w:rPr>
          <w:rFonts w:hint="eastAsia"/>
          <w:spacing w:val="-21"/>
        </w:rPr>
        <w:t>确定表详见表</w:t>
      </w:r>
      <w:r>
        <w:t>4.9</w:t>
      </w:r>
      <w:r>
        <w:rPr>
          <w:rFonts w:hint="eastAsia"/>
        </w:rPr>
        <w:t>-</w:t>
      </w:r>
      <w:r>
        <w:t>2</w:t>
      </w:r>
      <w:r>
        <w:rPr>
          <w:rFonts w:hint="eastAsia"/>
        </w:rPr>
        <w:t>。</w:t>
      </w:r>
    </w:p>
    <w:p>
      <w:pPr>
        <w:pStyle w:val="23"/>
        <w:ind w:left="138" w:right="138" w:firstLine="482"/>
        <w:jc w:val="center"/>
        <w:rPr>
          <w:b/>
        </w:rPr>
      </w:pPr>
      <w:r>
        <w:rPr>
          <w:rFonts w:hint="eastAsia"/>
          <w:b/>
        </w:rPr>
        <w:t>表</w:t>
      </w:r>
      <w:r>
        <w:rPr>
          <w:b/>
        </w:rPr>
        <w:t>4.9</w:t>
      </w:r>
      <w:r>
        <w:rPr>
          <w:rFonts w:hint="eastAsia"/>
          <w:b/>
        </w:rPr>
        <w:t>-</w:t>
      </w:r>
      <w:r>
        <w:rPr>
          <w:b/>
        </w:rPr>
        <w:t>2</w:t>
      </w:r>
      <w:r>
        <w:rPr>
          <w:rFonts w:hint="eastAsia"/>
          <w:b/>
        </w:rPr>
        <w:t xml:space="preserve">  建设项目</w:t>
      </w:r>
      <w:r>
        <w:rPr>
          <w:b/>
        </w:rPr>
        <w:t xml:space="preserve"> Q值确定表</w:t>
      </w:r>
    </w:p>
    <w:tbl>
      <w:tblPr>
        <w:tblStyle w:val="56"/>
        <w:tblW w:w="9060" w:type="dxa"/>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1210"/>
        <w:gridCol w:w="1174"/>
        <w:gridCol w:w="3253"/>
        <w:gridCol w:w="1410"/>
        <w:gridCol w:w="1049"/>
        <w:gridCol w:w="964"/>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1210" w:type="dxa"/>
            <w:tcBorders>
              <w:tl2br w:val="nil"/>
              <w:tr2bl w:val="nil"/>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物质名称</w:t>
            </w:r>
          </w:p>
        </w:tc>
        <w:tc>
          <w:tcPr>
            <w:tcW w:w="1174" w:type="dxa"/>
            <w:tcBorders>
              <w:tl2br w:val="nil"/>
              <w:tr2bl w:val="nil"/>
            </w:tcBorders>
            <w:vAlign w:val="center"/>
          </w:tcPr>
          <w:p>
            <w:pPr>
              <w:spacing w:line="240" w:lineRule="auto"/>
              <w:ind w:firstLine="0" w:firstLineChars="0"/>
              <w:jc w:val="center"/>
              <w:rPr>
                <w:rFonts w:cs="Times New Roman" w:eastAsiaTheme="minorEastAsia"/>
                <w:b/>
                <w:sz w:val="21"/>
                <w:szCs w:val="21"/>
              </w:rPr>
            </w:pPr>
            <w:r>
              <w:rPr>
                <w:rFonts w:hint="eastAsia" w:cs="Times New Roman" w:eastAsiaTheme="minorEastAsia"/>
                <w:b/>
                <w:sz w:val="21"/>
                <w:szCs w:val="21"/>
              </w:rPr>
              <w:t>C</w:t>
            </w:r>
            <w:r>
              <w:rPr>
                <w:rFonts w:cs="Times New Roman" w:eastAsiaTheme="minorEastAsia"/>
                <w:b/>
                <w:sz w:val="21"/>
                <w:szCs w:val="21"/>
              </w:rPr>
              <w:t>AS</w:t>
            </w:r>
            <w:r>
              <w:rPr>
                <w:rFonts w:hint="eastAsia" w:cs="Times New Roman" w:eastAsiaTheme="minorEastAsia"/>
                <w:b/>
                <w:sz w:val="21"/>
                <w:szCs w:val="21"/>
              </w:rPr>
              <w:t>号</w:t>
            </w:r>
          </w:p>
        </w:tc>
        <w:tc>
          <w:tcPr>
            <w:tcW w:w="3253" w:type="dxa"/>
            <w:tcBorders>
              <w:tl2br w:val="nil"/>
              <w:tr2bl w:val="nil"/>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危险性</w:t>
            </w:r>
            <w:r>
              <w:rPr>
                <w:rFonts w:hint="eastAsia" w:cs="Times New Roman" w:eastAsiaTheme="minorEastAsia"/>
                <w:b/>
                <w:sz w:val="21"/>
                <w:szCs w:val="21"/>
              </w:rPr>
              <w:t>类别</w:t>
            </w:r>
          </w:p>
        </w:tc>
        <w:tc>
          <w:tcPr>
            <w:tcW w:w="1410" w:type="dxa"/>
            <w:tcBorders>
              <w:tl2br w:val="nil"/>
              <w:tr2bl w:val="nil"/>
            </w:tcBorders>
            <w:vAlign w:val="center"/>
          </w:tcPr>
          <w:p>
            <w:pPr>
              <w:spacing w:line="240" w:lineRule="auto"/>
              <w:ind w:firstLine="0" w:firstLineChars="0"/>
              <w:jc w:val="center"/>
              <w:rPr>
                <w:rFonts w:cs="Times New Roman" w:eastAsiaTheme="minorEastAsia"/>
                <w:b/>
                <w:sz w:val="21"/>
                <w:szCs w:val="21"/>
              </w:rPr>
            </w:pPr>
            <w:r>
              <w:rPr>
                <w:rFonts w:hint="eastAsia" w:cs="Times New Roman" w:eastAsiaTheme="minorEastAsia"/>
                <w:b/>
                <w:sz w:val="21"/>
                <w:szCs w:val="21"/>
              </w:rPr>
              <w:t>厂内存在</w:t>
            </w:r>
            <w:r>
              <w:rPr>
                <w:rFonts w:cs="Times New Roman" w:eastAsiaTheme="minorEastAsia"/>
                <w:b/>
                <w:sz w:val="21"/>
                <w:szCs w:val="21"/>
              </w:rPr>
              <w:t>量（t）</w:t>
            </w:r>
          </w:p>
        </w:tc>
        <w:tc>
          <w:tcPr>
            <w:tcW w:w="1049" w:type="dxa"/>
            <w:tcBorders>
              <w:tl2br w:val="nil"/>
              <w:tr2bl w:val="nil"/>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临界量</w:t>
            </w:r>
            <w:r>
              <w:rPr>
                <w:rFonts w:hint="eastAsia" w:cs="Times New Roman" w:eastAsiaTheme="minorEastAsia"/>
                <w:b/>
                <w:sz w:val="21"/>
                <w:szCs w:val="21"/>
              </w:rPr>
              <w:t>（</w:t>
            </w:r>
            <w:r>
              <w:rPr>
                <w:rFonts w:cs="Times New Roman" w:eastAsiaTheme="minorEastAsia"/>
                <w:b/>
                <w:sz w:val="21"/>
                <w:szCs w:val="21"/>
              </w:rPr>
              <w:t>t</w:t>
            </w:r>
            <w:r>
              <w:rPr>
                <w:rFonts w:hint="eastAsia" w:cs="Times New Roman" w:eastAsiaTheme="minorEastAsia"/>
                <w:b/>
                <w:sz w:val="21"/>
                <w:szCs w:val="21"/>
              </w:rPr>
              <w:t>）</w:t>
            </w:r>
          </w:p>
        </w:tc>
        <w:tc>
          <w:tcPr>
            <w:tcW w:w="964" w:type="dxa"/>
            <w:tcBorders>
              <w:tl2br w:val="nil"/>
              <w:tr2bl w:val="nil"/>
            </w:tcBorders>
            <w:shd w:val="clear" w:color="auto" w:fill="auto"/>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q/Q</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1210"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硫磺粉</w:t>
            </w:r>
          </w:p>
        </w:tc>
        <w:tc>
          <w:tcPr>
            <w:tcW w:w="1174" w:type="dxa"/>
            <w:tcBorders>
              <w:tl2br w:val="nil"/>
              <w:tr2bl w:val="nil"/>
            </w:tcBorders>
            <w:vAlign w:val="center"/>
          </w:tcPr>
          <w:p>
            <w:pPr>
              <w:pStyle w:val="107"/>
            </w:pPr>
            <w:r>
              <w:rPr>
                <w:rFonts w:hint="eastAsia"/>
              </w:rPr>
              <w:t>7704-34-9</w:t>
            </w:r>
          </w:p>
        </w:tc>
        <w:tc>
          <w:tcPr>
            <w:tcW w:w="3253" w:type="dxa"/>
            <w:tcBorders>
              <w:tl2br w:val="nil"/>
              <w:tr2bl w:val="nil"/>
            </w:tcBorders>
            <w:vAlign w:val="center"/>
          </w:tcPr>
          <w:p>
            <w:pPr>
              <w:pStyle w:val="107"/>
            </w:pPr>
            <w:r>
              <w:rPr>
                <w:rFonts w:hint="eastAsia"/>
              </w:rPr>
              <w:t>易燃固体，类别2</w:t>
            </w:r>
          </w:p>
        </w:tc>
        <w:tc>
          <w:tcPr>
            <w:tcW w:w="1410"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0.5</w:t>
            </w:r>
          </w:p>
        </w:tc>
        <w:tc>
          <w:tcPr>
            <w:tcW w:w="1049"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200</w:t>
            </w:r>
          </w:p>
        </w:tc>
        <w:tc>
          <w:tcPr>
            <w:tcW w:w="964" w:type="dxa"/>
            <w:tcBorders>
              <w:tl2br w:val="nil"/>
              <w:tr2bl w:val="nil"/>
            </w:tcBorders>
            <w:vAlign w:val="center"/>
          </w:tcPr>
          <w:p>
            <w:pPr>
              <w:spacing w:line="240" w:lineRule="auto"/>
              <w:ind w:firstLine="0" w:firstLineChars="0"/>
              <w:jc w:val="center"/>
              <w:textAlignment w:val="center"/>
              <w:rPr>
                <w:rFonts w:cs="Times New Roman" w:eastAsiaTheme="minorEastAsia"/>
                <w:sz w:val="21"/>
                <w:szCs w:val="21"/>
              </w:rPr>
            </w:pPr>
            <w:r>
              <w:rPr>
                <w:rFonts w:cs="Times New Roman" w:eastAsiaTheme="minorEastAsia"/>
                <w:sz w:val="21"/>
                <w:szCs w:val="21"/>
                <w:lang w:bidi="ar"/>
              </w:rPr>
              <w:t>0.0025</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9060" w:type="dxa"/>
            <w:gridSpan w:val="6"/>
            <w:tcBorders>
              <w:tl2br w:val="nil"/>
              <w:tr2bl w:val="nil"/>
            </w:tcBorders>
            <w:vAlign w:val="center"/>
          </w:tcPr>
          <w:p>
            <w:pPr>
              <w:spacing w:line="240" w:lineRule="auto"/>
              <w:ind w:firstLine="0" w:firstLineChars="0"/>
              <w:jc w:val="center"/>
              <w:textAlignment w:val="center"/>
              <w:rPr>
                <w:rFonts w:cs="Times New Roman" w:eastAsiaTheme="minorEastAsia"/>
                <w:sz w:val="22"/>
                <w:szCs w:val="22"/>
                <w:lang w:bidi="ar"/>
              </w:rPr>
            </w:pPr>
            <w:r>
              <w:rPr>
                <w:rFonts w:cs="Times New Roman" w:eastAsiaTheme="minorEastAsia"/>
                <w:sz w:val="21"/>
                <w:szCs w:val="21"/>
              </w:rPr>
              <w:t>∑q/Q=0.0025&lt;1</w:t>
            </w:r>
            <w:r>
              <w:rPr>
                <w:rFonts w:hint="eastAsia" w:cs="Times New Roman" w:eastAsiaTheme="minorEastAsia"/>
                <w:sz w:val="21"/>
                <w:szCs w:val="21"/>
              </w:rPr>
              <w:t>，为非重大危险源</w:t>
            </w:r>
          </w:p>
        </w:tc>
      </w:tr>
    </w:tbl>
    <w:p>
      <w:pPr>
        <w:pStyle w:val="23"/>
        <w:ind w:left="138" w:right="138" w:firstLine="480"/>
      </w:pPr>
      <w:r>
        <w:rPr>
          <w:rFonts w:hint="eastAsia"/>
        </w:rPr>
        <w:t>由表</w:t>
      </w:r>
      <w:r>
        <w:t>4</w:t>
      </w:r>
      <w:r>
        <w:rPr>
          <w:rFonts w:hint="eastAsia"/>
        </w:rPr>
        <w:t>.</w:t>
      </w:r>
      <w:r>
        <w:t>9</w:t>
      </w:r>
      <w:r>
        <w:rPr>
          <w:rFonts w:hint="eastAsia"/>
        </w:rPr>
        <w:t>-</w:t>
      </w:r>
      <w:r>
        <w:t>2</w:t>
      </w:r>
      <w:r>
        <w:rPr>
          <w:rFonts w:hint="eastAsia"/>
        </w:rPr>
        <w:t>确定本项目</w:t>
      </w:r>
      <w:r>
        <w:t>Q＜1</w:t>
      </w:r>
      <w:r>
        <w:rPr>
          <w:rFonts w:hint="eastAsia"/>
        </w:rPr>
        <w:t>，</w:t>
      </w:r>
      <w:r>
        <w:t>该项目环境风险潜势为Ⅰ</w:t>
      </w:r>
      <w:r>
        <w:rPr>
          <w:rFonts w:hint="eastAsia"/>
        </w:rPr>
        <w:t>，简单分析。</w:t>
      </w:r>
    </w:p>
    <w:p>
      <w:pPr>
        <w:pStyle w:val="166"/>
        <w:numPr>
          <w:ilvl w:val="0"/>
          <w:numId w:val="0"/>
        </w:numPr>
        <w:spacing w:before="156" w:after="156"/>
        <w:ind w:firstLine="480" w:firstLineChars="200"/>
        <w:rPr>
          <w:rFonts w:hAnsi="Times New Roman" w:eastAsia="宋体"/>
          <w:b w:val="0"/>
          <w:bCs w:val="0"/>
          <w:spacing w:val="0"/>
          <w:kern w:val="2"/>
          <w:szCs w:val="24"/>
        </w:rPr>
      </w:pPr>
      <w:r>
        <w:rPr>
          <w:rFonts w:hint="eastAsia" w:hAnsi="Times New Roman" w:eastAsia="宋体"/>
          <w:b w:val="0"/>
          <w:bCs w:val="0"/>
          <w:spacing w:val="0"/>
          <w:kern w:val="2"/>
          <w:szCs w:val="24"/>
        </w:rPr>
        <w:t>（3）环境风险评价等级及评价范围</w:t>
      </w:r>
    </w:p>
    <w:p>
      <w:pPr>
        <w:pStyle w:val="23"/>
        <w:ind w:left="240" w:firstLine="720" w:firstLineChars="300"/>
        <w:rPr>
          <w:spacing w:val="7"/>
        </w:rPr>
      </w:pPr>
      <w:r>
        <w:rPr>
          <w:rFonts w:hint="eastAsia"/>
        </w:rPr>
        <w:t>确定本项目环境风险潜势为</w:t>
      </w:r>
      <w:r>
        <w:t>Ⅰ级</w:t>
      </w:r>
      <w:r>
        <w:rPr>
          <w:rFonts w:hint="eastAsia"/>
        </w:rPr>
        <w:t>；本项目环境风险评价为简单分析。评价范围为风险源周边半径</w:t>
      </w:r>
      <w:r>
        <w:t>3km区域内</w:t>
      </w:r>
      <w:r>
        <w:rPr>
          <w:rFonts w:hint="eastAsia"/>
        </w:rPr>
        <w:t>。</w:t>
      </w:r>
    </w:p>
    <w:p>
      <w:pPr>
        <w:pStyle w:val="5"/>
        <w:numPr>
          <w:ilvl w:val="0"/>
          <w:numId w:val="0"/>
        </w:numPr>
        <w:ind w:firstLine="281" w:firstLineChars="100"/>
      </w:pPr>
      <w:r>
        <w:rPr>
          <w:rFonts w:hint="eastAsia" w:eastAsiaTheme="minorEastAsia"/>
        </w:rPr>
        <w:t>4</w:t>
      </w:r>
      <w:r>
        <w:rPr>
          <w:rFonts w:eastAsiaTheme="minorEastAsia"/>
        </w:rPr>
        <w:t>.9.3环</w:t>
      </w:r>
      <w:r>
        <w:t>境风险识别</w:t>
      </w:r>
      <w:bookmarkEnd w:id="570"/>
    </w:p>
    <w:p>
      <w:pPr>
        <w:ind w:firstLine="480"/>
        <w:rPr>
          <w:rFonts w:cs="Times New Roman" w:eastAsiaTheme="minorEastAsia"/>
        </w:rPr>
      </w:pPr>
      <w:r>
        <w:rPr>
          <w:rFonts w:hint="eastAsia" w:cs="Times New Roman" w:eastAsiaTheme="minorEastAsia"/>
        </w:rPr>
        <w:t>环境风险识别包括生产设施和危险物质的识别，有毒有害物质扩散途经的识别以及可能受影响的环境保护目标的识别。其中本项目风险评价范围内的风险环境保护目标见</w:t>
      </w:r>
      <w:r>
        <w:rPr>
          <w:rFonts w:cs="Times New Roman" w:eastAsiaTheme="minorEastAsia"/>
        </w:rPr>
        <w:fldChar w:fldCharType="begin"/>
      </w:r>
      <w:r>
        <w:rPr>
          <w:rFonts w:cs="Times New Roman" w:eastAsiaTheme="minorEastAsia"/>
        </w:rPr>
        <w:instrText xml:space="preserve"> </w:instrText>
      </w:r>
      <w:r>
        <w:rPr>
          <w:rFonts w:hint="eastAsia" w:cs="Times New Roman" w:eastAsiaTheme="minorEastAsia"/>
        </w:rPr>
        <w:instrText xml:space="preserve">REF _Ref528244116 \r \h</w:instrText>
      </w:r>
      <w:r>
        <w:rPr>
          <w:rFonts w:cs="Times New Roman" w:eastAsiaTheme="minorEastAsia"/>
        </w:rPr>
        <w:instrText xml:space="preserve">  \* MERGEFORMAT </w:instrText>
      </w:r>
      <w:r>
        <w:rPr>
          <w:rFonts w:cs="Times New Roman" w:eastAsiaTheme="minorEastAsia"/>
        </w:rPr>
        <w:fldChar w:fldCharType="separate"/>
      </w:r>
      <w:r>
        <w:rPr>
          <w:rFonts w:cs="Times New Roman" w:eastAsiaTheme="minorEastAsia"/>
        </w:rPr>
        <w:t>1.6</w:t>
      </w:r>
      <w:r>
        <w:rPr>
          <w:rFonts w:cs="Times New Roman" w:eastAsiaTheme="minorEastAsia"/>
        </w:rPr>
        <w:fldChar w:fldCharType="end"/>
      </w:r>
      <w:r>
        <w:rPr>
          <w:rFonts w:hint="eastAsia" w:cs="Times New Roman" w:eastAsiaTheme="minorEastAsia"/>
        </w:rPr>
        <w:t>节。</w:t>
      </w:r>
    </w:p>
    <w:p>
      <w:pPr>
        <w:ind w:firstLine="480"/>
        <w:rPr>
          <w:rFonts w:cs="Times New Roman" w:eastAsiaTheme="minorEastAsia"/>
        </w:rPr>
      </w:pPr>
      <w:r>
        <w:rPr>
          <w:rFonts w:hint="eastAsia" w:cs="Times New Roman" w:eastAsiaTheme="minorEastAsia"/>
        </w:rPr>
        <w:t>生产设施风险识别范围包括厂区内部的主要生产装置、贮运系统、公用工程系统、工程环保设施及辅助生产设施。物质风险识别范围包括所使用的主要原辅材料、燃料、中间产品、最终产品以及生产过程排放的“三废”污染物等。</w:t>
      </w:r>
    </w:p>
    <w:p>
      <w:pPr>
        <w:ind w:firstLine="480"/>
        <w:rPr>
          <w:rFonts w:cs="Times New Roman" w:eastAsiaTheme="minorEastAsia"/>
        </w:rPr>
      </w:pPr>
      <w:r>
        <w:rPr>
          <w:rFonts w:hint="eastAsia" w:cs="Times New Roman" w:eastAsiaTheme="minorEastAsia"/>
        </w:rPr>
        <w:t>根据有毒有害物质放散起因，本项目可能出现的事故风险可分为火灾、爆炸和泄漏三种类型，因此考虑由此造成的污染物事故排放，本次评价不考虑自然灾害如地震、洪水、台风等引起的事故风险。</w:t>
      </w:r>
    </w:p>
    <w:p>
      <w:pPr>
        <w:pStyle w:val="6"/>
      </w:pPr>
      <w:r>
        <w:rPr>
          <w:rFonts w:hint="eastAsia"/>
        </w:rPr>
        <w:t>物质风险识别</w:t>
      </w:r>
    </w:p>
    <w:p>
      <w:pPr>
        <w:pStyle w:val="126"/>
        <w:numPr>
          <w:ilvl w:val="0"/>
          <w:numId w:val="63"/>
        </w:numPr>
        <w:ind w:firstLine="482"/>
      </w:pPr>
      <w:r>
        <w:rPr>
          <w:rFonts w:hint="eastAsia"/>
        </w:rPr>
        <w:t>产品风险辨识</w:t>
      </w:r>
    </w:p>
    <w:p>
      <w:pPr>
        <w:snapToGrid w:val="0"/>
        <w:ind w:firstLine="491" w:firstLineChars="205"/>
        <w:rPr>
          <w:rFonts w:eastAsiaTheme="minorEastAsia"/>
        </w:rPr>
      </w:pPr>
      <w:r>
        <w:rPr>
          <w:rFonts w:hint="eastAsia" w:eastAsiaTheme="minorEastAsia"/>
        </w:rPr>
        <w:t>本项目中间产品（混炼胶）、最终产品（橡胶脚轮）不属于危险化学品。</w:t>
      </w:r>
    </w:p>
    <w:p>
      <w:pPr>
        <w:pStyle w:val="126"/>
        <w:numPr>
          <w:ilvl w:val="0"/>
          <w:numId w:val="63"/>
        </w:numPr>
        <w:ind w:firstLine="482"/>
        <w:rPr>
          <w:rFonts w:eastAsiaTheme="minorEastAsia"/>
        </w:rPr>
      </w:pPr>
      <w:r>
        <w:rPr>
          <w:rFonts w:hint="eastAsia" w:eastAsiaTheme="minorEastAsia"/>
        </w:rPr>
        <w:t>主要原辅材料风险识别</w:t>
      </w:r>
    </w:p>
    <w:p>
      <w:pPr>
        <w:snapToGrid w:val="0"/>
        <w:ind w:firstLine="491" w:firstLineChars="205"/>
        <w:rPr>
          <w:rFonts w:eastAsiaTheme="minorEastAsia"/>
        </w:rPr>
      </w:pPr>
      <w:r>
        <w:rPr>
          <w:rFonts w:hint="eastAsia" w:eastAsiaTheme="minorEastAsia"/>
        </w:rPr>
        <w:t>本项目属于橡胶制品生产项目，所用的原辅材料有一定的有害性，尤其使用的硫磺粉等化工原料具有可燃等特性，项目使用的原辅材料理化性质及危险特性已在</w:t>
      </w:r>
      <w:r>
        <w:rPr>
          <w:rFonts w:eastAsiaTheme="minorEastAsia"/>
        </w:rPr>
        <w:fldChar w:fldCharType="begin"/>
      </w:r>
      <w:r>
        <w:rPr>
          <w:rFonts w:eastAsiaTheme="minorEastAsia"/>
        </w:rPr>
        <w:instrText xml:space="preserve"> </w:instrText>
      </w:r>
      <w:r>
        <w:rPr>
          <w:rFonts w:hint="eastAsia" w:eastAsiaTheme="minorEastAsia"/>
        </w:rPr>
        <w:instrText xml:space="preserve">REF _Ref528764784 \r \h</w:instrText>
      </w:r>
      <w:r>
        <w:rPr>
          <w:rFonts w:eastAsiaTheme="minorEastAsia"/>
        </w:rPr>
        <w:instrText xml:space="preserve">  \* MERGEFORMAT </w:instrText>
      </w:r>
      <w:r>
        <w:rPr>
          <w:rFonts w:eastAsiaTheme="minorEastAsia"/>
        </w:rPr>
        <w:fldChar w:fldCharType="separate"/>
      </w:r>
      <w:r>
        <w:rPr>
          <w:rFonts w:eastAsiaTheme="minorEastAsia"/>
        </w:rPr>
        <w:t>2.2.1</w:t>
      </w:r>
      <w:r>
        <w:rPr>
          <w:rFonts w:eastAsiaTheme="minorEastAsia"/>
        </w:rPr>
        <w:fldChar w:fldCharType="end"/>
      </w:r>
      <w:r>
        <w:rPr>
          <w:rFonts w:hint="eastAsia" w:eastAsiaTheme="minorEastAsia"/>
        </w:rPr>
        <w:t>小节</w:t>
      </w:r>
      <w:r>
        <w:rPr>
          <w:rFonts w:eastAsiaTheme="minorEastAsia"/>
        </w:rPr>
        <w:fldChar w:fldCharType="begin"/>
      </w:r>
      <w:r>
        <w:rPr>
          <w:rFonts w:eastAsiaTheme="minorEastAsia"/>
        </w:rPr>
        <w:instrText xml:space="preserve"> </w:instrText>
      </w:r>
      <w:r>
        <w:rPr>
          <w:rFonts w:hint="eastAsia" w:eastAsiaTheme="minorEastAsia"/>
        </w:rPr>
        <w:instrText xml:space="preserve">REF _Ref528764784 \h</w:instrText>
      </w:r>
      <w:r>
        <w:rPr>
          <w:rFonts w:eastAsiaTheme="minorEastAsia"/>
        </w:rPr>
        <w:instrText xml:space="preserve"> </w:instrText>
      </w:r>
      <w:r>
        <w:rPr>
          <w:rFonts w:eastAsiaTheme="minorEastAsia"/>
        </w:rPr>
        <w:fldChar w:fldCharType="separate"/>
      </w:r>
      <w:r>
        <w:rPr>
          <w:rFonts w:hint="eastAsia"/>
        </w:rPr>
        <w:t>主要</w:t>
      </w:r>
      <w:r>
        <w:t>原辅料</w:t>
      </w:r>
      <w:r>
        <w:rPr>
          <w:rFonts w:hint="eastAsia"/>
        </w:rPr>
        <w:t>消耗及理化性质</w:t>
      </w:r>
      <w:r>
        <w:rPr>
          <w:rFonts w:eastAsiaTheme="minorEastAsia"/>
        </w:rPr>
        <w:fldChar w:fldCharType="end"/>
      </w:r>
      <w:r>
        <w:rPr>
          <w:rFonts w:hint="eastAsia" w:eastAsiaTheme="minorEastAsia"/>
        </w:rPr>
        <w:t>进行陈述，本节不再进行阐述。</w:t>
      </w:r>
    </w:p>
    <w:p>
      <w:pPr>
        <w:pStyle w:val="126"/>
        <w:numPr>
          <w:ilvl w:val="0"/>
          <w:numId w:val="63"/>
        </w:numPr>
        <w:ind w:firstLine="482"/>
        <w:rPr>
          <w:rFonts w:eastAsiaTheme="minorEastAsia"/>
        </w:rPr>
      </w:pPr>
      <w:r>
        <w:rPr>
          <w:rFonts w:hint="eastAsia" w:eastAsiaTheme="minorEastAsia"/>
        </w:rPr>
        <w:t>重大危险源识别</w:t>
      </w:r>
    </w:p>
    <w:p>
      <w:pPr>
        <w:snapToGrid w:val="0"/>
        <w:ind w:firstLine="491" w:firstLineChars="205"/>
        <w:rPr>
          <w:rFonts w:eastAsiaTheme="minorEastAsia"/>
        </w:rPr>
      </w:pPr>
      <w:r>
        <w:rPr>
          <w:rFonts w:hint="eastAsia" w:eastAsiaTheme="minorEastAsia"/>
        </w:rPr>
        <w:t>有毒有害及易燃物质判定、重大危险源判定标准按照</w:t>
      </w:r>
      <w:r>
        <w:rPr>
          <w:rFonts w:eastAsiaTheme="minorEastAsia"/>
        </w:rPr>
        <w:t>《建设项目环境风险评价技术导则》（HJ 169-2018）</w:t>
      </w:r>
      <w:r>
        <w:rPr>
          <w:rFonts w:hint="eastAsia" w:eastAsiaTheme="minorEastAsia"/>
        </w:rPr>
        <w:t>附录</w:t>
      </w:r>
      <w:r>
        <w:rPr>
          <w:rFonts w:eastAsiaTheme="minorEastAsia"/>
        </w:rPr>
        <w:t>B</w:t>
      </w:r>
      <w:r>
        <w:rPr>
          <w:rFonts w:hint="eastAsia" w:eastAsiaTheme="minorEastAsia"/>
        </w:rPr>
        <w:t>中要求及《危险化学品重大危险源识别》（GB</w:t>
      </w:r>
      <w:r>
        <w:rPr>
          <w:rFonts w:eastAsiaTheme="minorEastAsia"/>
        </w:rPr>
        <w:t xml:space="preserve"> </w:t>
      </w:r>
      <w:r>
        <w:rPr>
          <w:rFonts w:hint="eastAsia" w:eastAsiaTheme="minorEastAsia"/>
        </w:rPr>
        <w:t>18218-20</w:t>
      </w:r>
      <w:r>
        <w:rPr>
          <w:rFonts w:eastAsiaTheme="minorEastAsia"/>
        </w:rPr>
        <w:t>18</w:t>
      </w:r>
      <w:r>
        <w:rPr>
          <w:rFonts w:hint="eastAsia" w:eastAsiaTheme="minorEastAsia"/>
        </w:rPr>
        <w:t>）确定，详见</w:t>
      </w:r>
      <w:r>
        <w:rPr>
          <w:rFonts w:eastAsiaTheme="minorEastAsia"/>
        </w:rPr>
        <w:fldChar w:fldCharType="begin"/>
      </w:r>
      <w:r>
        <w:rPr>
          <w:rFonts w:eastAsiaTheme="minorEastAsia"/>
        </w:rPr>
        <w:instrText xml:space="preserve"> </w:instrText>
      </w:r>
      <w:r>
        <w:rPr>
          <w:rFonts w:hint="eastAsia" w:eastAsiaTheme="minorEastAsia"/>
        </w:rPr>
        <w:instrText xml:space="preserve">REF _Ref528245028 \h</w:instrText>
      </w:r>
      <w:r>
        <w:rPr>
          <w:rFonts w:eastAsiaTheme="minorEastAsia"/>
        </w:rPr>
        <w:instrText xml:space="preserve">  \* MERGEFORMAT </w:instrText>
      </w:r>
      <w:r>
        <w:rPr>
          <w:rFonts w:eastAsiaTheme="minorEastAsia"/>
        </w:rPr>
        <w:fldChar w:fldCharType="separate"/>
      </w:r>
      <w:r>
        <w:rPr>
          <w:rFonts w:hint="eastAsia" w:eastAsiaTheme="minorEastAsia"/>
        </w:rPr>
        <w:t xml:space="preserve">表 </w:t>
      </w:r>
      <w:r>
        <w:rPr>
          <w:rFonts w:eastAsiaTheme="minorEastAsia"/>
        </w:rPr>
        <w:t>4.9</w:t>
      </w:r>
      <w:r>
        <w:rPr>
          <w:rFonts w:eastAsiaTheme="minorEastAsia"/>
        </w:rPr>
        <w:noBreakHyphen/>
      </w:r>
      <w:r>
        <w:rPr>
          <w:rFonts w:eastAsiaTheme="minorEastAsia"/>
        </w:rPr>
        <w:t>3</w:t>
      </w:r>
      <w:r>
        <w:rPr>
          <w:rFonts w:eastAsiaTheme="minorEastAsia"/>
        </w:rPr>
        <w:fldChar w:fldCharType="end"/>
      </w:r>
      <w:r>
        <w:rPr>
          <w:rFonts w:eastAsiaTheme="minorEastAsia"/>
        </w:rPr>
        <w:t>。</w:t>
      </w:r>
    </w:p>
    <w:p>
      <w:pPr>
        <w:pStyle w:val="18"/>
      </w:pPr>
      <w:bookmarkStart w:id="571" w:name="_Ref528245028"/>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4.9</w:t>
      </w:r>
      <w:r>
        <w:fldChar w:fldCharType="end"/>
      </w:r>
      <w:r>
        <w:noBreakHyphen/>
      </w:r>
      <w:bookmarkEnd w:id="571"/>
      <w:r>
        <w:t xml:space="preserve">3 </w:t>
      </w:r>
      <w:r>
        <w:rPr>
          <w:rFonts w:hint="eastAsia"/>
        </w:rPr>
        <w:t>物质危险性标准</w:t>
      </w:r>
    </w:p>
    <w:tbl>
      <w:tblPr>
        <w:tblStyle w:val="56"/>
        <w:tblW w:w="874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7"/>
        <w:gridCol w:w="709"/>
        <w:gridCol w:w="2410"/>
        <w:gridCol w:w="2410"/>
        <w:gridCol w:w="2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567" w:type="dxa"/>
            <w:tcMar>
              <w:left w:w="0" w:type="dxa"/>
              <w:right w:w="0" w:type="dxa"/>
            </w:tcMar>
            <w:vAlign w:val="center"/>
          </w:tcPr>
          <w:p>
            <w:pPr>
              <w:pStyle w:val="107"/>
            </w:pPr>
            <w:r>
              <w:t>物质类别</w:t>
            </w:r>
          </w:p>
        </w:tc>
        <w:tc>
          <w:tcPr>
            <w:tcW w:w="709" w:type="dxa"/>
            <w:vAlign w:val="center"/>
          </w:tcPr>
          <w:p>
            <w:pPr>
              <w:pStyle w:val="107"/>
            </w:pPr>
            <w:r>
              <w:rPr>
                <w:rFonts w:hint="eastAsia"/>
              </w:rPr>
              <w:t>序号</w:t>
            </w:r>
          </w:p>
        </w:tc>
        <w:tc>
          <w:tcPr>
            <w:tcW w:w="2410" w:type="dxa"/>
            <w:vAlign w:val="center"/>
          </w:tcPr>
          <w:p>
            <w:pPr>
              <w:pStyle w:val="107"/>
            </w:pPr>
            <w:r>
              <w:t>LD</w:t>
            </w:r>
            <w:r>
              <w:rPr>
                <w:vertAlign w:val="subscript"/>
              </w:rPr>
              <w:t>50</w:t>
            </w:r>
            <w:r>
              <w:t>（大鼠经口）mg/kg</w:t>
            </w:r>
          </w:p>
        </w:tc>
        <w:tc>
          <w:tcPr>
            <w:tcW w:w="2410" w:type="dxa"/>
            <w:vAlign w:val="center"/>
          </w:tcPr>
          <w:p>
            <w:pPr>
              <w:pStyle w:val="107"/>
            </w:pPr>
            <w:r>
              <w:t>LD</w:t>
            </w:r>
            <w:r>
              <w:rPr>
                <w:vertAlign w:val="subscript"/>
              </w:rPr>
              <w:t>50</w:t>
            </w:r>
            <w:r>
              <w:t>（大鼠经皮）mg/kg</w:t>
            </w:r>
          </w:p>
        </w:tc>
        <w:tc>
          <w:tcPr>
            <w:tcW w:w="2647" w:type="dxa"/>
            <w:vAlign w:val="center"/>
          </w:tcPr>
          <w:p>
            <w:pPr>
              <w:pStyle w:val="107"/>
            </w:pPr>
            <w:r>
              <w:t>LC</w:t>
            </w:r>
            <w:r>
              <w:rPr>
                <w:vertAlign w:val="subscript"/>
              </w:rPr>
              <w:t>50</w:t>
            </w:r>
            <w:r>
              <w:t>（小鼠吸入，4h）mg/L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67" w:type="dxa"/>
            <w:vMerge w:val="restart"/>
            <w:tcMar>
              <w:left w:w="0" w:type="dxa"/>
              <w:right w:w="0" w:type="dxa"/>
            </w:tcMar>
            <w:vAlign w:val="center"/>
          </w:tcPr>
          <w:p>
            <w:pPr>
              <w:pStyle w:val="107"/>
            </w:pPr>
            <w:r>
              <w:t>有毒物质</w:t>
            </w:r>
          </w:p>
        </w:tc>
        <w:tc>
          <w:tcPr>
            <w:tcW w:w="709" w:type="dxa"/>
            <w:vAlign w:val="center"/>
          </w:tcPr>
          <w:p>
            <w:pPr>
              <w:pStyle w:val="107"/>
            </w:pPr>
            <w:r>
              <w:t>1</w:t>
            </w:r>
          </w:p>
        </w:tc>
        <w:tc>
          <w:tcPr>
            <w:tcW w:w="2410" w:type="dxa"/>
            <w:vAlign w:val="center"/>
          </w:tcPr>
          <w:p>
            <w:pPr>
              <w:pStyle w:val="107"/>
            </w:pPr>
            <w:r>
              <w:t>＜5</w:t>
            </w:r>
          </w:p>
        </w:tc>
        <w:tc>
          <w:tcPr>
            <w:tcW w:w="2410" w:type="dxa"/>
            <w:vAlign w:val="center"/>
          </w:tcPr>
          <w:p>
            <w:pPr>
              <w:pStyle w:val="107"/>
            </w:pPr>
            <w:r>
              <w:t>＜1</w:t>
            </w:r>
          </w:p>
        </w:tc>
        <w:tc>
          <w:tcPr>
            <w:tcW w:w="2647" w:type="dxa"/>
            <w:vAlign w:val="center"/>
          </w:tcPr>
          <w:p>
            <w:pPr>
              <w:pStyle w:val="107"/>
            </w:pPr>
            <w: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67" w:type="dxa"/>
            <w:vMerge w:val="continue"/>
            <w:tcMar>
              <w:left w:w="0" w:type="dxa"/>
              <w:right w:w="0" w:type="dxa"/>
            </w:tcMar>
            <w:vAlign w:val="center"/>
          </w:tcPr>
          <w:p>
            <w:pPr>
              <w:pStyle w:val="107"/>
            </w:pPr>
          </w:p>
        </w:tc>
        <w:tc>
          <w:tcPr>
            <w:tcW w:w="709" w:type="dxa"/>
            <w:vAlign w:val="center"/>
          </w:tcPr>
          <w:p>
            <w:pPr>
              <w:pStyle w:val="107"/>
            </w:pPr>
            <w:r>
              <w:t>2</w:t>
            </w:r>
          </w:p>
        </w:tc>
        <w:tc>
          <w:tcPr>
            <w:tcW w:w="2410" w:type="dxa"/>
            <w:vAlign w:val="center"/>
          </w:tcPr>
          <w:p>
            <w:pPr>
              <w:pStyle w:val="107"/>
            </w:pPr>
            <w:r>
              <w:t>5＜LD</w:t>
            </w:r>
            <w:r>
              <w:rPr>
                <w:vertAlign w:val="subscript"/>
              </w:rPr>
              <w:t>50</w:t>
            </w:r>
            <w:r>
              <w:t>＜25</w:t>
            </w:r>
          </w:p>
        </w:tc>
        <w:tc>
          <w:tcPr>
            <w:tcW w:w="2410" w:type="dxa"/>
            <w:vAlign w:val="center"/>
          </w:tcPr>
          <w:p>
            <w:pPr>
              <w:pStyle w:val="107"/>
            </w:pPr>
            <w:r>
              <w:t>10＜LD</w:t>
            </w:r>
            <w:r>
              <w:rPr>
                <w:vertAlign w:val="subscript"/>
              </w:rPr>
              <w:t>50</w:t>
            </w:r>
            <w:r>
              <w:t>＜</w:t>
            </w:r>
            <w:r>
              <w:rPr>
                <w:vertAlign w:val="subscript"/>
              </w:rPr>
              <w:t>50</w:t>
            </w:r>
          </w:p>
        </w:tc>
        <w:tc>
          <w:tcPr>
            <w:tcW w:w="2647" w:type="dxa"/>
            <w:vAlign w:val="center"/>
          </w:tcPr>
          <w:p>
            <w:pPr>
              <w:pStyle w:val="107"/>
            </w:pPr>
            <w:r>
              <w:t>0.1＜LC</w:t>
            </w:r>
            <w:r>
              <w:rPr>
                <w:vertAlign w:val="subscript"/>
              </w:rPr>
              <w:t>50</w:t>
            </w:r>
            <w: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67" w:type="dxa"/>
            <w:vMerge w:val="continue"/>
            <w:tcMar>
              <w:left w:w="0" w:type="dxa"/>
              <w:right w:w="0" w:type="dxa"/>
            </w:tcMar>
            <w:vAlign w:val="center"/>
          </w:tcPr>
          <w:p>
            <w:pPr>
              <w:pStyle w:val="107"/>
            </w:pPr>
          </w:p>
        </w:tc>
        <w:tc>
          <w:tcPr>
            <w:tcW w:w="709" w:type="dxa"/>
            <w:vAlign w:val="center"/>
          </w:tcPr>
          <w:p>
            <w:pPr>
              <w:pStyle w:val="107"/>
            </w:pPr>
            <w:r>
              <w:t>3</w:t>
            </w:r>
          </w:p>
        </w:tc>
        <w:tc>
          <w:tcPr>
            <w:tcW w:w="2410" w:type="dxa"/>
            <w:vAlign w:val="center"/>
          </w:tcPr>
          <w:p>
            <w:pPr>
              <w:pStyle w:val="107"/>
            </w:pPr>
            <w:r>
              <w:t>25＜LD</w:t>
            </w:r>
            <w:r>
              <w:rPr>
                <w:vertAlign w:val="subscript"/>
              </w:rPr>
              <w:t>50</w:t>
            </w:r>
            <w:r>
              <w:t>＜200</w:t>
            </w:r>
          </w:p>
        </w:tc>
        <w:tc>
          <w:tcPr>
            <w:tcW w:w="2410" w:type="dxa"/>
            <w:vAlign w:val="center"/>
          </w:tcPr>
          <w:p>
            <w:pPr>
              <w:pStyle w:val="107"/>
            </w:pPr>
            <w:r>
              <w:rPr>
                <w:vertAlign w:val="subscript"/>
              </w:rPr>
              <w:t>50</w:t>
            </w:r>
            <w:r>
              <w:t>＜LD</w:t>
            </w:r>
            <w:r>
              <w:rPr>
                <w:vertAlign w:val="subscript"/>
              </w:rPr>
              <w:t>50</w:t>
            </w:r>
            <w:r>
              <w:t>＜400</w:t>
            </w:r>
          </w:p>
        </w:tc>
        <w:tc>
          <w:tcPr>
            <w:tcW w:w="2647" w:type="dxa"/>
            <w:vAlign w:val="center"/>
          </w:tcPr>
          <w:p>
            <w:pPr>
              <w:pStyle w:val="107"/>
            </w:pPr>
            <w:r>
              <w:t>0.5＜LC</w:t>
            </w:r>
            <w:r>
              <w:rPr>
                <w:vertAlign w:val="subscript"/>
              </w:rPr>
              <w:t>50</w:t>
            </w: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67" w:type="dxa"/>
            <w:vMerge w:val="restart"/>
            <w:tcMar>
              <w:left w:w="0" w:type="dxa"/>
              <w:right w:w="0" w:type="dxa"/>
            </w:tcMar>
            <w:vAlign w:val="center"/>
          </w:tcPr>
          <w:p>
            <w:pPr>
              <w:pStyle w:val="107"/>
            </w:pPr>
            <w:r>
              <w:t>易燃物质</w:t>
            </w:r>
          </w:p>
        </w:tc>
        <w:tc>
          <w:tcPr>
            <w:tcW w:w="709" w:type="dxa"/>
            <w:vAlign w:val="center"/>
          </w:tcPr>
          <w:p>
            <w:pPr>
              <w:pStyle w:val="107"/>
            </w:pPr>
            <w:r>
              <w:t>1</w:t>
            </w:r>
          </w:p>
        </w:tc>
        <w:tc>
          <w:tcPr>
            <w:tcW w:w="7467" w:type="dxa"/>
            <w:gridSpan w:val="3"/>
            <w:vAlign w:val="center"/>
          </w:tcPr>
          <w:p>
            <w:pPr>
              <w:pStyle w:val="107"/>
              <w:jc w:val="left"/>
            </w:pPr>
            <w:r>
              <w:t>可燃气体：在常压下以气态存在并与空气混合形成可燃混合物；其沸点（常压下）是20</w:t>
            </w:r>
            <w:r>
              <w:rPr>
                <w:rFonts w:hint="eastAsia"/>
              </w:rPr>
              <w:t>℃</w:t>
            </w:r>
            <w:r>
              <w:t>或20</w:t>
            </w:r>
            <w:r>
              <w:rPr>
                <w:rFonts w:hint="eastAsia"/>
              </w:rPr>
              <w:t>℃</w:t>
            </w:r>
            <w:r>
              <w:t>以下的物质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67" w:type="dxa"/>
            <w:vMerge w:val="continue"/>
            <w:tcMar>
              <w:left w:w="0" w:type="dxa"/>
              <w:right w:w="0" w:type="dxa"/>
            </w:tcMar>
            <w:vAlign w:val="center"/>
          </w:tcPr>
          <w:p>
            <w:pPr>
              <w:pStyle w:val="107"/>
            </w:pPr>
          </w:p>
        </w:tc>
        <w:tc>
          <w:tcPr>
            <w:tcW w:w="709" w:type="dxa"/>
            <w:vAlign w:val="center"/>
          </w:tcPr>
          <w:p>
            <w:pPr>
              <w:pStyle w:val="107"/>
            </w:pPr>
            <w:r>
              <w:t>2</w:t>
            </w:r>
          </w:p>
        </w:tc>
        <w:tc>
          <w:tcPr>
            <w:tcW w:w="7467" w:type="dxa"/>
            <w:gridSpan w:val="3"/>
            <w:vAlign w:val="center"/>
          </w:tcPr>
          <w:p>
            <w:pPr>
              <w:pStyle w:val="107"/>
              <w:jc w:val="left"/>
            </w:pPr>
            <w:r>
              <w:t>易燃液体：闪点低于21</w:t>
            </w:r>
            <w:r>
              <w:rPr>
                <w:rFonts w:hint="eastAsia"/>
              </w:rPr>
              <w:t>℃</w:t>
            </w:r>
            <w:r>
              <w:t>，沸点高于20</w:t>
            </w:r>
            <w:r>
              <w:rPr>
                <w:rFonts w:hint="eastAsia"/>
              </w:rPr>
              <w:t>℃</w:t>
            </w:r>
            <w:r>
              <w:t>的物质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67" w:type="dxa"/>
            <w:vMerge w:val="continue"/>
            <w:tcMar>
              <w:left w:w="0" w:type="dxa"/>
              <w:right w:w="0" w:type="dxa"/>
            </w:tcMar>
            <w:vAlign w:val="center"/>
          </w:tcPr>
          <w:p>
            <w:pPr>
              <w:pStyle w:val="107"/>
            </w:pPr>
          </w:p>
        </w:tc>
        <w:tc>
          <w:tcPr>
            <w:tcW w:w="709" w:type="dxa"/>
            <w:vAlign w:val="center"/>
          </w:tcPr>
          <w:p>
            <w:pPr>
              <w:pStyle w:val="107"/>
            </w:pPr>
            <w:r>
              <w:t>3</w:t>
            </w:r>
          </w:p>
        </w:tc>
        <w:tc>
          <w:tcPr>
            <w:tcW w:w="7467" w:type="dxa"/>
            <w:gridSpan w:val="3"/>
            <w:vAlign w:val="center"/>
          </w:tcPr>
          <w:p>
            <w:pPr>
              <w:pStyle w:val="107"/>
              <w:jc w:val="left"/>
            </w:pPr>
            <w:r>
              <w:t>可燃液体：闪点低于55</w:t>
            </w:r>
            <w:r>
              <w:rPr>
                <w:rFonts w:hint="eastAsia"/>
              </w:rPr>
              <w:t>℃</w:t>
            </w:r>
            <w:r>
              <w:t>，压力下保持液态，在实际操作条件下（如高温高压）可以引起重大事故的物质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276" w:type="dxa"/>
            <w:gridSpan w:val="2"/>
            <w:tcMar>
              <w:left w:w="0" w:type="dxa"/>
              <w:right w:w="0" w:type="dxa"/>
            </w:tcMar>
            <w:vAlign w:val="center"/>
          </w:tcPr>
          <w:p>
            <w:pPr>
              <w:pStyle w:val="107"/>
            </w:pPr>
            <w:r>
              <w:t>爆炸性物质</w:t>
            </w:r>
          </w:p>
        </w:tc>
        <w:tc>
          <w:tcPr>
            <w:tcW w:w="7467" w:type="dxa"/>
            <w:gridSpan w:val="3"/>
            <w:vAlign w:val="center"/>
          </w:tcPr>
          <w:p>
            <w:pPr>
              <w:pStyle w:val="107"/>
              <w:jc w:val="left"/>
            </w:pPr>
            <w:r>
              <w:t>在火焰影响下可以爆炸，或者对冲击、摩擦比硝基苯更为敏感的物质</w:t>
            </w:r>
          </w:p>
        </w:tc>
      </w:tr>
    </w:tbl>
    <w:p>
      <w:pPr>
        <w:pStyle w:val="107"/>
        <w:jc w:val="left"/>
      </w:pPr>
      <w:r>
        <w:t>注：</w:t>
      </w:r>
      <w:r>
        <w:rPr>
          <w:rFonts w:hint="eastAsia"/>
        </w:rPr>
        <w:t>凡符合表中</w:t>
      </w:r>
      <w:r>
        <w:t>有毒物质判定标准序号为1、2的物质，属于剧毒物质；符合有毒物质判定标准序号3的属于一般毒物。凡符合表中易燃物质和爆炸性物质标准的物质，均视为火灾、爆炸危险物质</w:t>
      </w:r>
      <w:r>
        <w:rPr>
          <w:rFonts w:hint="eastAsia"/>
        </w:rPr>
        <w:t>。</w:t>
      </w:r>
    </w:p>
    <w:p>
      <w:pPr>
        <w:ind w:firstLine="480"/>
        <w:rPr>
          <w:rFonts w:eastAsiaTheme="minorEastAsia"/>
        </w:rPr>
      </w:pPr>
      <w:r>
        <w:rPr>
          <w:rFonts w:hint="eastAsia" w:eastAsiaTheme="minorEastAsia"/>
        </w:rPr>
        <w:t>重大危险源是指长期或临时地生产、加工、搬运、使用或贮存危险物质，且危险物质的数量等于或超过临界量的单元。单元是指一个（套）生产装置、设置或场所，或同属于一个工厂的且边缘距离小于500m的几个（套）生产装置、设置或场所。单元内存在的危险物质为单一品种，则该物质的数量即为单元内危险物质的总量，若等于或超过相应的临界量，则定为重大危险源。</w:t>
      </w:r>
    </w:p>
    <w:p>
      <w:pPr>
        <w:ind w:firstLine="480"/>
        <w:rPr>
          <w:rFonts w:cs="Times New Roman" w:eastAsiaTheme="minorEastAsia"/>
        </w:rPr>
      </w:pPr>
      <w:r>
        <w:rPr>
          <w:rFonts w:hint="eastAsia" w:eastAsiaTheme="minorEastAsia"/>
        </w:rPr>
        <w:t>本项目所用化学品主要为天然胶、合成胶、石粉、硬脂酸、氧化锌、钛白粉、白炭黑、硫磺粉等</w:t>
      </w:r>
      <w:r>
        <w:rPr>
          <w:rFonts w:hint="eastAsia" w:cs="Times New Roman" w:eastAsiaTheme="minorEastAsia"/>
        </w:rPr>
        <w:t>。</w:t>
      </w:r>
      <w:r>
        <w:rPr>
          <w:rFonts w:hint="eastAsia" w:eastAsiaTheme="minorEastAsia"/>
        </w:rPr>
        <w:t>根据《危险化学品重大危险源辨识》（GB</w:t>
      </w:r>
      <w:r>
        <w:rPr>
          <w:rFonts w:eastAsiaTheme="minorEastAsia"/>
        </w:rPr>
        <w:t xml:space="preserve"> </w:t>
      </w:r>
      <w:r>
        <w:rPr>
          <w:rFonts w:hint="eastAsia" w:eastAsiaTheme="minorEastAsia"/>
        </w:rPr>
        <w:t>18218-20</w:t>
      </w:r>
      <w:r>
        <w:rPr>
          <w:rFonts w:eastAsiaTheme="minorEastAsia"/>
        </w:rPr>
        <w:t>18</w:t>
      </w:r>
      <w:r>
        <w:rPr>
          <w:rFonts w:hint="eastAsia" w:eastAsiaTheme="minorEastAsia"/>
        </w:rPr>
        <w:t>）、《建设项目环境风险评价技术导则》（HJ</w:t>
      </w:r>
      <w:r>
        <w:rPr>
          <w:rFonts w:eastAsiaTheme="minorEastAsia"/>
        </w:rPr>
        <w:t xml:space="preserve"> </w:t>
      </w:r>
      <w:r>
        <w:rPr>
          <w:rFonts w:hint="eastAsia" w:eastAsiaTheme="minorEastAsia"/>
        </w:rPr>
        <w:t>169-20</w:t>
      </w:r>
      <w:r>
        <w:rPr>
          <w:rFonts w:eastAsiaTheme="minorEastAsia"/>
        </w:rPr>
        <w:t>18</w:t>
      </w:r>
      <w:r>
        <w:rPr>
          <w:rFonts w:hint="eastAsia" w:eastAsiaTheme="minorEastAsia"/>
        </w:rPr>
        <w:t>）</w:t>
      </w:r>
      <w:r>
        <w:rPr>
          <w:rFonts w:eastAsiaTheme="minorEastAsia"/>
        </w:rPr>
        <w:t>附录B</w:t>
      </w:r>
      <w:r>
        <w:rPr>
          <w:rFonts w:hint="eastAsia" w:eastAsiaTheme="minorEastAsia"/>
        </w:rPr>
        <w:t>中</w:t>
      </w:r>
      <w:r>
        <w:rPr>
          <w:rFonts w:eastAsiaTheme="minorEastAsia"/>
        </w:rPr>
        <w:t xml:space="preserve"> “危险性标准”</w:t>
      </w:r>
      <w:r>
        <w:rPr>
          <w:rFonts w:hint="eastAsia" w:eastAsiaTheme="minorEastAsia"/>
        </w:rPr>
        <w:t>和《危险货物品名表》（GB</w:t>
      </w:r>
      <w:r>
        <w:rPr>
          <w:rFonts w:eastAsiaTheme="minorEastAsia"/>
        </w:rPr>
        <w:t xml:space="preserve"> </w:t>
      </w:r>
      <w:r>
        <w:rPr>
          <w:rFonts w:hint="eastAsia" w:eastAsiaTheme="minorEastAsia"/>
        </w:rPr>
        <w:t>12268-2012）、《危险化学品目录</w:t>
      </w:r>
      <w:r>
        <w:rPr>
          <w:rFonts w:cs="Times New Roman" w:eastAsiaTheme="minorEastAsia"/>
        </w:rPr>
        <w:t>（2015版）</w:t>
      </w:r>
      <w:r>
        <w:rPr>
          <w:rFonts w:hint="eastAsia" w:eastAsiaTheme="minorEastAsia"/>
        </w:rPr>
        <w:t>》</w:t>
      </w:r>
      <w:r>
        <w:rPr>
          <w:rFonts w:eastAsiaTheme="minorEastAsia"/>
        </w:rPr>
        <w:t>，对本项目所使用主要化学品的基本化学性质进行危险性判别。</w:t>
      </w:r>
      <w:r>
        <w:rPr>
          <w:rFonts w:hint="eastAsia" w:eastAsiaTheme="minorEastAsia"/>
        </w:rPr>
        <w:t>辨识情况</w:t>
      </w:r>
      <w:r>
        <w:rPr>
          <w:rFonts w:hint="eastAsia" w:cs="Times New Roman" w:eastAsiaTheme="minorEastAsia"/>
        </w:rPr>
        <w:t>见</w:t>
      </w:r>
      <w:r>
        <w:rPr>
          <w:rFonts w:cs="Times New Roman" w:eastAsiaTheme="minorEastAsia"/>
        </w:rPr>
        <w:fldChar w:fldCharType="begin"/>
      </w:r>
      <w:r>
        <w:rPr>
          <w:rFonts w:cs="Times New Roman" w:eastAsiaTheme="minorEastAsia"/>
        </w:rPr>
        <w:instrText xml:space="preserve"> </w:instrText>
      </w:r>
      <w:r>
        <w:rPr>
          <w:rFonts w:hint="eastAsia" w:cs="Times New Roman" w:eastAsiaTheme="minorEastAsia"/>
        </w:rPr>
        <w:instrText xml:space="preserve">REF _Ref528768669 \h</w:instrText>
      </w:r>
      <w:r>
        <w:rPr>
          <w:rFonts w:cs="Times New Roman" w:eastAsiaTheme="minorEastAsia"/>
        </w:rPr>
        <w:instrText xml:space="preserve">  \* MERGEFORMAT </w:instrText>
      </w:r>
      <w:r>
        <w:rPr>
          <w:rFonts w:cs="Times New Roman" w:eastAsiaTheme="minorEastAsia"/>
        </w:rPr>
        <w:fldChar w:fldCharType="separate"/>
      </w:r>
      <w:r>
        <w:rPr>
          <w:rFonts w:hint="eastAsia" w:eastAsiaTheme="minorEastAsia"/>
        </w:rPr>
        <w:t xml:space="preserve">表 </w:t>
      </w:r>
      <w:r>
        <w:rPr>
          <w:rFonts w:eastAsiaTheme="minorEastAsia"/>
        </w:rPr>
        <w:t>4.9</w:t>
      </w:r>
      <w:r>
        <w:rPr>
          <w:rFonts w:eastAsiaTheme="minorEastAsia"/>
        </w:rPr>
        <w:noBreakHyphen/>
      </w:r>
      <w:r>
        <w:rPr>
          <w:rFonts w:eastAsiaTheme="minorEastAsia"/>
        </w:rPr>
        <w:t>4</w:t>
      </w:r>
      <w:r>
        <w:rPr>
          <w:rFonts w:cs="Times New Roman" w:eastAsiaTheme="minorEastAsia"/>
        </w:rPr>
        <w:fldChar w:fldCharType="end"/>
      </w:r>
      <w:r>
        <w:rPr>
          <w:rFonts w:hint="eastAsia" w:cs="Times New Roman" w:eastAsiaTheme="minorEastAsia"/>
        </w:rPr>
        <w:t>。</w:t>
      </w:r>
    </w:p>
    <w:p>
      <w:pPr>
        <w:pStyle w:val="18"/>
      </w:pPr>
      <w:bookmarkStart w:id="572" w:name="_Ref528768669"/>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4.9</w:t>
      </w:r>
      <w:r>
        <w:fldChar w:fldCharType="end"/>
      </w:r>
      <w:r>
        <w:noBreakHyphen/>
      </w:r>
      <w:bookmarkEnd w:id="572"/>
      <w:r>
        <w:t>4</w:t>
      </w:r>
      <w:r>
        <w:rPr>
          <w:rFonts w:hint="eastAsia"/>
        </w:rPr>
        <w:t>危险化学品重大危险源辨识情况</w:t>
      </w:r>
    </w:p>
    <w:tbl>
      <w:tblPr>
        <w:tblStyle w:val="56"/>
        <w:tblW w:w="9060" w:type="dxa"/>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1210"/>
        <w:gridCol w:w="1174"/>
        <w:gridCol w:w="3253"/>
        <w:gridCol w:w="1410"/>
        <w:gridCol w:w="1049"/>
        <w:gridCol w:w="964"/>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1210" w:type="dxa"/>
            <w:tcBorders>
              <w:tl2br w:val="nil"/>
              <w:tr2bl w:val="nil"/>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物质名称</w:t>
            </w:r>
          </w:p>
        </w:tc>
        <w:tc>
          <w:tcPr>
            <w:tcW w:w="1174" w:type="dxa"/>
            <w:tcBorders>
              <w:tl2br w:val="nil"/>
              <w:tr2bl w:val="nil"/>
            </w:tcBorders>
            <w:vAlign w:val="center"/>
          </w:tcPr>
          <w:p>
            <w:pPr>
              <w:spacing w:line="240" w:lineRule="auto"/>
              <w:ind w:firstLine="0" w:firstLineChars="0"/>
              <w:jc w:val="center"/>
              <w:rPr>
                <w:rFonts w:cs="Times New Roman" w:eastAsiaTheme="minorEastAsia"/>
                <w:b/>
                <w:sz w:val="21"/>
                <w:szCs w:val="21"/>
              </w:rPr>
            </w:pPr>
            <w:r>
              <w:rPr>
                <w:rFonts w:hint="eastAsia" w:cs="Times New Roman" w:eastAsiaTheme="minorEastAsia"/>
                <w:b/>
                <w:sz w:val="21"/>
                <w:szCs w:val="21"/>
              </w:rPr>
              <w:t>C</w:t>
            </w:r>
            <w:r>
              <w:rPr>
                <w:rFonts w:cs="Times New Roman" w:eastAsiaTheme="minorEastAsia"/>
                <w:b/>
                <w:sz w:val="21"/>
                <w:szCs w:val="21"/>
              </w:rPr>
              <w:t>AS</w:t>
            </w:r>
            <w:r>
              <w:rPr>
                <w:rFonts w:hint="eastAsia" w:cs="Times New Roman" w:eastAsiaTheme="minorEastAsia"/>
                <w:b/>
                <w:sz w:val="21"/>
                <w:szCs w:val="21"/>
              </w:rPr>
              <w:t>号</w:t>
            </w:r>
          </w:p>
        </w:tc>
        <w:tc>
          <w:tcPr>
            <w:tcW w:w="3253" w:type="dxa"/>
            <w:tcBorders>
              <w:tl2br w:val="nil"/>
              <w:tr2bl w:val="nil"/>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危险性</w:t>
            </w:r>
            <w:r>
              <w:rPr>
                <w:rFonts w:hint="eastAsia" w:cs="Times New Roman" w:eastAsiaTheme="minorEastAsia"/>
                <w:b/>
                <w:sz w:val="21"/>
                <w:szCs w:val="21"/>
              </w:rPr>
              <w:t>类别</w:t>
            </w:r>
          </w:p>
        </w:tc>
        <w:tc>
          <w:tcPr>
            <w:tcW w:w="1410" w:type="dxa"/>
            <w:tcBorders>
              <w:tl2br w:val="nil"/>
              <w:tr2bl w:val="nil"/>
            </w:tcBorders>
            <w:vAlign w:val="center"/>
          </w:tcPr>
          <w:p>
            <w:pPr>
              <w:spacing w:line="240" w:lineRule="auto"/>
              <w:ind w:firstLine="0" w:firstLineChars="0"/>
              <w:jc w:val="center"/>
              <w:rPr>
                <w:rFonts w:cs="Times New Roman" w:eastAsiaTheme="minorEastAsia"/>
                <w:b/>
                <w:sz w:val="21"/>
                <w:szCs w:val="21"/>
              </w:rPr>
            </w:pPr>
            <w:r>
              <w:rPr>
                <w:rFonts w:hint="eastAsia" w:cs="Times New Roman" w:eastAsiaTheme="minorEastAsia"/>
                <w:b/>
                <w:sz w:val="21"/>
                <w:szCs w:val="21"/>
              </w:rPr>
              <w:t>厂内存在</w:t>
            </w:r>
            <w:r>
              <w:rPr>
                <w:rFonts w:cs="Times New Roman" w:eastAsiaTheme="minorEastAsia"/>
                <w:b/>
                <w:sz w:val="21"/>
                <w:szCs w:val="21"/>
              </w:rPr>
              <w:t>量（t）</w:t>
            </w:r>
          </w:p>
        </w:tc>
        <w:tc>
          <w:tcPr>
            <w:tcW w:w="1049" w:type="dxa"/>
            <w:tcBorders>
              <w:tl2br w:val="nil"/>
              <w:tr2bl w:val="nil"/>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临界量</w:t>
            </w:r>
            <w:r>
              <w:rPr>
                <w:rFonts w:hint="eastAsia" w:cs="Times New Roman" w:eastAsiaTheme="minorEastAsia"/>
                <w:b/>
                <w:sz w:val="21"/>
                <w:szCs w:val="21"/>
              </w:rPr>
              <w:t>（</w:t>
            </w:r>
            <w:r>
              <w:rPr>
                <w:rFonts w:cs="Times New Roman" w:eastAsiaTheme="minorEastAsia"/>
                <w:b/>
                <w:sz w:val="21"/>
                <w:szCs w:val="21"/>
              </w:rPr>
              <w:t>t</w:t>
            </w:r>
            <w:r>
              <w:rPr>
                <w:rFonts w:hint="eastAsia" w:cs="Times New Roman" w:eastAsiaTheme="minorEastAsia"/>
                <w:b/>
                <w:sz w:val="21"/>
                <w:szCs w:val="21"/>
              </w:rPr>
              <w:t>）</w:t>
            </w:r>
          </w:p>
        </w:tc>
        <w:tc>
          <w:tcPr>
            <w:tcW w:w="964" w:type="dxa"/>
            <w:tcBorders>
              <w:tl2br w:val="nil"/>
              <w:tr2bl w:val="nil"/>
            </w:tcBorders>
            <w:shd w:val="clear" w:color="auto" w:fill="auto"/>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q/Q</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1210"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硫磺粉</w:t>
            </w:r>
          </w:p>
        </w:tc>
        <w:tc>
          <w:tcPr>
            <w:tcW w:w="1174" w:type="dxa"/>
            <w:tcBorders>
              <w:tl2br w:val="nil"/>
              <w:tr2bl w:val="nil"/>
            </w:tcBorders>
            <w:vAlign w:val="center"/>
          </w:tcPr>
          <w:p>
            <w:pPr>
              <w:pStyle w:val="107"/>
            </w:pPr>
            <w:r>
              <w:rPr>
                <w:rFonts w:hint="eastAsia"/>
              </w:rPr>
              <w:t>7704-34-9</w:t>
            </w:r>
          </w:p>
        </w:tc>
        <w:tc>
          <w:tcPr>
            <w:tcW w:w="3253" w:type="dxa"/>
            <w:tcBorders>
              <w:tl2br w:val="nil"/>
              <w:tr2bl w:val="nil"/>
            </w:tcBorders>
            <w:vAlign w:val="center"/>
          </w:tcPr>
          <w:p>
            <w:pPr>
              <w:pStyle w:val="107"/>
            </w:pPr>
            <w:r>
              <w:rPr>
                <w:rFonts w:hint="eastAsia"/>
              </w:rPr>
              <w:t>易燃固体，类别2</w:t>
            </w:r>
          </w:p>
        </w:tc>
        <w:tc>
          <w:tcPr>
            <w:tcW w:w="1410"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0.5</w:t>
            </w:r>
          </w:p>
        </w:tc>
        <w:tc>
          <w:tcPr>
            <w:tcW w:w="1049"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200</w:t>
            </w:r>
          </w:p>
        </w:tc>
        <w:tc>
          <w:tcPr>
            <w:tcW w:w="964" w:type="dxa"/>
            <w:tcBorders>
              <w:tl2br w:val="nil"/>
              <w:tr2bl w:val="nil"/>
            </w:tcBorders>
            <w:vAlign w:val="center"/>
          </w:tcPr>
          <w:p>
            <w:pPr>
              <w:spacing w:line="240" w:lineRule="auto"/>
              <w:ind w:firstLine="0" w:firstLineChars="0"/>
              <w:jc w:val="center"/>
              <w:textAlignment w:val="center"/>
              <w:rPr>
                <w:rFonts w:cs="Times New Roman" w:eastAsiaTheme="minorEastAsia"/>
                <w:sz w:val="21"/>
                <w:szCs w:val="21"/>
              </w:rPr>
            </w:pPr>
            <w:r>
              <w:rPr>
                <w:rFonts w:cs="Times New Roman" w:eastAsiaTheme="minorEastAsia"/>
                <w:sz w:val="21"/>
                <w:szCs w:val="21"/>
                <w:lang w:bidi="ar"/>
              </w:rPr>
              <w:t>0.0025</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454" w:hRule="atLeast"/>
        </w:trPr>
        <w:tc>
          <w:tcPr>
            <w:tcW w:w="9060" w:type="dxa"/>
            <w:gridSpan w:val="6"/>
            <w:tcBorders>
              <w:tl2br w:val="nil"/>
              <w:tr2bl w:val="nil"/>
            </w:tcBorders>
            <w:vAlign w:val="center"/>
          </w:tcPr>
          <w:p>
            <w:pPr>
              <w:spacing w:line="240" w:lineRule="auto"/>
              <w:ind w:firstLine="0" w:firstLineChars="0"/>
              <w:jc w:val="center"/>
              <w:textAlignment w:val="center"/>
              <w:rPr>
                <w:rFonts w:cs="Times New Roman" w:eastAsiaTheme="minorEastAsia"/>
                <w:sz w:val="22"/>
                <w:szCs w:val="22"/>
                <w:lang w:bidi="ar"/>
              </w:rPr>
            </w:pPr>
            <w:r>
              <w:rPr>
                <w:rFonts w:cs="Times New Roman" w:eastAsiaTheme="minorEastAsia"/>
                <w:sz w:val="21"/>
                <w:szCs w:val="21"/>
              </w:rPr>
              <w:t>∑q/Q=0.0025&lt;1</w:t>
            </w:r>
            <w:r>
              <w:rPr>
                <w:rFonts w:hint="eastAsia" w:cs="Times New Roman" w:eastAsiaTheme="minorEastAsia"/>
                <w:sz w:val="21"/>
                <w:szCs w:val="21"/>
              </w:rPr>
              <w:t>，为非重大危险源</w:t>
            </w:r>
          </w:p>
        </w:tc>
      </w:tr>
    </w:tbl>
    <w:p>
      <w:pPr>
        <w:ind w:firstLine="480"/>
        <w:rPr>
          <w:rFonts w:cs="Times New Roman" w:eastAsiaTheme="minorEastAsia"/>
        </w:rPr>
      </w:pPr>
      <w:r>
        <w:rPr>
          <w:rFonts w:hint="eastAsia" w:eastAsiaTheme="minorEastAsia"/>
        </w:rPr>
        <w:t>根据《危险化学品目录</w:t>
      </w:r>
      <w:r>
        <w:rPr>
          <w:rFonts w:cs="Times New Roman" w:eastAsiaTheme="minorEastAsia"/>
        </w:rPr>
        <w:t>（2015版）</w:t>
      </w:r>
      <w:r>
        <w:rPr>
          <w:rFonts w:hint="eastAsia" w:eastAsiaTheme="minorEastAsia"/>
        </w:rPr>
        <w:t>》，</w:t>
      </w:r>
      <w:r>
        <w:rPr>
          <w:rFonts w:hint="eastAsia" w:cs="Times New Roman" w:eastAsiaTheme="minorEastAsia"/>
        </w:rPr>
        <w:t>项目使用的原料中，除硫磺粉外，其余原辅材料均不属于危险化学品。</w:t>
      </w:r>
      <w:r>
        <w:rPr>
          <w:rFonts w:hint="eastAsia" w:eastAsiaTheme="minorEastAsia"/>
        </w:rPr>
        <w:t>硫磺粉根据</w:t>
      </w:r>
      <w:r>
        <w:rPr>
          <w:rFonts w:hint="eastAsia" w:cs="Times New Roman" w:eastAsiaTheme="minorEastAsia"/>
        </w:rPr>
        <w:t>GB</w:t>
      </w:r>
      <w:r>
        <w:rPr>
          <w:rFonts w:cs="Times New Roman" w:eastAsiaTheme="minorEastAsia"/>
        </w:rPr>
        <w:t xml:space="preserve"> </w:t>
      </w:r>
      <w:r>
        <w:rPr>
          <w:rFonts w:hint="eastAsia" w:cs="Times New Roman" w:eastAsiaTheme="minorEastAsia"/>
        </w:rPr>
        <w:t>18218-2009中表2确定其临界量，核算得出∑q/Q=0.0</w:t>
      </w:r>
      <w:r>
        <w:rPr>
          <w:rFonts w:cs="Times New Roman" w:eastAsiaTheme="minorEastAsia"/>
        </w:rPr>
        <w:t>025</w:t>
      </w:r>
      <w:r>
        <w:rPr>
          <w:rFonts w:hint="eastAsia" w:cs="Times New Roman" w:eastAsiaTheme="minorEastAsia"/>
        </w:rPr>
        <w:t>&lt;1，不构成重大危险源。但是危险区域也有潜在的泄漏、火灾和爆炸的危险，一旦发生意外事故也将造成人员、财产、环境的严重危害。</w:t>
      </w:r>
    </w:p>
    <w:p>
      <w:pPr>
        <w:pStyle w:val="6"/>
      </w:pPr>
      <w:r>
        <w:rPr>
          <w:rFonts w:hint="eastAsia"/>
        </w:rPr>
        <w:t>生产过程潜在危险识别</w:t>
      </w:r>
    </w:p>
    <w:p>
      <w:pPr>
        <w:ind w:firstLine="480"/>
      </w:pPr>
      <w:r>
        <w:rPr>
          <w:rFonts w:hint="eastAsia"/>
        </w:rPr>
        <w:t>本项目使用的原料、生产的产品，有一定危险物质，通过对项目生产工艺过程和生产设备分析，确定存在的危险因素主要有毒有害物质泄漏、火灾、爆炸等。</w:t>
      </w:r>
    </w:p>
    <w:p>
      <w:pPr>
        <w:adjustRightInd w:val="0"/>
        <w:snapToGrid w:val="0"/>
        <w:ind w:firstLine="482"/>
        <w:rPr>
          <w:rFonts w:eastAsiaTheme="minorEastAsia"/>
          <w:b/>
        </w:rPr>
      </w:pPr>
      <w:r>
        <w:rPr>
          <w:rFonts w:hint="eastAsia" w:eastAsiaTheme="minorEastAsia"/>
          <w:b/>
        </w:rPr>
        <w:t>（1）生产装置危险因素分析</w:t>
      </w:r>
    </w:p>
    <w:p>
      <w:pPr>
        <w:adjustRightInd w:val="0"/>
        <w:snapToGrid w:val="0"/>
        <w:ind w:firstLine="480"/>
        <w:rPr>
          <w:rFonts w:eastAsiaTheme="minorEastAsia"/>
        </w:rPr>
      </w:pPr>
      <w:r>
        <w:rPr>
          <w:rFonts w:hint="eastAsia" w:eastAsiaTheme="minorEastAsia"/>
        </w:rPr>
        <w:t>项目使用的原辅材料中天然胶、合成胶、硫磺粉等及中间产品等均为易燃或可燃物质，炼胶过程中冷却不及时或操作不当可能引发胶料炭化、着火。一旦发生意外事故将造成人员、财产、环境的严重危害。</w:t>
      </w:r>
    </w:p>
    <w:p>
      <w:pPr>
        <w:adjustRightInd w:val="0"/>
        <w:snapToGrid w:val="0"/>
        <w:ind w:firstLine="482"/>
        <w:rPr>
          <w:rFonts w:eastAsiaTheme="minorEastAsia"/>
          <w:b/>
        </w:rPr>
      </w:pPr>
      <w:r>
        <w:rPr>
          <w:rFonts w:hint="eastAsia" w:eastAsiaTheme="minorEastAsia"/>
          <w:b/>
        </w:rPr>
        <w:t>（2）环保设施及辅助生产设施危险因素分析</w:t>
      </w:r>
    </w:p>
    <w:p>
      <w:pPr>
        <w:adjustRightInd w:val="0"/>
        <w:snapToGrid w:val="0"/>
        <w:ind w:firstLine="480"/>
        <w:rPr>
          <w:rFonts w:eastAsiaTheme="minorEastAsia"/>
        </w:rPr>
      </w:pPr>
      <w:r>
        <w:rPr>
          <w:rFonts w:hint="eastAsia" w:eastAsiaTheme="minorEastAsia"/>
        </w:rPr>
        <w:t>项目属于典型的橡胶制品工业企业，生产工艺中含炼胶、硫化等产生粉尘、非甲烷总烃和恶臭气体的工序，项目环保设施主要为布袋除尘器、“UV光解+活性炭吸附”装置等，废气污染治理设施由于机械故障、停电等非正常运行时，极易导致项目大量废气得不到及时处理，直接外排，污染大气环境，影响周围居民正常生活。</w:t>
      </w:r>
    </w:p>
    <w:p>
      <w:pPr>
        <w:adjustRightInd w:val="0"/>
        <w:snapToGrid w:val="0"/>
        <w:ind w:firstLine="480"/>
        <w:rPr>
          <w:rFonts w:eastAsiaTheme="minorEastAsia"/>
        </w:rPr>
      </w:pPr>
      <w:r>
        <w:rPr>
          <w:rFonts w:hint="eastAsia" w:eastAsiaTheme="minorEastAsia"/>
        </w:rPr>
        <w:t>本项目厂区内建有生活污水处理系统，一旦生产不正常或系统故障，可能导致超标废水直接排放，对地表水环境造成冲击和污染。因此，一旦发现异常立即将废水送入事故池，经处理达到标准后方可排放。此外，项目建设的</w:t>
      </w:r>
      <w:r>
        <w:rPr>
          <w:rFonts w:eastAsiaTheme="minorEastAsia"/>
        </w:rPr>
        <w:t>污水处理设施应按建筑规范要求做好防渗、硬底化工程，同时必须定期检查污水处理设施、排水管等的情况，若发现墙体或管道出现裂痕等问题，应立即进行抢修</w:t>
      </w:r>
      <w:r>
        <w:rPr>
          <w:rFonts w:hint="eastAsia" w:eastAsiaTheme="minorEastAsia"/>
        </w:rPr>
        <w:t>。</w:t>
      </w:r>
    </w:p>
    <w:p>
      <w:pPr>
        <w:adjustRightInd w:val="0"/>
        <w:snapToGrid w:val="0"/>
        <w:ind w:firstLine="480"/>
        <w:rPr>
          <w:rFonts w:eastAsiaTheme="minorEastAsia"/>
        </w:rPr>
      </w:pPr>
      <w:r>
        <w:rPr>
          <w:rFonts w:eastAsiaTheme="minorEastAsia"/>
        </w:rPr>
        <w:t>危险废物暂存间雨水渗漏，随意堆放、盛装容器破裂或人为操作失误导致装卸或储存过程发生泄漏</w:t>
      </w:r>
      <w:r>
        <w:rPr>
          <w:rFonts w:hint="eastAsia" w:eastAsiaTheme="minorEastAsia"/>
        </w:rPr>
        <w:t>，未及时处理，可能会</w:t>
      </w:r>
      <w:r>
        <w:rPr>
          <w:rFonts w:eastAsiaTheme="minorEastAsia"/>
        </w:rPr>
        <w:t>对周围环境和人群</w:t>
      </w:r>
      <w:r>
        <w:rPr>
          <w:rFonts w:hint="eastAsia" w:eastAsiaTheme="minorEastAsia"/>
        </w:rPr>
        <w:t>健康造成危害</w:t>
      </w:r>
      <w:r>
        <w:rPr>
          <w:rFonts w:eastAsiaTheme="minorEastAsia"/>
        </w:rPr>
        <w:t>。</w:t>
      </w:r>
    </w:p>
    <w:p>
      <w:pPr>
        <w:adjustRightInd w:val="0"/>
        <w:snapToGrid w:val="0"/>
        <w:ind w:firstLine="482"/>
        <w:rPr>
          <w:rFonts w:eastAsiaTheme="minorEastAsia"/>
          <w:b/>
        </w:rPr>
      </w:pPr>
      <w:r>
        <w:rPr>
          <w:rFonts w:hint="eastAsia" w:eastAsiaTheme="minorEastAsia"/>
          <w:b/>
        </w:rPr>
        <w:t>（3）储存系统危险因素分析</w:t>
      </w:r>
    </w:p>
    <w:p>
      <w:pPr>
        <w:adjustRightInd w:val="0"/>
        <w:snapToGrid w:val="0"/>
        <w:ind w:firstLine="480"/>
        <w:rPr>
          <w:rFonts w:eastAsiaTheme="minorEastAsia"/>
        </w:rPr>
      </w:pPr>
      <w:r>
        <w:rPr>
          <w:rFonts w:hint="eastAsia" w:eastAsiaTheme="minorEastAsia"/>
        </w:rPr>
        <w:t>项目营运期使用的原材料以固体粉状原料居多，粉体状包括石粉、硬脂酸、氧化锌、钛白粉、白炭黑、硫磺粉等。原材料在储存过程中均可能会因设备、自然或人为因素，出现环境风险事故。</w:t>
      </w:r>
    </w:p>
    <w:p>
      <w:pPr>
        <w:adjustRightInd w:val="0"/>
        <w:snapToGrid w:val="0"/>
        <w:ind w:firstLine="480"/>
        <w:rPr>
          <w:rFonts w:eastAsiaTheme="minorEastAsia"/>
        </w:rPr>
      </w:pPr>
      <w:r>
        <w:rPr>
          <w:rFonts w:hint="eastAsia" w:eastAsiaTheme="minorEastAsia"/>
        </w:rPr>
        <w:t>本项目生产车间临时存放物料，粉状原料包装物损坏存放、使用时散发大量粉尘，在各种力的作用下更容易产生摩擦、撞击火花、静电等点火源，引起火灾、爆炸危险。</w:t>
      </w:r>
    </w:p>
    <w:p>
      <w:pPr>
        <w:adjustRightInd w:val="0"/>
        <w:snapToGrid w:val="0"/>
        <w:ind w:firstLine="480"/>
        <w:rPr>
          <w:rFonts w:eastAsiaTheme="minorEastAsia"/>
        </w:rPr>
      </w:pPr>
      <w:r>
        <w:rPr>
          <w:rFonts w:hint="eastAsia" w:eastAsiaTheme="minorEastAsia"/>
        </w:rPr>
        <w:t>天然胶、合成胶原料及橡胶轮产品等可燃物质，在贮存过程中如管理不善，可能引起火灾事故。一旦发生火灾、爆炸等风险事故，所带来的二次环境污染是非常严重的。</w:t>
      </w:r>
    </w:p>
    <w:p>
      <w:pPr>
        <w:adjustRightInd w:val="0"/>
        <w:snapToGrid w:val="0"/>
        <w:ind w:firstLine="482"/>
        <w:rPr>
          <w:rFonts w:eastAsiaTheme="minorEastAsia"/>
          <w:b/>
        </w:rPr>
      </w:pPr>
      <w:r>
        <w:rPr>
          <w:rFonts w:hint="eastAsia" w:eastAsiaTheme="minorEastAsia"/>
          <w:b/>
        </w:rPr>
        <w:t>（3）运输装卸系统危险因素分析</w:t>
      </w:r>
    </w:p>
    <w:p>
      <w:pPr>
        <w:adjustRightInd w:val="0"/>
        <w:snapToGrid w:val="0"/>
        <w:ind w:firstLine="480"/>
        <w:rPr>
          <w:rFonts w:eastAsiaTheme="minorEastAsia"/>
        </w:rPr>
      </w:pPr>
      <w:r>
        <w:rPr>
          <w:rFonts w:hint="eastAsia" w:eastAsiaTheme="minorEastAsia"/>
        </w:rPr>
        <w:t>本项目所使用的原辅材料及产品运输均采用汽车陆路运输，潜在风险主要为：物料在采用汽车运输时，运输人员未严格遵守有关运输管理规定，或发生车祸等导致原料泄漏，污染空气、土壤和水体；此外，由于交通事故导致易燃物质燃烧，其燃烧时产生的废气及烟尘等对大气环境造成影响。</w:t>
      </w:r>
    </w:p>
    <w:p>
      <w:pPr>
        <w:pStyle w:val="5"/>
      </w:pPr>
      <w:r>
        <w:rPr>
          <w:rFonts w:hint="eastAsia"/>
        </w:rPr>
        <w:t>事故伴生/次生环境污染分析</w:t>
      </w:r>
    </w:p>
    <w:p>
      <w:pPr>
        <w:adjustRightInd w:val="0"/>
        <w:snapToGrid w:val="0"/>
        <w:ind w:firstLine="480"/>
        <w:rPr>
          <w:rFonts w:eastAsiaTheme="minorEastAsia"/>
        </w:rPr>
      </w:pPr>
      <w:r>
        <w:rPr>
          <w:rFonts w:hint="eastAsia" w:eastAsiaTheme="minorEastAsia"/>
        </w:rPr>
        <w:t>本项目在发生泄漏、火灾、爆炸事故时，处理过程中会发生以下伴生／次生污染：消防废水、液体废物料、燃烧废气等。因此企业应编制应急预案，具有应对泄漏、火灾爆炸等突发环境事故的能力，以尽可能减少伴生／次生污染的产生。</w:t>
      </w:r>
    </w:p>
    <w:p>
      <w:pPr>
        <w:pStyle w:val="6"/>
      </w:pPr>
      <w:r>
        <w:rPr>
          <w:rFonts w:hint="eastAsia"/>
        </w:rPr>
        <w:t>火灾爆炸事故伴生/次生污染分析</w:t>
      </w:r>
    </w:p>
    <w:p>
      <w:pPr>
        <w:ind w:firstLine="480"/>
      </w:pPr>
      <w:r>
        <w:rPr>
          <w:rFonts w:hint="eastAsia"/>
        </w:rPr>
        <w:t>天然胶、合成胶、硫磺等原辅料或产品为可燃或易燃物质，当易燃物品泄漏，遇到明火或其他火源导致燃烧。如生产操作不当及管理不善，易导致火灾事故。</w:t>
      </w:r>
    </w:p>
    <w:p>
      <w:pPr>
        <w:ind w:firstLine="480"/>
      </w:pPr>
      <w:r>
        <w:rPr>
          <w:rFonts w:hint="eastAsia"/>
        </w:rPr>
        <w:t>生产过程中如果工艺指标控制不合格或违反操作规程、操作不当、电器、仪表有缺陷、检修作业没按要求动火、均易发生火灾、爆炸事故。</w:t>
      </w:r>
    </w:p>
    <w:p>
      <w:pPr>
        <w:ind w:firstLine="480"/>
      </w:pPr>
      <w:r>
        <w:rPr>
          <w:rFonts w:hint="eastAsia"/>
        </w:rPr>
        <w:t>另外，各种电气设备都潜在发生火灾事故的危险，将引发人员伤亡和火灾事故。</w:t>
      </w:r>
    </w:p>
    <w:p>
      <w:pPr>
        <w:ind w:firstLine="480"/>
      </w:pPr>
      <w:r>
        <w:rPr>
          <w:rFonts w:hint="eastAsia"/>
        </w:rPr>
        <w:t>当发生火灾事故，会产生以下伴生/次生环境污染：</w:t>
      </w:r>
    </w:p>
    <w:p>
      <w:pPr>
        <w:pStyle w:val="99"/>
        <w:numPr>
          <w:ilvl w:val="0"/>
          <w:numId w:val="39"/>
        </w:numPr>
        <w:adjustRightInd w:val="0"/>
        <w:snapToGrid w:val="0"/>
        <w:ind w:firstLineChars="0"/>
        <w:rPr>
          <w:rFonts w:eastAsiaTheme="minorEastAsia"/>
        </w:rPr>
      </w:pPr>
      <w:r>
        <w:rPr>
          <w:rFonts w:hint="eastAsia" w:eastAsiaTheme="minorEastAsia"/>
        </w:rPr>
        <w:t>事故消防废水</w:t>
      </w:r>
    </w:p>
    <w:p>
      <w:pPr>
        <w:adjustRightInd w:val="0"/>
        <w:snapToGrid w:val="0"/>
        <w:ind w:firstLine="480"/>
        <w:rPr>
          <w:rFonts w:eastAsiaTheme="minorEastAsia"/>
        </w:rPr>
      </w:pPr>
      <w:r>
        <w:rPr>
          <w:rFonts w:hint="eastAsia" w:eastAsiaTheme="minorEastAsia"/>
        </w:rPr>
        <w:t>考虑到一旦物料泄漏或生产装置过热等导致厂区出现火情，灭火产生的消防水会携带部分物料，若不能及时得到有效地收集和处置将会四处漫流进入周围地表水体，对周围地表水体的水环境造成不同程度的污染。</w:t>
      </w:r>
    </w:p>
    <w:p>
      <w:pPr>
        <w:adjustRightInd w:val="0"/>
        <w:snapToGrid w:val="0"/>
        <w:ind w:firstLine="480"/>
        <w:rPr>
          <w:rFonts w:eastAsiaTheme="minorEastAsia"/>
        </w:rPr>
      </w:pPr>
      <w:r>
        <w:rPr>
          <w:rFonts w:hint="eastAsia" w:eastAsiaTheme="minorEastAsia"/>
        </w:rPr>
        <w:t>同时火灾爆炸后破坏地表覆盖物，会有部分液体物料、受污染消防水进入土壤，甚至污染地下水。</w:t>
      </w:r>
    </w:p>
    <w:p>
      <w:pPr>
        <w:pStyle w:val="99"/>
        <w:numPr>
          <w:ilvl w:val="0"/>
          <w:numId w:val="39"/>
        </w:numPr>
        <w:adjustRightInd w:val="0"/>
        <w:snapToGrid w:val="0"/>
        <w:ind w:firstLineChars="0"/>
        <w:rPr>
          <w:rFonts w:eastAsiaTheme="minorEastAsia"/>
        </w:rPr>
      </w:pPr>
      <w:r>
        <w:rPr>
          <w:rFonts w:hint="eastAsia" w:eastAsiaTheme="minorEastAsia"/>
        </w:rPr>
        <w:t>燃烧烟气</w:t>
      </w:r>
    </w:p>
    <w:p>
      <w:pPr>
        <w:adjustRightInd w:val="0"/>
        <w:snapToGrid w:val="0"/>
        <w:ind w:firstLine="480"/>
        <w:rPr>
          <w:rFonts w:eastAsiaTheme="minorEastAsia"/>
        </w:rPr>
      </w:pPr>
      <w:r>
        <w:rPr>
          <w:rFonts w:hint="eastAsia" w:eastAsiaTheme="minorEastAsia"/>
        </w:rPr>
        <w:t>火灾、爆炸时不完全燃烧会产生大量烟尘、CO、V</w:t>
      </w:r>
      <w:r>
        <w:rPr>
          <w:rFonts w:eastAsiaTheme="minorEastAsia"/>
        </w:rPr>
        <w:t>OC</w:t>
      </w:r>
      <w:r>
        <w:rPr>
          <w:rFonts w:hint="eastAsia" w:eastAsiaTheme="minorEastAsia"/>
        </w:rPr>
        <w:t>s、恶臭逸散，火灾事故产生的浓烟会以厂址为中心在一定范围内降落大量烟尘，事故上空局部气温、气压、能见度等会产生明显的变化，对局部大气环境（包括下风向大气环境）造成较大的短期的影响。燃烧过程中同时会伴生出大量的烟尘、CO等污染物，特别是废轮胎、天然胶、合成胶等燃烧还会产生大量的VOCs和恶臭。因此，要及时对火情加以抑制，减少燃烧烟气对周围环境的污染影响。</w:t>
      </w:r>
    </w:p>
    <w:p>
      <w:pPr>
        <w:pStyle w:val="5"/>
      </w:pPr>
      <w:bookmarkStart w:id="573" w:name="_Toc3291"/>
      <w:r>
        <w:rPr>
          <w:rFonts w:hint="eastAsia"/>
        </w:rPr>
        <w:t>事故源项</w:t>
      </w:r>
      <w:bookmarkEnd w:id="573"/>
      <w:r>
        <w:rPr>
          <w:rFonts w:hint="eastAsia"/>
        </w:rPr>
        <w:t>识别</w:t>
      </w:r>
    </w:p>
    <w:p>
      <w:pPr>
        <w:ind w:firstLine="480"/>
      </w:pPr>
      <w:r>
        <w:rPr>
          <w:rFonts w:hint="eastAsia"/>
        </w:rPr>
        <w:t>造成风险事故的隐患取决于工艺技术、设备质量和操作管理水平等方面。一般引起风险事故的因素是多方面的，同一事故可能既有操作、管理方面的原因，又有工艺、设备方面的因素，各种因素错综复杂，相互关联，潜移默化地起着作用。事故发生往往因安全管理方面的缺陷处置不当，未能及时纠正，于是在异常状态下，生产设备和工艺方面潜伏的一些事故隐患纷纷暴露出来，最终酿成灾难性事故。</w:t>
      </w:r>
    </w:p>
    <w:p>
      <w:pPr>
        <w:ind w:firstLine="480"/>
      </w:pPr>
      <w:r>
        <w:rPr>
          <w:rFonts w:hint="eastAsia"/>
        </w:rPr>
        <w:t>本环评事故风险评价不考虑工程外部事故风险因素（如地震、雷电、人为蓄意破坏等），也不考虑危害范围只限于厂内的小事故，主要考虑可能对厂区外居民和周围环境造成污染危害的事故。根据对同类行业的调研、生产过程中各个工序的分析，针对已识别出的危险因素和风险类型，确定最大可信事故及其概率。</w:t>
      </w:r>
    </w:p>
    <w:p>
      <w:pPr>
        <w:pStyle w:val="6"/>
      </w:pPr>
      <w:r>
        <w:rPr>
          <w:rFonts w:hint="eastAsia"/>
        </w:rPr>
        <w:t>最大可信事故</w:t>
      </w:r>
    </w:p>
    <w:p>
      <w:pPr>
        <w:ind w:firstLine="480"/>
        <w:rPr>
          <w:rFonts w:cs="Times New Roman" w:eastAsiaTheme="minorEastAsia"/>
        </w:rPr>
      </w:pPr>
      <w:r>
        <w:rPr>
          <w:rFonts w:hint="eastAsia" w:cs="Times New Roman" w:eastAsiaTheme="minorEastAsia"/>
        </w:rPr>
        <w:t>最大可信事故是指所造成的危害对环境（或健康）危害最严重的重大事故，并且发生该事故的概率不为零。</w:t>
      </w:r>
      <w:r>
        <w:rPr>
          <w:rFonts w:hint="eastAsia"/>
        </w:rPr>
        <w:t>而重大事故是指导致有毒有害物泄漏的火灾、爆炸和有毒有害物泄漏事故，给公众带来严重危害，对环境造成严重污染。</w:t>
      </w:r>
    </w:p>
    <w:p>
      <w:pPr>
        <w:ind w:firstLine="480"/>
      </w:pPr>
      <w:r>
        <w:rPr>
          <w:rFonts w:hint="eastAsia"/>
        </w:rPr>
        <w:t>确定项目最大可信事故为：物料在储存、使用过程中因管理不善、设备损坏或操作失误等发生泄漏，大量泄漏的易燃物得到释放，引发火灾、爆炸等事故发生。</w:t>
      </w:r>
    </w:p>
    <w:p>
      <w:pPr>
        <w:ind w:firstLine="480"/>
      </w:pPr>
      <w:r>
        <w:rPr>
          <w:rFonts w:hint="eastAsia"/>
        </w:rPr>
        <w:t>根据《环境风险评价实用技术和方法》（胡二邦主编，中国环境科学出版社，2000年6月第一版）一书及《定理风险评价中泄漏概率的确定方法探讨》（中国安全生产科学技术，2007年第3卷16期）一文中的数据类比调查，确定项目化学品泄漏事故的概率约为1×10</w:t>
      </w:r>
      <w:r>
        <w:rPr>
          <w:rFonts w:hint="eastAsia"/>
          <w:vertAlign w:val="superscript"/>
        </w:rPr>
        <w:t>-5</w:t>
      </w:r>
      <w:r>
        <w:rPr>
          <w:rFonts w:hint="eastAsia"/>
        </w:rPr>
        <w:t>次/a。</w:t>
      </w:r>
    </w:p>
    <w:p>
      <w:pPr>
        <w:ind w:firstLine="480"/>
      </w:pPr>
      <w:r>
        <w:rPr>
          <w:rFonts w:hint="eastAsia"/>
        </w:rPr>
        <w:t>项目引起的伴生/次生事故多为泄漏及火灾事故生成污染物影响大气环境，受污染的消防水流出影响地表水体及土壤，伴生/次生最大可信事故设定见</w:t>
      </w:r>
      <w:r>
        <w:fldChar w:fldCharType="begin"/>
      </w:r>
      <w:r>
        <w:instrText xml:space="preserve"> </w:instrText>
      </w:r>
      <w:r>
        <w:rPr>
          <w:rFonts w:hint="eastAsia"/>
        </w:rPr>
        <w:instrText xml:space="preserve">REF _Ref528784736 \h</w:instrText>
      </w:r>
      <w:r>
        <w:instrText xml:space="preserve">  \* MERGEFORMAT </w:instrText>
      </w:r>
      <w:r>
        <w:fldChar w:fldCharType="separate"/>
      </w:r>
      <w:r>
        <w:rPr>
          <w:rFonts w:hint="eastAsia"/>
        </w:rPr>
        <w:t xml:space="preserve">表 </w:t>
      </w:r>
      <w:r>
        <w:t>4.9</w:t>
      </w:r>
      <w:r>
        <w:noBreakHyphen/>
      </w:r>
      <w:r>
        <w:t>5</w:t>
      </w:r>
      <w:r>
        <w:fldChar w:fldCharType="end"/>
      </w:r>
      <w:r>
        <w:rPr>
          <w:rFonts w:hint="eastAsia"/>
        </w:rPr>
        <w:t>。</w:t>
      </w:r>
    </w:p>
    <w:p>
      <w:pPr>
        <w:pStyle w:val="18"/>
      </w:pPr>
      <w:bookmarkStart w:id="574" w:name="_Ref528784736"/>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4.9</w:t>
      </w:r>
      <w:r>
        <w:fldChar w:fldCharType="end"/>
      </w:r>
      <w:r>
        <w:noBreakHyphen/>
      </w:r>
      <w:bookmarkEnd w:id="574"/>
      <w:r>
        <w:t>5</w:t>
      </w:r>
      <w:r>
        <w:rPr>
          <w:rFonts w:hint="eastAsia"/>
        </w:rPr>
        <w:t>项目伴生/次生事故设定</w:t>
      </w:r>
    </w:p>
    <w:tbl>
      <w:tblPr>
        <w:tblStyle w:val="56"/>
        <w:tblW w:w="929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68"/>
        <w:gridCol w:w="2269"/>
        <w:gridCol w:w="3541"/>
        <w:gridCol w:w="181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668" w:type="dxa"/>
            <w:vAlign w:val="center"/>
          </w:tcPr>
          <w:p>
            <w:pPr>
              <w:pStyle w:val="107"/>
            </w:pPr>
            <w:r>
              <w:t>事故源点</w:t>
            </w:r>
          </w:p>
        </w:tc>
        <w:tc>
          <w:tcPr>
            <w:tcW w:w="2269" w:type="dxa"/>
            <w:vAlign w:val="center"/>
          </w:tcPr>
          <w:p>
            <w:pPr>
              <w:pStyle w:val="107"/>
            </w:pPr>
            <w:r>
              <w:t>事故内容</w:t>
            </w:r>
          </w:p>
        </w:tc>
        <w:tc>
          <w:tcPr>
            <w:tcW w:w="3541" w:type="dxa"/>
            <w:vAlign w:val="center"/>
          </w:tcPr>
          <w:p>
            <w:pPr>
              <w:pStyle w:val="107"/>
            </w:pPr>
            <w:r>
              <w:t>主要影响因子</w:t>
            </w:r>
          </w:p>
        </w:tc>
        <w:tc>
          <w:tcPr>
            <w:tcW w:w="1812" w:type="dxa"/>
            <w:vAlign w:val="center"/>
          </w:tcPr>
          <w:p>
            <w:pPr>
              <w:pStyle w:val="107"/>
            </w:pPr>
            <w:r>
              <w:t>影响方式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668" w:type="dxa"/>
            <w:vAlign w:val="center"/>
          </w:tcPr>
          <w:p>
            <w:pPr>
              <w:pStyle w:val="107"/>
            </w:pPr>
            <w:r>
              <w:rPr>
                <w:rFonts w:hint="eastAsia"/>
              </w:rPr>
              <w:t>生产车间、辅料贮存间</w:t>
            </w:r>
          </w:p>
        </w:tc>
        <w:tc>
          <w:tcPr>
            <w:tcW w:w="2269" w:type="dxa"/>
            <w:vAlign w:val="center"/>
          </w:tcPr>
          <w:p>
            <w:pPr>
              <w:pStyle w:val="107"/>
              <w:rPr>
                <w:rFonts w:cs="Times New Roman"/>
              </w:rPr>
            </w:pPr>
            <w:r>
              <w:rPr>
                <w:rFonts w:cs="Times New Roman"/>
              </w:rPr>
              <w:t>泄漏及引发火灾、爆炸</w:t>
            </w:r>
          </w:p>
        </w:tc>
        <w:tc>
          <w:tcPr>
            <w:tcW w:w="3541" w:type="dxa"/>
            <w:vAlign w:val="center"/>
          </w:tcPr>
          <w:p>
            <w:pPr>
              <w:pStyle w:val="107"/>
            </w:pPr>
            <w:r>
              <w:rPr>
                <w:rFonts w:hint="eastAsia"/>
              </w:rPr>
              <w:t>硫磺以及未完全燃烧的危险物质等</w:t>
            </w:r>
          </w:p>
        </w:tc>
        <w:tc>
          <w:tcPr>
            <w:tcW w:w="1812" w:type="dxa"/>
            <w:vAlign w:val="center"/>
          </w:tcPr>
          <w:p>
            <w:pPr>
              <w:pStyle w:val="107"/>
            </w:pPr>
            <w:r>
              <w:rPr>
                <w:rFonts w:hint="eastAsia"/>
              </w:rPr>
              <w:t>直接及间接污染</w:t>
            </w:r>
          </w:p>
        </w:tc>
      </w:tr>
    </w:tbl>
    <w:p>
      <w:pPr>
        <w:ind w:firstLine="480"/>
      </w:pPr>
      <w:r>
        <w:rPr>
          <w:rFonts w:hint="eastAsia"/>
        </w:rPr>
        <w:t>最大可信事故是依据事故源大小和物质特性对环境的影响程度确定的，针对典型事故进行环境风险评价，并非意味着其它事故不具环境风险。</w:t>
      </w:r>
    </w:p>
    <w:p>
      <w:pPr>
        <w:pStyle w:val="5"/>
      </w:pPr>
      <w:bookmarkStart w:id="575" w:name="_Toc28400"/>
      <w:r>
        <w:t>环境风险影响分析</w:t>
      </w:r>
      <w:bookmarkEnd w:id="575"/>
    </w:p>
    <w:p>
      <w:pPr>
        <w:pStyle w:val="6"/>
      </w:pPr>
      <w:r>
        <w:rPr>
          <w:rFonts w:hint="eastAsia"/>
        </w:rPr>
        <w:t>火灾爆炸事故环境风险影响分析</w:t>
      </w:r>
    </w:p>
    <w:p>
      <w:pPr>
        <w:ind w:firstLine="480"/>
        <w:rPr>
          <w:rFonts w:eastAsiaTheme="minorEastAsia"/>
        </w:rPr>
      </w:pPr>
      <w:r>
        <w:rPr>
          <w:rFonts w:hint="eastAsia" w:eastAsiaTheme="minorEastAsia"/>
        </w:rPr>
        <w:t>橡胶、硫磺等原辅料或产品为可燃或易燃物质，当易燃物品泄漏，遇到明火或其他火源导致燃烧。此外，因电气、误操作、用火不慎、吸烟、雷击等因素也会引起火灾事故。同时火灾还可能引燃周围的其他可燃材料，甚至引起爆炸事故。</w:t>
      </w:r>
    </w:p>
    <w:p>
      <w:pPr>
        <w:ind w:firstLine="480"/>
        <w:rPr>
          <w:rFonts w:eastAsiaTheme="minorEastAsia"/>
        </w:rPr>
      </w:pPr>
      <w:r>
        <w:rPr>
          <w:rFonts w:hint="eastAsia" w:eastAsiaTheme="minorEastAsia"/>
        </w:rPr>
        <w:t>火灾事故除对其建筑物内的人员和设备设施的安全构成严重威胁外，也会对周围的人员和设备造成损坏。在热辐射的作用下，受到伤害或破坏的目标可能是人、设备、设施、厂房、建筑物等。</w:t>
      </w:r>
    </w:p>
    <w:p>
      <w:pPr>
        <w:ind w:firstLine="480"/>
        <w:rPr>
          <w:rFonts w:eastAsiaTheme="minorEastAsia"/>
        </w:rPr>
      </w:pPr>
      <w:r>
        <w:rPr>
          <w:rFonts w:hint="eastAsia" w:eastAsiaTheme="minorEastAsia"/>
        </w:rPr>
        <w:t>火灾引起橡胶燃烧，主要是橡胶的热分解过程。火灾事故时产生主要伴生污染主要是橡胶裂解产物对环境空气的影响，裂解产物包括炭黑、挥发性有机物、一氧化碳等，随着裂解温度的增加，裂解产物中单体和二聚体增加，当裂解温度较高的时候还会出现少量的无规断裂碎片。同时，橡胶起火时会产生二氧化碳、特别是二氧化硫等气体。并产生棕黑色烟雾，空气中有硫磺味道并伴有酸味。同时火灾还可能引燃周围的各种材料，因而其废气成份非常复杂。一般情况下，火灾产生的有害废气会引起周围大气环境暂时性超标，待扑灭后会慢慢消散，大气环境可恢复到事故前的水平。</w:t>
      </w:r>
    </w:p>
    <w:p>
      <w:pPr>
        <w:ind w:firstLine="480"/>
        <w:rPr>
          <w:rFonts w:eastAsiaTheme="minorEastAsia"/>
        </w:rPr>
      </w:pPr>
      <w:r>
        <w:rPr>
          <w:rFonts w:hint="eastAsia" w:eastAsiaTheme="minorEastAsia"/>
        </w:rPr>
        <w:t>因此，在存放和使用过程中，应加强专人管理，禁止吸烟，禁止明火产生，整个工厂均要防火防爆。</w:t>
      </w:r>
    </w:p>
    <w:p>
      <w:pPr>
        <w:ind w:firstLine="480"/>
        <w:rPr>
          <w:rFonts w:eastAsiaTheme="minorEastAsia"/>
        </w:rPr>
      </w:pPr>
      <w:r>
        <w:rPr>
          <w:rFonts w:hint="eastAsia" w:eastAsiaTheme="minorEastAsia"/>
        </w:rPr>
        <w:t>发生火灾爆炸事故时，一般使用泡沫、干粉、砂土等作为灭火材料。消防用水仅为雾化后对燃烧的容器或燃烧区域附近的物质容器做表面降温处理，绝大部分受热蒸发，极少量消防水将积聚于车间或仓库内，建设单位对此部分积水需用砂土、石灰粉等惰性物质吸收后妥善处置。事故时，将所有废水废液妥善收集，引入厂内应急事故池暂时储存。待事故结束后，对收集的泄漏物料进行检测分析，能够回用的应回用；对不符合回用要求，但符合城镇污水处理厂的进水要求的，经污水厂同意后进入污水厂进行处理；对不符合城镇污水处理厂的进水要求的，应采取处理措施或外送有资质的单位进行处理。因此，泄漏物料一般不会直接进入下水道或地表水体中，不会对水体造成污染。</w:t>
      </w:r>
    </w:p>
    <w:p>
      <w:pPr>
        <w:pStyle w:val="6"/>
      </w:pPr>
      <w:bookmarkStart w:id="576" w:name="_Ref528854656"/>
      <w:r>
        <w:rPr>
          <w:rFonts w:hint="eastAsia"/>
        </w:rPr>
        <w:t>事故应急池设置及合理性分析</w:t>
      </w:r>
      <w:bookmarkEnd w:id="576"/>
    </w:p>
    <w:p>
      <w:pPr>
        <w:snapToGrid w:val="0"/>
        <w:ind w:firstLine="480"/>
        <w:textAlignment w:val="center"/>
        <w:rPr>
          <w:rFonts w:eastAsiaTheme="minorEastAsia"/>
          <w:snapToGrid w:val="0"/>
          <w:szCs w:val="28"/>
        </w:rPr>
      </w:pPr>
      <w:r>
        <w:rPr>
          <w:rFonts w:hint="eastAsia" w:eastAsiaTheme="minorEastAsia"/>
          <w:snapToGrid w:val="0"/>
          <w:szCs w:val="28"/>
        </w:rPr>
        <w:t>事故应急池的设置是企业发生突发环境事故时，为了防止企业可能产生的泄漏物外泄而设置，用于有效收集企业突发环境事故产生的泄漏液、消防废水、初期雨水，以及污水处理系统故障等产生的超标废水。</w:t>
      </w:r>
    </w:p>
    <w:p>
      <w:pPr>
        <w:snapToGrid w:val="0"/>
        <w:ind w:firstLine="480"/>
        <w:textAlignment w:val="center"/>
        <w:rPr>
          <w:rFonts w:eastAsiaTheme="minorEastAsia"/>
          <w:snapToGrid w:val="0"/>
          <w:szCs w:val="20"/>
        </w:rPr>
      </w:pPr>
      <w:r>
        <w:rPr>
          <w:rFonts w:hint="eastAsia" w:eastAsiaTheme="minorEastAsia"/>
          <w:snapToGrid w:val="0"/>
          <w:szCs w:val="28"/>
        </w:rPr>
        <w:t>根据工程分析，本项目冷却用水循环使用定期补给不外排，不产生不排放生产废水；职工办公、生活污水处理达标后排放；项目所用物料若发生泄漏进入附近水体将造成污染；项目运营期间，可能发生火灾事故，</w:t>
      </w:r>
      <w:r>
        <w:rPr>
          <w:rFonts w:hint="eastAsia" w:eastAsiaTheme="minorEastAsia"/>
          <w:snapToGrid w:val="0"/>
          <w:szCs w:val="20"/>
        </w:rPr>
        <w:t>事故处理过程涉及消防废水的收集、回收处理处置。</w:t>
      </w:r>
    </w:p>
    <w:p>
      <w:pPr>
        <w:ind w:firstLine="480"/>
        <w:rPr>
          <w:rFonts w:eastAsiaTheme="minorEastAsia"/>
        </w:rPr>
      </w:pPr>
      <w:r>
        <w:rPr>
          <w:rFonts w:eastAsiaTheme="minorEastAsia"/>
        </w:rPr>
        <w:t>为保证本项目废水不会发生外泄流入附近地表水体而造成污染，不会因不稳定达标排放或未经处理排放对附近水体造成冲击。</w:t>
      </w:r>
      <w:r>
        <w:rPr>
          <w:rFonts w:hint="eastAsia" w:eastAsiaTheme="minorEastAsia"/>
        </w:rPr>
        <w:t>本</w:t>
      </w:r>
      <w:r>
        <w:rPr>
          <w:rFonts w:eastAsiaTheme="minorEastAsia"/>
        </w:rPr>
        <w:t>项目</w:t>
      </w:r>
      <w:r>
        <w:rPr>
          <w:rFonts w:hint="eastAsia" w:eastAsiaTheme="minorEastAsia"/>
        </w:rPr>
        <w:t>拟设</w:t>
      </w:r>
      <w:r>
        <w:rPr>
          <w:rFonts w:eastAsiaTheme="minorEastAsia"/>
        </w:rPr>
        <w:t>1</w:t>
      </w:r>
      <w:r>
        <w:rPr>
          <w:rFonts w:hint="eastAsia" w:eastAsiaTheme="minorEastAsia"/>
        </w:rPr>
        <w:t>座地埋式</w:t>
      </w:r>
      <w:r>
        <w:rPr>
          <w:rFonts w:eastAsiaTheme="minorEastAsia"/>
        </w:rPr>
        <w:t>事故应急</w:t>
      </w:r>
      <w:r>
        <w:rPr>
          <w:rFonts w:hint="eastAsia" w:eastAsiaTheme="minorEastAsia"/>
        </w:rPr>
        <w:t>废水</w:t>
      </w:r>
      <w:r>
        <w:rPr>
          <w:rFonts w:eastAsiaTheme="minorEastAsia"/>
        </w:rPr>
        <w:t>池，</w:t>
      </w:r>
      <w:r>
        <w:rPr>
          <w:rFonts w:hint="eastAsia" w:eastAsiaTheme="minorEastAsia"/>
        </w:rPr>
        <w:t>用于接收消防废水与其它可能泄漏的废水或废液</w:t>
      </w:r>
      <w:r>
        <w:rPr>
          <w:rFonts w:eastAsiaTheme="minorEastAsia"/>
        </w:rPr>
        <w:t>。</w:t>
      </w:r>
    </w:p>
    <w:p>
      <w:pPr>
        <w:ind w:firstLine="480"/>
        <w:rPr>
          <w:rFonts w:cs="Times New Roman" w:eastAsiaTheme="minorEastAsia"/>
        </w:rPr>
      </w:pPr>
      <w:r>
        <w:rPr>
          <w:rFonts w:cs="Times New Roman" w:eastAsiaTheme="minorEastAsia"/>
        </w:rPr>
        <w:t>参考中石化《水体污染防控紧急措施设计导则》要求，事故储存设施总有效容积</w:t>
      </w:r>
      <w:r>
        <w:rPr>
          <w:rFonts w:hint="eastAsia" w:cs="Times New Roman" w:eastAsiaTheme="minorEastAsia"/>
        </w:rPr>
        <w:t>计算公式</w:t>
      </w:r>
      <w:r>
        <w:rPr>
          <w:rFonts w:cs="Times New Roman" w:eastAsiaTheme="minorEastAsia"/>
        </w:rPr>
        <w:t>为：</w:t>
      </w:r>
    </w:p>
    <w:p>
      <w:pPr>
        <w:ind w:firstLine="0" w:firstLineChars="0"/>
        <w:jc w:val="center"/>
        <w:rPr>
          <w:rFonts w:cs="Times New Roman" w:eastAsiaTheme="minorEastAsia"/>
        </w:rPr>
      </w:pPr>
      <w:r>
        <w:rPr>
          <w:rFonts w:cs="Times New Roman" w:eastAsiaTheme="minorEastAsia"/>
        </w:rPr>
        <w:t>V</w:t>
      </w:r>
      <w:r>
        <w:rPr>
          <w:rFonts w:cs="Times New Roman" w:eastAsiaTheme="minorEastAsia"/>
          <w:vertAlign w:val="subscript"/>
        </w:rPr>
        <w:t>总</w:t>
      </w:r>
      <w:r>
        <w:rPr>
          <w:rFonts w:cs="Times New Roman" w:eastAsiaTheme="minorEastAsia"/>
        </w:rPr>
        <w:t>＝（V</w:t>
      </w:r>
      <w:r>
        <w:rPr>
          <w:rFonts w:cs="Times New Roman" w:eastAsiaTheme="minorEastAsia"/>
          <w:vertAlign w:val="subscript"/>
        </w:rPr>
        <w:t>1</w:t>
      </w:r>
      <w:r>
        <w:rPr>
          <w:rFonts w:cs="Times New Roman" w:eastAsiaTheme="minorEastAsia"/>
        </w:rPr>
        <w:t>+V</w:t>
      </w:r>
      <w:r>
        <w:rPr>
          <w:rFonts w:cs="Times New Roman" w:eastAsiaTheme="minorEastAsia"/>
          <w:vertAlign w:val="subscript"/>
        </w:rPr>
        <w:t>2</w:t>
      </w:r>
      <w:r>
        <w:rPr>
          <w:rFonts w:cs="Times New Roman" w:eastAsiaTheme="minorEastAsia"/>
        </w:rPr>
        <w:t>-V</w:t>
      </w:r>
      <w:r>
        <w:rPr>
          <w:rFonts w:cs="Times New Roman" w:eastAsiaTheme="minorEastAsia"/>
          <w:vertAlign w:val="subscript"/>
        </w:rPr>
        <w:t>3</w:t>
      </w:r>
      <w:r>
        <w:rPr>
          <w:rFonts w:cs="Times New Roman" w:eastAsiaTheme="minorEastAsia"/>
        </w:rPr>
        <w:t>）max+V</w:t>
      </w:r>
      <w:r>
        <w:rPr>
          <w:rFonts w:cs="Times New Roman" w:eastAsiaTheme="minorEastAsia"/>
          <w:vertAlign w:val="subscript"/>
        </w:rPr>
        <w:t>4</w:t>
      </w:r>
      <w:r>
        <w:rPr>
          <w:rFonts w:cs="Times New Roman" w:eastAsiaTheme="minorEastAsia"/>
        </w:rPr>
        <w:t>+V</w:t>
      </w:r>
      <w:r>
        <w:rPr>
          <w:rFonts w:cs="Times New Roman" w:eastAsiaTheme="minorEastAsia"/>
          <w:vertAlign w:val="subscript"/>
        </w:rPr>
        <w:t>5</w:t>
      </w:r>
    </w:p>
    <w:p>
      <w:pPr>
        <w:autoSpaceDE w:val="0"/>
        <w:autoSpaceDN w:val="0"/>
        <w:ind w:left="1200" w:leftChars="200" w:hanging="720" w:hangingChars="300"/>
        <w:rPr>
          <w:rFonts w:cs="Times New Roman" w:eastAsiaTheme="minorEastAsia"/>
        </w:rPr>
      </w:pPr>
      <w:r>
        <w:rPr>
          <w:rFonts w:cs="Times New Roman" w:eastAsiaTheme="minorEastAsia"/>
        </w:rPr>
        <w:t>式中：V</w:t>
      </w:r>
      <w:r>
        <w:rPr>
          <w:rFonts w:cs="Times New Roman" w:eastAsiaTheme="minorEastAsia"/>
          <w:vertAlign w:val="subscript"/>
        </w:rPr>
        <w:t>1</w:t>
      </w:r>
      <w:r>
        <w:rPr>
          <w:rFonts w:cs="Times New Roman" w:eastAsiaTheme="minorEastAsia"/>
        </w:rPr>
        <w:t>——收集系统范围内发生事故的一个罐组或一套装置的物料量，罐组按一个最大储罐计，m</w:t>
      </w:r>
      <w:r>
        <w:rPr>
          <w:rFonts w:cs="Times New Roman" w:eastAsiaTheme="minorEastAsia"/>
          <w:vertAlign w:val="superscript"/>
        </w:rPr>
        <w:t>3</w:t>
      </w:r>
      <w:r>
        <w:rPr>
          <w:rFonts w:cs="Times New Roman" w:eastAsiaTheme="minorEastAsia"/>
        </w:rPr>
        <w:t>；</w:t>
      </w:r>
    </w:p>
    <w:p>
      <w:pPr>
        <w:autoSpaceDE w:val="0"/>
        <w:autoSpaceDN w:val="0"/>
        <w:ind w:firstLine="1152" w:firstLineChars="480"/>
        <w:rPr>
          <w:rFonts w:cs="Times New Roman" w:eastAsiaTheme="minorEastAsia"/>
        </w:rPr>
      </w:pPr>
      <w:r>
        <w:rPr>
          <w:rFonts w:cs="Times New Roman" w:eastAsiaTheme="minorEastAsia"/>
        </w:rPr>
        <w:t>V</w:t>
      </w:r>
      <w:r>
        <w:rPr>
          <w:rFonts w:cs="Times New Roman" w:eastAsiaTheme="minorEastAsia"/>
          <w:vertAlign w:val="subscript"/>
        </w:rPr>
        <w:t>2</w:t>
      </w:r>
      <w:r>
        <w:rPr>
          <w:rFonts w:cs="Times New Roman" w:eastAsiaTheme="minorEastAsia"/>
        </w:rPr>
        <w:t>——发生事故的储罐或装置的消防水量，m</w:t>
      </w:r>
      <w:r>
        <w:rPr>
          <w:rFonts w:cs="Times New Roman" w:eastAsiaTheme="minorEastAsia"/>
          <w:vertAlign w:val="superscript"/>
        </w:rPr>
        <w:t>3</w:t>
      </w:r>
      <w:r>
        <w:rPr>
          <w:rFonts w:cs="Times New Roman" w:eastAsiaTheme="minorEastAsia"/>
        </w:rPr>
        <w:t>；</w:t>
      </w:r>
    </w:p>
    <w:p>
      <w:pPr>
        <w:autoSpaceDE w:val="0"/>
        <w:autoSpaceDN w:val="0"/>
        <w:ind w:firstLine="1152" w:firstLineChars="480"/>
        <w:rPr>
          <w:rFonts w:cs="Times New Roman" w:eastAsiaTheme="minorEastAsia"/>
        </w:rPr>
      </w:pPr>
      <w:r>
        <w:rPr>
          <w:rFonts w:cs="Times New Roman" w:eastAsiaTheme="minorEastAsia"/>
        </w:rPr>
        <w:t>V</w:t>
      </w:r>
      <w:r>
        <w:rPr>
          <w:rFonts w:cs="Times New Roman" w:eastAsiaTheme="minorEastAsia"/>
          <w:vertAlign w:val="subscript"/>
        </w:rPr>
        <w:t>3</w:t>
      </w:r>
      <w:r>
        <w:rPr>
          <w:rFonts w:cs="Times New Roman" w:eastAsiaTheme="minorEastAsia"/>
        </w:rPr>
        <w:t>——发生事故时可以转输到其他储存或处理设施的物料量，m</w:t>
      </w:r>
      <w:r>
        <w:rPr>
          <w:rFonts w:cs="Times New Roman" w:eastAsiaTheme="minorEastAsia"/>
          <w:vertAlign w:val="superscript"/>
        </w:rPr>
        <w:t>3</w:t>
      </w:r>
      <w:r>
        <w:rPr>
          <w:rFonts w:cs="Times New Roman" w:eastAsiaTheme="minorEastAsia"/>
        </w:rPr>
        <w:t>；</w:t>
      </w:r>
    </w:p>
    <w:p>
      <w:pPr>
        <w:autoSpaceDE w:val="0"/>
        <w:autoSpaceDN w:val="0"/>
        <w:ind w:firstLine="1152" w:firstLineChars="480"/>
        <w:rPr>
          <w:rFonts w:cs="Times New Roman" w:eastAsiaTheme="minorEastAsia"/>
        </w:rPr>
      </w:pPr>
      <w:r>
        <w:rPr>
          <w:rFonts w:cs="Times New Roman" w:eastAsiaTheme="minorEastAsia"/>
        </w:rPr>
        <w:t>V</w:t>
      </w:r>
      <w:r>
        <w:rPr>
          <w:rFonts w:cs="Times New Roman" w:eastAsiaTheme="minorEastAsia"/>
          <w:vertAlign w:val="subscript"/>
        </w:rPr>
        <w:t>4</w:t>
      </w:r>
      <w:r>
        <w:rPr>
          <w:rFonts w:cs="Times New Roman" w:eastAsiaTheme="minorEastAsia"/>
        </w:rPr>
        <w:t>——发生事故时仍必须进入该收集系统的生产废水量，m</w:t>
      </w:r>
      <w:r>
        <w:rPr>
          <w:rFonts w:cs="Times New Roman" w:eastAsiaTheme="minorEastAsia"/>
          <w:vertAlign w:val="superscript"/>
        </w:rPr>
        <w:t>3</w:t>
      </w:r>
      <w:r>
        <w:rPr>
          <w:rFonts w:cs="Times New Roman" w:eastAsiaTheme="minorEastAsia"/>
        </w:rPr>
        <w:t>。</w:t>
      </w:r>
    </w:p>
    <w:p>
      <w:pPr>
        <w:autoSpaceDE w:val="0"/>
        <w:autoSpaceDN w:val="0"/>
        <w:ind w:right="235" w:rightChars="98" w:firstLine="1152" w:firstLineChars="480"/>
        <w:rPr>
          <w:rFonts w:cs="Times New Roman" w:eastAsiaTheme="minorEastAsia"/>
        </w:rPr>
      </w:pPr>
      <w:r>
        <w:rPr>
          <w:rFonts w:cs="Times New Roman" w:eastAsiaTheme="minorEastAsia"/>
        </w:rPr>
        <w:t>V</w:t>
      </w:r>
      <w:r>
        <w:rPr>
          <w:rFonts w:cs="Times New Roman" w:eastAsiaTheme="minorEastAsia"/>
          <w:vertAlign w:val="subscript"/>
        </w:rPr>
        <w:t>5</w:t>
      </w:r>
      <w:r>
        <w:rPr>
          <w:rFonts w:cs="Times New Roman" w:eastAsiaTheme="minorEastAsia"/>
        </w:rPr>
        <w:t>——发生事故时可能进入该收集系统的降雨量，m</w:t>
      </w:r>
      <w:r>
        <w:rPr>
          <w:rFonts w:cs="Times New Roman" w:eastAsiaTheme="minorEastAsia"/>
          <w:vertAlign w:val="superscript"/>
        </w:rPr>
        <w:t>3</w:t>
      </w:r>
      <w:r>
        <w:rPr>
          <w:rFonts w:cs="Times New Roman" w:eastAsiaTheme="minorEastAsia"/>
        </w:rPr>
        <w:t>。</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4.9</w:t>
      </w:r>
      <w:r>
        <w:fldChar w:fldCharType="end"/>
      </w:r>
      <w:r>
        <w:noBreakHyphen/>
      </w:r>
      <w:r>
        <w:t xml:space="preserve">6 </w:t>
      </w:r>
      <w:r>
        <w:rPr>
          <w:rFonts w:hint="eastAsia"/>
        </w:rPr>
        <w:t>事故应急池容积核算</w:t>
      </w:r>
      <w:r>
        <w:tab/>
      </w:r>
      <w:r>
        <w:rPr>
          <w:rFonts w:hint="eastAsia"/>
        </w:rPr>
        <w:t>单位：</w:t>
      </w:r>
      <w:r>
        <w:rPr>
          <w:rFonts w:cs="Times New Roman" w:eastAsiaTheme="minorEastAsia"/>
          <w:szCs w:val="21"/>
        </w:rPr>
        <w:t>m</w:t>
      </w:r>
      <w:r>
        <w:rPr>
          <w:rFonts w:cs="Times New Roman" w:eastAsiaTheme="minorEastAsia"/>
          <w:szCs w:val="21"/>
          <w:vertAlign w:val="superscript"/>
        </w:rPr>
        <w:t>3</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5"/>
        <w:gridCol w:w="3130"/>
        <w:gridCol w:w="977"/>
        <w:gridCol w:w="38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5" w:type="dxa"/>
            <w:shd w:val="clear" w:color="auto" w:fill="BEBEBE" w:themeFill="background1" w:themeFillShade="BF"/>
            <w:vAlign w:val="center"/>
          </w:tcPr>
          <w:p>
            <w:pPr>
              <w:autoSpaceDE w:val="0"/>
              <w:autoSpaceDN w:val="0"/>
              <w:adjustRightInd w:val="0"/>
              <w:spacing w:line="240" w:lineRule="auto"/>
              <w:ind w:firstLine="0" w:firstLineChars="0"/>
              <w:jc w:val="center"/>
              <w:rPr>
                <w:rFonts w:cs="Times New Roman" w:eastAsiaTheme="minorEastAsia"/>
                <w:b/>
                <w:bCs/>
                <w:sz w:val="21"/>
                <w:szCs w:val="21"/>
              </w:rPr>
            </w:pPr>
            <w:r>
              <w:rPr>
                <w:rFonts w:cs="Times New Roman" w:eastAsiaTheme="minorEastAsia"/>
                <w:b/>
                <w:bCs/>
                <w:sz w:val="21"/>
                <w:szCs w:val="21"/>
              </w:rPr>
              <w:t>系数</w:t>
            </w:r>
          </w:p>
        </w:tc>
        <w:tc>
          <w:tcPr>
            <w:tcW w:w="3130" w:type="dxa"/>
            <w:shd w:val="clear" w:color="auto" w:fill="BEBEBE" w:themeFill="background1" w:themeFillShade="BF"/>
            <w:vAlign w:val="center"/>
          </w:tcPr>
          <w:p>
            <w:pPr>
              <w:autoSpaceDE w:val="0"/>
              <w:autoSpaceDN w:val="0"/>
              <w:adjustRightInd w:val="0"/>
              <w:spacing w:line="240" w:lineRule="auto"/>
              <w:ind w:firstLine="0" w:firstLineChars="0"/>
              <w:jc w:val="center"/>
              <w:rPr>
                <w:rFonts w:cs="Times New Roman" w:eastAsiaTheme="minorEastAsia"/>
                <w:b/>
                <w:bCs/>
                <w:sz w:val="21"/>
                <w:szCs w:val="21"/>
              </w:rPr>
            </w:pPr>
            <w:r>
              <w:rPr>
                <w:rFonts w:cs="Times New Roman" w:eastAsiaTheme="minorEastAsia"/>
                <w:b/>
                <w:bCs/>
                <w:sz w:val="21"/>
                <w:szCs w:val="21"/>
              </w:rPr>
              <w:t>系数内容</w:t>
            </w:r>
          </w:p>
        </w:tc>
        <w:tc>
          <w:tcPr>
            <w:tcW w:w="977" w:type="dxa"/>
            <w:shd w:val="clear" w:color="auto" w:fill="BEBEBE" w:themeFill="background1" w:themeFillShade="BF"/>
            <w:vAlign w:val="center"/>
          </w:tcPr>
          <w:p>
            <w:pPr>
              <w:autoSpaceDE w:val="0"/>
              <w:autoSpaceDN w:val="0"/>
              <w:adjustRightInd w:val="0"/>
              <w:spacing w:line="240" w:lineRule="auto"/>
              <w:ind w:firstLine="0" w:firstLineChars="0"/>
              <w:jc w:val="center"/>
              <w:rPr>
                <w:rFonts w:cs="Times New Roman" w:eastAsiaTheme="minorEastAsia"/>
                <w:b/>
                <w:bCs/>
                <w:sz w:val="21"/>
                <w:szCs w:val="21"/>
              </w:rPr>
            </w:pPr>
            <w:r>
              <w:rPr>
                <w:rFonts w:cs="Times New Roman" w:eastAsiaTheme="minorEastAsia"/>
                <w:b/>
                <w:bCs/>
                <w:sz w:val="21"/>
                <w:szCs w:val="21"/>
              </w:rPr>
              <w:t>取值m</w:t>
            </w:r>
            <w:r>
              <w:rPr>
                <w:rFonts w:cs="Times New Roman" w:eastAsiaTheme="minorEastAsia"/>
                <w:b/>
                <w:bCs/>
                <w:sz w:val="21"/>
                <w:szCs w:val="21"/>
                <w:vertAlign w:val="superscript"/>
              </w:rPr>
              <w:t>3</w:t>
            </w:r>
          </w:p>
        </w:tc>
        <w:tc>
          <w:tcPr>
            <w:tcW w:w="3838" w:type="dxa"/>
            <w:shd w:val="clear" w:color="auto" w:fill="BEBEBE" w:themeFill="background1" w:themeFillShade="BF"/>
            <w:vAlign w:val="center"/>
          </w:tcPr>
          <w:p>
            <w:pPr>
              <w:autoSpaceDE w:val="0"/>
              <w:autoSpaceDN w:val="0"/>
              <w:adjustRightInd w:val="0"/>
              <w:spacing w:line="240" w:lineRule="auto"/>
              <w:ind w:firstLine="0" w:firstLineChars="0"/>
              <w:jc w:val="center"/>
              <w:rPr>
                <w:rFonts w:cs="Times New Roman" w:eastAsiaTheme="minorEastAsia"/>
                <w:b/>
                <w:bCs/>
                <w:sz w:val="21"/>
                <w:szCs w:val="21"/>
              </w:rPr>
            </w:pPr>
            <w:r>
              <w:rPr>
                <w:rFonts w:cs="Times New Roman" w:eastAsiaTheme="minorEastAsia"/>
                <w:b/>
                <w:bCs/>
                <w:sz w:val="21"/>
                <w:szCs w:val="21"/>
              </w:rPr>
              <w:t>取值原由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5" w:type="dxa"/>
            <w:vAlign w:val="center"/>
          </w:tcPr>
          <w:p>
            <w:pPr>
              <w:autoSpaceDE w:val="0"/>
              <w:autoSpaceDN w:val="0"/>
              <w:adjustRightInd w:val="0"/>
              <w:spacing w:line="240" w:lineRule="auto"/>
              <w:ind w:firstLine="0" w:firstLineChars="0"/>
              <w:jc w:val="center"/>
              <w:rPr>
                <w:rFonts w:cs="Times New Roman" w:eastAsiaTheme="minorEastAsia"/>
                <w:sz w:val="21"/>
                <w:szCs w:val="21"/>
              </w:rPr>
            </w:pPr>
            <w:r>
              <w:rPr>
                <w:rFonts w:cs="Times New Roman" w:eastAsiaTheme="minorEastAsia"/>
                <w:sz w:val="21"/>
                <w:szCs w:val="21"/>
              </w:rPr>
              <w:t>V</w:t>
            </w:r>
            <w:r>
              <w:rPr>
                <w:rFonts w:cs="Times New Roman" w:eastAsiaTheme="minorEastAsia"/>
                <w:sz w:val="21"/>
                <w:szCs w:val="21"/>
                <w:vertAlign w:val="subscript"/>
              </w:rPr>
              <w:t>1</w:t>
            </w:r>
          </w:p>
        </w:tc>
        <w:tc>
          <w:tcPr>
            <w:tcW w:w="3130" w:type="dxa"/>
            <w:vAlign w:val="center"/>
          </w:tcPr>
          <w:p>
            <w:pPr>
              <w:autoSpaceDE w:val="0"/>
              <w:autoSpaceDN w:val="0"/>
              <w:adjustRightInd w:val="0"/>
              <w:spacing w:line="240" w:lineRule="auto"/>
              <w:ind w:firstLine="0" w:firstLineChars="0"/>
              <w:rPr>
                <w:rFonts w:cs="Times New Roman" w:eastAsiaTheme="minorEastAsia"/>
                <w:sz w:val="21"/>
                <w:szCs w:val="21"/>
              </w:rPr>
            </w:pPr>
            <w:r>
              <w:rPr>
                <w:rFonts w:cs="Times New Roman" w:eastAsiaTheme="minorEastAsia"/>
                <w:sz w:val="21"/>
                <w:szCs w:val="21"/>
              </w:rPr>
              <w:t>收集系统范围内发生事故的一个罐组或一套装置的物料量。罐组按一个最大储罐计，装置物料量按存留最大物料量的一台反应器或中间储罐计</w:t>
            </w:r>
          </w:p>
        </w:tc>
        <w:tc>
          <w:tcPr>
            <w:tcW w:w="977" w:type="dxa"/>
            <w:vAlign w:val="center"/>
          </w:tcPr>
          <w:p>
            <w:pPr>
              <w:autoSpaceDE w:val="0"/>
              <w:autoSpaceDN w:val="0"/>
              <w:adjustRightInd w:val="0"/>
              <w:spacing w:line="240" w:lineRule="auto"/>
              <w:ind w:firstLine="0" w:firstLineChars="0"/>
              <w:jc w:val="center"/>
              <w:rPr>
                <w:rFonts w:cs="Times New Roman" w:eastAsiaTheme="minorEastAsia"/>
                <w:sz w:val="21"/>
                <w:szCs w:val="21"/>
              </w:rPr>
            </w:pPr>
            <w:r>
              <w:rPr>
                <w:rFonts w:cs="Times New Roman" w:eastAsiaTheme="minorEastAsia"/>
                <w:sz w:val="21"/>
                <w:szCs w:val="21"/>
              </w:rPr>
              <w:t>0</w:t>
            </w:r>
          </w:p>
        </w:tc>
        <w:tc>
          <w:tcPr>
            <w:tcW w:w="3838" w:type="dxa"/>
            <w:vAlign w:val="center"/>
          </w:tcPr>
          <w:p>
            <w:pPr>
              <w:autoSpaceDE w:val="0"/>
              <w:autoSpaceDN w:val="0"/>
              <w:adjustRightInd w:val="0"/>
              <w:spacing w:line="240" w:lineRule="auto"/>
              <w:ind w:firstLine="0" w:firstLineChars="0"/>
              <w:jc w:val="center"/>
              <w:rPr>
                <w:rFonts w:cs="Times New Roman" w:eastAsiaTheme="minorEastAsia"/>
                <w:sz w:val="21"/>
                <w:szCs w:val="21"/>
              </w:rPr>
            </w:pPr>
            <w:r>
              <w:rPr>
                <w:rFonts w:cs="Times New Roman" w:eastAsiaTheme="minorEastAsia"/>
                <w:sz w:val="21"/>
                <w:szCs w:val="21"/>
              </w:rPr>
              <w:t>建设单位</w:t>
            </w:r>
            <w:r>
              <w:rPr>
                <w:rFonts w:hint="eastAsia" w:cs="Times New Roman" w:eastAsiaTheme="minorEastAsia"/>
                <w:sz w:val="21"/>
                <w:szCs w:val="21"/>
              </w:rPr>
              <w:t>无液态原料储罐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5" w:type="dxa"/>
            <w:vAlign w:val="center"/>
          </w:tcPr>
          <w:p>
            <w:pPr>
              <w:autoSpaceDE w:val="0"/>
              <w:autoSpaceDN w:val="0"/>
              <w:adjustRightInd w:val="0"/>
              <w:spacing w:line="240" w:lineRule="auto"/>
              <w:ind w:firstLine="0" w:firstLineChars="0"/>
              <w:jc w:val="center"/>
              <w:rPr>
                <w:rFonts w:cs="Times New Roman" w:eastAsiaTheme="minorEastAsia"/>
                <w:sz w:val="21"/>
                <w:szCs w:val="21"/>
              </w:rPr>
            </w:pPr>
            <w:r>
              <w:rPr>
                <w:rFonts w:cs="Times New Roman" w:eastAsiaTheme="minorEastAsia"/>
                <w:sz w:val="21"/>
                <w:szCs w:val="21"/>
              </w:rPr>
              <w:t>V</w:t>
            </w:r>
            <w:r>
              <w:rPr>
                <w:rFonts w:cs="Times New Roman" w:eastAsiaTheme="minorEastAsia"/>
                <w:sz w:val="21"/>
                <w:szCs w:val="21"/>
                <w:vertAlign w:val="subscript"/>
              </w:rPr>
              <w:t>2</w:t>
            </w:r>
          </w:p>
        </w:tc>
        <w:tc>
          <w:tcPr>
            <w:tcW w:w="3130" w:type="dxa"/>
            <w:vAlign w:val="center"/>
          </w:tcPr>
          <w:p>
            <w:pPr>
              <w:autoSpaceDE w:val="0"/>
              <w:autoSpaceDN w:val="0"/>
              <w:adjustRightInd w:val="0"/>
              <w:spacing w:line="240" w:lineRule="auto"/>
              <w:ind w:firstLine="0" w:firstLineChars="0"/>
              <w:rPr>
                <w:rFonts w:cs="Times New Roman" w:eastAsiaTheme="minorEastAsia"/>
                <w:sz w:val="21"/>
                <w:szCs w:val="21"/>
              </w:rPr>
            </w:pPr>
            <w:r>
              <w:rPr>
                <w:rFonts w:cs="Times New Roman" w:eastAsiaTheme="minorEastAsia"/>
                <w:sz w:val="21"/>
                <w:szCs w:val="21"/>
              </w:rPr>
              <w:t>发生事故的储罐或装置的消防水量</w:t>
            </w:r>
          </w:p>
        </w:tc>
        <w:tc>
          <w:tcPr>
            <w:tcW w:w="977" w:type="dxa"/>
            <w:vAlign w:val="center"/>
          </w:tcPr>
          <w:p>
            <w:pPr>
              <w:tabs>
                <w:tab w:val="center" w:pos="304"/>
                <w:tab w:val="left" w:pos="479"/>
              </w:tabs>
              <w:autoSpaceDE w:val="0"/>
              <w:autoSpaceDN w:val="0"/>
              <w:adjustRightInd w:val="0"/>
              <w:spacing w:line="240" w:lineRule="auto"/>
              <w:ind w:firstLine="0" w:firstLineChars="0"/>
              <w:jc w:val="center"/>
              <w:rPr>
                <w:rFonts w:cs="Times New Roman" w:eastAsiaTheme="minorEastAsia"/>
                <w:sz w:val="21"/>
                <w:szCs w:val="21"/>
              </w:rPr>
            </w:pPr>
            <w:r>
              <w:rPr>
                <w:rFonts w:cs="Times New Roman" w:eastAsiaTheme="minorEastAsia"/>
                <w:sz w:val="21"/>
                <w:szCs w:val="21"/>
              </w:rPr>
              <w:t>45</w:t>
            </w:r>
          </w:p>
        </w:tc>
        <w:tc>
          <w:tcPr>
            <w:tcW w:w="3838" w:type="dxa"/>
            <w:vAlign w:val="center"/>
          </w:tcPr>
          <w:p>
            <w:pPr>
              <w:autoSpaceDE w:val="0"/>
              <w:autoSpaceDN w:val="0"/>
              <w:adjustRightInd w:val="0"/>
              <w:spacing w:line="240" w:lineRule="auto"/>
              <w:ind w:firstLine="0" w:firstLineChars="0"/>
              <w:jc w:val="center"/>
              <w:rPr>
                <w:rFonts w:cs="Times New Roman" w:eastAsiaTheme="minorEastAsia"/>
                <w:sz w:val="21"/>
                <w:szCs w:val="21"/>
              </w:rPr>
            </w:pPr>
            <w:r>
              <w:rPr>
                <w:rFonts w:cs="Times New Roman" w:eastAsiaTheme="minorEastAsia"/>
                <w:sz w:val="21"/>
                <w:szCs w:val="21"/>
              </w:rPr>
              <w:t>根据《消防给水及消火栓系统技术规范》（GB 50974-2014），</w:t>
            </w:r>
            <w:r>
              <w:rPr>
                <w:rFonts w:hint="eastAsia" w:eastAsiaTheme="minorEastAsia"/>
                <w:sz w:val="21"/>
                <w:szCs w:val="21"/>
              </w:rPr>
              <w:t>室外消火栓用水量设定25L/s</w:t>
            </w:r>
            <w:r>
              <w:rPr>
                <w:rFonts w:cs="Times New Roman" w:eastAsiaTheme="minorEastAsia"/>
                <w:sz w:val="21"/>
                <w:szCs w:val="21"/>
              </w:rPr>
              <w:t>），火灾延续时间</w:t>
            </w:r>
            <w:r>
              <w:rPr>
                <w:rFonts w:hint="eastAsia" w:cs="Times New Roman" w:eastAsiaTheme="minorEastAsia"/>
                <w:sz w:val="21"/>
                <w:szCs w:val="21"/>
              </w:rPr>
              <w:t>取</w:t>
            </w:r>
            <w:r>
              <w:rPr>
                <w:rFonts w:cs="Times New Roman" w:eastAsiaTheme="minorEastAsia"/>
                <w:sz w:val="21"/>
                <w:szCs w:val="21"/>
              </w:rPr>
              <w:t>0.5小时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5" w:type="dxa"/>
            <w:vAlign w:val="center"/>
          </w:tcPr>
          <w:p>
            <w:pPr>
              <w:autoSpaceDE w:val="0"/>
              <w:autoSpaceDN w:val="0"/>
              <w:adjustRightInd w:val="0"/>
              <w:spacing w:line="240" w:lineRule="auto"/>
              <w:ind w:firstLine="0" w:firstLineChars="0"/>
              <w:jc w:val="center"/>
              <w:rPr>
                <w:rFonts w:cs="Times New Roman" w:eastAsiaTheme="minorEastAsia"/>
                <w:sz w:val="21"/>
                <w:szCs w:val="21"/>
              </w:rPr>
            </w:pPr>
            <w:r>
              <w:rPr>
                <w:rFonts w:cs="Times New Roman" w:eastAsiaTheme="minorEastAsia"/>
                <w:sz w:val="21"/>
                <w:szCs w:val="21"/>
              </w:rPr>
              <w:t>V</w:t>
            </w:r>
            <w:r>
              <w:rPr>
                <w:rFonts w:cs="Times New Roman" w:eastAsiaTheme="minorEastAsia"/>
                <w:sz w:val="21"/>
                <w:szCs w:val="21"/>
                <w:vertAlign w:val="subscript"/>
              </w:rPr>
              <w:t>3</w:t>
            </w:r>
          </w:p>
        </w:tc>
        <w:tc>
          <w:tcPr>
            <w:tcW w:w="3130" w:type="dxa"/>
            <w:vAlign w:val="center"/>
          </w:tcPr>
          <w:p>
            <w:pPr>
              <w:autoSpaceDE w:val="0"/>
              <w:autoSpaceDN w:val="0"/>
              <w:adjustRightInd w:val="0"/>
              <w:spacing w:line="240" w:lineRule="auto"/>
              <w:ind w:firstLine="0" w:firstLineChars="0"/>
              <w:rPr>
                <w:rFonts w:cs="Times New Roman" w:eastAsiaTheme="minorEastAsia"/>
                <w:sz w:val="21"/>
                <w:szCs w:val="21"/>
              </w:rPr>
            </w:pPr>
            <w:r>
              <w:rPr>
                <w:rFonts w:cs="Times New Roman" w:eastAsiaTheme="minorEastAsia"/>
                <w:sz w:val="21"/>
                <w:szCs w:val="21"/>
              </w:rPr>
              <w:t>发生事故时可以转输到其他储存或处理设施的物料量</w:t>
            </w:r>
          </w:p>
        </w:tc>
        <w:tc>
          <w:tcPr>
            <w:tcW w:w="977" w:type="dxa"/>
            <w:vAlign w:val="center"/>
          </w:tcPr>
          <w:p>
            <w:pPr>
              <w:autoSpaceDE w:val="0"/>
              <w:autoSpaceDN w:val="0"/>
              <w:adjustRightInd w:val="0"/>
              <w:spacing w:line="240" w:lineRule="auto"/>
              <w:ind w:firstLine="0" w:firstLineChars="0"/>
              <w:jc w:val="center"/>
              <w:rPr>
                <w:rFonts w:cs="Times New Roman" w:eastAsiaTheme="minorEastAsia"/>
                <w:sz w:val="21"/>
                <w:szCs w:val="21"/>
              </w:rPr>
            </w:pPr>
            <w:r>
              <w:rPr>
                <w:rFonts w:cs="Times New Roman" w:eastAsiaTheme="minorEastAsia"/>
                <w:sz w:val="21"/>
                <w:szCs w:val="21"/>
              </w:rPr>
              <w:t>0</w:t>
            </w:r>
          </w:p>
        </w:tc>
        <w:tc>
          <w:tcPr>
            <w:tcW w:w="3838" w:type="dxa"/>
            <w:vAlign w:val="center"/>
          </w:tcPr>
          <w:p>
            <w:pPr>
              <w:autoSpaceDE w:val="0"/>
              <w:autoSpaceDN w:val="0"/>
              <w:adjustRightInd w:val="0"/>
              <w:spacing w:line="240" w:lineRule="auto"/>
              <w:ind w:firstLine="0" w:firstLineChars="0"/>
              <w:jc w:val="center"/>
              <w:rPr>
                <w:rFonts w:cs="Times New Roman" w:eastAsiaTheme="minorEastAsia"/>
                <w:sz w:val="21"/>
                <w:szCs w:val="21"/>
              </w:rPr>
            </w:pPr>
            <w:r>
              <w:rPr>
                <w:rFonts w:cs="Times New Roman" w:eastAsiaTheme="minorEastAsia"/>
                <w:sz w:val="21"/>
                <w:szCs w:val="21"/>
              </w:rPr>
              <w:t>按最坏情况考虑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5" w:type="dxa"/>
            <w:vAlign w:val="center"/>
          </w:tcPr>
          <w:p>
            <w:pPr>
              <w:autoSpaceDE w:val="0"/>
              <w:autoSpaceDN w:val="0"/>
              <w:adjustRightInd w:val="0"/>
              <w:spacing w:line="240" w:lineRule="auto"/>
              <w:ind w:firstLine="0" w:firstLineChars="0"/>
              <w:jc w:val="center"/>
              <w:rPr>
                <w:rFonts w:cs="Times New Roman" w:eastAsiaTheme="minorEastAsia"/>
                <w:sz w:val="21"/>
                <w:szCs w:val="21"/>
              </w:rPr>
            </w:pPr>
            <w:r>
              <w:rPr>
                <w:rFonts w:cs="Times New Roman" w:eastAsiaTheme="minorEastAsia"/>
                <w:sz w:val="21"/>
                <w:szCs w:val="21"/>
              </w:rPr>
              <w:t>V</w:t>
            </w:r>
            <w:r>
              <w:rPr>
                <w:rFonts w:cs="Times New Roman" w:eastAsiaTheme="minorEastAsia"/>
                <w:sz w:val="21"/>
                <w:szCs w:val="21"/>
                <w:vertAlign w:val="subscript"/>
              </w:rPr>
              <w:t>4</w:t>
            </w:r>
          </w:p>
        </w:tc>
        <w:tc>
          <w:tcPr>
            <w:tcW w:w="3130" w:type="dxa"/>
            <w:vAlign w:val="center"/>
          </w:tcPr>
          <w:p>
            <w:pPr>
              <w:autoSpaceDE w:val="0"/>
              <w:autoSpaceDN w:val="0"/>
              <w:adjustRightInd w:val="0"/>
              <w:spacing w:line="240" w:lineRule="auto"/>
              <w:ind w:firstLine="0" w:firstLineChars="0"/>
              <w:rPr>
                <w:rFonts w:cs="Times New Roman" w:eastAsiaTheme="minorEastAsia"/>
                <w:sz w:val="21"/>
                <w:szCs w:val="21"/>
              </w:rPr>
            </w:pPr>
            <w:r>
              <w:rPr>
                <w:rFonts w:cs="Times New Roman" w:eastAsiaTheme="minorEastAsia"/>
                <w:sz w:val="21"/>
                <w:szCs w:val="21"/>
              </w:rPr>
              <w:t>发生事故时仍必须进入该收集系统的生产废水量</w:t>
            </w:r>
          </w:p>
        </w:tc>
        <w:tc>
          <w:tcPr>
            <w:tcW w:w="977" w:type="dxa"/>
            <w:vAlign w:val="center"/>
          </w:tcPr>
          <w:p>
            <w:pPr>
              <w:autoSpaceDE w:val="0"/>
              <w:autoSpaceDN w:val="0"/>
              <w:adjustRightInd w:val="0"/>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0</w:t>
            </w:r>
          </w:p>
        </w:tc>
        <w:tc>
          <w:tcPr>
            <w:tcW w:w="3838" w:type="dxa"/>
            <w:vAlign w:val="center"/>
          </w:tcPr>
          <w:p>
            <w:pPr>
              <w:autoSpaceDE w:val="0"/>
              <w:autoSpaceDN w:val="0"/>
              <w:adjustRightInd w:val="0"/>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无生产废水产生，不考虑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5" w:type="dxa"/>
            <w:vAlign w:val="center"/>
          </w:tcPr>
          <w:p>
            <w:pPr>
              <w:autoSpaceDE w:val="0"/>
              <w:autoSpaceDN w:val="0"/>
              <w:adjustRightInd w:val="0"/>
              <w:spacing w:line="240" w:lineRule="auto"/>
              <w:ind w:firstLine="0" w:firstLineChars="0"/>
              <w:jc w:val="center"/>
              <w:rPr>
                <w:rFonts w:cs="Times New Roman" w:eastAsiaTheme="minorEastAsia"/>
                <w:sz w:val="21"/>
                <w:szCs w:val="21"/>
              </w:rPr>
            </w:pPr>
            <w:r>
              <w:rPr>
                <w:rFonts w:cs="Times New Roman" w:eastAsiaTheme="minorEastAsia"/>
                <w:sz w:val="21"/>
                <w:szCs w:val="21"/>
              </w:rPr>
              <w:t>V</w:t>
            </w:r>
            <w:r>
              <w:rPr>
                <w:rFonts w:cs="Times New Roman" w:eastAsiaTheme="minorEastAsia"/>
                <w:sz w:val="21"/>
                <w:szCs w:val="21"/>
                <w:vertAlign w:val="subscript"/>
              </w:rPr>
              <w:t>5</w:t>
            </w:r>
          </w:p>
        </w:tc>
        <w:tc>
          <w:tcPr>
            <w:tcW w:w="3130" w:type="dxa"/>
            <w:vAlign w:val="center"/>
          </w:tcPr>
          <w:p>
            <w:pPr>
              <w:autoSpaceDE w:val="0"/>
              <w:autoSpaceDN w:val="0"/>
              <w:adjustRightInd w:val="0"/>
              <w:spacing w:line="240" w:lineRule="auto"/>
              <w:ind w:firstLine="0" w:firstLineChars="0"/>
              <w:rPr>
                <w:rFonts w:cs="Times New Roman" w:eastAsiaTheme="minorEastAsia"/>
                <w:sz w:val="21"/>
                <w:szCs w:val="21"/>
              </w:rPr>
            </w:pPr>
            <w:r>
              <w:rPr>
                <w:rFonts w:cs="Times New Roman" w:eastAsiaTheme="minorEastAsia"/>
                <w:sz w:val="21"/>
                <w:szCs w:val="21"/>
              </w:rPr>
              <w:t>发生事故时可能进入该收集系统的降雨量</w:t>
            </w:r>
          </w:p>
        </w:tc>
        <w:tc>
          <w:tcPr>
            <w:tcW w:w="977" w:type="dxa"/>
            <w:vAlign w:val="center"/>
          </w:tcPr>
          <w:p>
            <w:pPr>
              <w:tabs>
                <w:tab w:val="center" w:pos="304"/>
                <w:tab w:val="left" w:pos="479"/>
              </w:tabs>
              <w:autoSpaceDE w:val="0"/>
              <w:autoSpaceDN w:val="0"/>
              <w:adjustRightInd w:val="0"/>
              <w:spacing w:line="240" w:lineRule="auto"/>
              <w:ind w:firstLine="0" w:firstLineChars="0"/>
              <w:jc w:val="center"/>
              <w:rPr>
                <w:rFonts w:cs="Times New Roman" w:eastAsiaTheme="minorEastAsia"/>
                <w:sz w:val="21"/>
                <w:szCs w:val="21"/>
              </w:rPr>
            </w:pPr>
            <w:r>
              <w:rPr>
                <w:rFonts w:cs="Times New Roman" w:eastAsiaTheme="minorEastAsia"/>
                <w:sz w:val="21"/>
                <w:szCs w:val="21"/>
              </w:rPr>
              <w:t>36.992</w:t>
            </w:r>
          </w:p>
        </w:tc>
        <w:tc>
          <w:tcPr>
            <w:tcW w:w="3838" w:type="dxa"/>
            <w:vAlign w:val="center"/>
          </w:tcPr>
          <w:p>
            <w:pPr>
              <w:autoSpaceDE w:val="0"/>
              <w:autoSpaceDN w:val="0"/>
              <w:adjustRightInd w:val="0"/>
              <w:spacing w:line="240" w:lineRule="auto"/>
              <w:ind w:firstLine="0" w:firstLineChars="0"/>
              <w:rPr>
                <w:rFonts w:cs="Times New Roman" w:eastAsiaTheme="minorEastAsia"/>
                <w:sz w:val="21"/>
                <w:szCs w:val="21"/>
              </w:rPr>
            </w:pPr>
            <w:r>
              <w:rPr>
                <w:rFonts w:cs="Times New Roman" w:eastAsiaTheme="minorEastAsia"/>
                <w:sz w:val="21"/>
                <w:szCs w:val="21"/>
              </w:rPr>
              <w:t>V</w:t>
            </w:r>
            <w:r>
              <w:rPr>
                <w:rFonts w:cs="Times New Roman" w:eastAsiaTheme="minorEastAsia"/>
                <w:sz w:val="21"/>
                <w:szCs w:val="21"/>
                <w:vertAlign w:val="subscript"/>
              </w:rPr>
              <w:t>5</w:t>
            </w:r>
            <w:r>
              <w:rPr>
                <w:rFonts w:cs="Times New Roman" w:eastAsiaTheme="minorEastAsia"/>
                <w:sz w:val="21"/>
                <w:szCs w:val="21"/>
              </w:rPr>
              <w:t>=事故时间×降雨强度，根据</w:t>
            </w:r>
            <w:r>
              <w:rPr>
                <w:rFonts w:hint="eastAsia" w:cs="Times New Roman" w:eastAsiaTheme="minorEastAsia"/>
                <w:sz w:val="21"/>
                <w:szCs w:val="21"/>
              </w:rPr>
              <w:t>开平市近2</w:t>
            </w:r>
            <w:r>
              <w:rPr>
                <w:rFonts w:cs="Times New Roman" w:eastAsiaTheme="minorEastAsia"/>
                <w:sz w:val="21"/>
                <w:szCs w:val="21"/>
              </w:rPr>
              <w:t>0</w:t>
            </w:r>
            <w:r>
              <w:rPr>
                <w:rFonts w:hint="eastAsia" w:cs="Times New Roman" w:eastAsiaTheme="minorEastAsia"/>
                <w:sz w:val="21"/>
                <w:szCs w:val="21"/>
              </w:rPr>
              <w:t>年</w:t>
            </w:r>
            <w:r>
              <w:rPr>
                <w:rFonts w:cs="Times New Roman" w:eastAsiaTheme="minorEastAsia"/>
                <w:sz w:val="21"/>
                <w:szCs w:val="21"/>
              </w:rPr>
              <w:t>的年平均降水量1827.4mm，年平均降水天数197.6天，项目</w:t>
            </w:r>
            <w:r>
              <w:rPr>
                <w:rFonts w:hint="eastAsia" w:cs="Times New Roman" w:eastAsiaTheme="minorEastAsia"/>
                <w:sz w:val="21"/>
                <w:szCs w:val="21"/>
              </w:rPr>
              <w:t>可能出现的污染区（仓库、厂房、周转区、厂区道路、污染治理设施等）面积约为4</w:t>
            </w:r>
            <w:r>
              <w:rPr>
                <w:rFonts w:cs="Times New Roman" w:eastAsiaTheme="minorEastAsia"/>
                <w:sz w:val="21"/>
                <w:szCs w:val="21"/>
              </w:rPr>
              <w:t>00</w:t>
            </w:r>
            <w:r>
              <w:rPr>
                <w:rFonts w:hint="eastAsia" w:cs="Times New Roman" w:eastAsiaTheme="minorEastAsia"/>
                <w:sz w:val="21"/>
                <w:szCs w:val="21"/>
              </w:rPr>
              <w:t>0</w:t>
            </w:r>
            <w:r>
              <w:rPr>
                <w:rFonts w:cs="Times New Roman" w:eastAsiaTheme="minorEastAsia"/>
                <w:sz w:val="21"/>
                <w:szCs w:val="21"/>
              </w:rPr>
              <w:t>m</w:t>
            </w:r>
            <w:r>
              <w:rPr>
                <w:rFonts w:cs="Times New Roman" w:eastAsiaTheme="minorEastAsia"/>
                <w:sz w:val="21"/>
                <w:szCs w:val="21"/>
                <w:vertAlign w:val="superscript"/>
              </w:rPr>
              <w:t>2</w:t>
            </w:r>
            <w:r>
              <w:rPr>
                <w:rFonts w:cs="Times New Roman" w:eastAsiaTheme="minorEastAsia"/>
                <w:sz w:val="21"/>
                <w:szCs w:val="21"/>
              </w:rPr>
              <w:t>，则V5=1827.4/197.6×4000/1000=36.992m</w:t>
            </w:r>
            <w:r>
              <w:rPr>
                <w:rFonts w:cs="Times New Roman" w:eastAsiaTheme="minorEastAsia"/>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5" w:type="dxa"/>
            <w:vAlign w:val="center"/>
          </w:tcPr>
          <w:p>
            <w:pPr>
              <w:autoSpaceDE w:val="0"/>
              <w:autoSpaceDN w:val="0"/>
              <w:adjustRightInd w:val="0"/>
              <w:spacing w:line="240" w:lineRule="auto"/>
              <w:ind w:firstLine="0" w:firstLineChars="0"/>
              <w:jc w:val="center"/>
              <w:rPr>
                <w:rFonts w:cs="Times New Roman" w:eastAsiaTheme="minorEastAsia"/>
                <w:sz w:val="21"/>
                <w:szCs w:val="21"/>
              </w:rPr>
            </w:pPr>
            <w:r>
              <w:rPr>
                <w:rFonts w:cs="Times New Roman" w:eastAsiaTheme="minorEastAsia"/>
                <w:sz w:val="21"/>
                <w:szCs w:val="21"/>
              </w:rPr>
              <w:t>V</w:t>
            </w:r>
            <w:r>
              <w:rPr>
                <w:rFonts w:cs="Times New Roman" w:eastAsiaTheme="minorEastAsia"/>
                <w:sz w:val="21"/>
                <w:szCs w:val="21"/>
                <w:vertAlign w:val="subscript"/>
              </w:rPr>
              <w:t>总</w:t>
            </w:r>
          </w:p>
        </w:tc>
        <w:tc>
          <w:tcPr>
            <w:tcW w:w="7945" w:type="dxa"/>
            <w:gridSpan w:val="3"/>
            <w:vAlign w:val="center"/>
          </w:tcPr>
          <w:p>
            <w:pPr>
              <w:autoSpaceDE w:val="0"/>
              <w:autoSpaceDN w:val="0"/>
              <w:adjustRightInd w:val="0"/>
              <w:spacing w:line="240" w:lineRule="auto"/>
              <w:ind w:firstLine="0" w:firstLineChars="0"/>
              <w:jc w:val="center"/>
              <w:rPr>
                <w:rFonts w:cs="Times New Roman" w:eastAsiaTheme="minorEastAsia"/>
                <w:sz w:val="21"/>
                <w:szCs w:val="21"/>
              </w:rPr>
            </w:pPr>
            <w:r>
              <w:rPr>
                <w:rFonts w:cs="Times New Roman" w:eastAsiaTheme="minorEastAsia"/>
                <w:sz w:val="21"/>
                <w:szCs w:val="21"/>
              </w:rPr>
              <w:t>81.992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5" w:type="dxa"/>
            <w:vAlign w:val="center"/>
          </w:tcPr>
          <w:p>
            <w:pPr>
              <w:autoSpaceDE w:val="0"/>
              <w:autoSpaceDN w:val="0"/>
              <w:adjustRightInd w:val="0"/>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设计容积</w:t>
            </w:r>
          </w:p>
        </w:tc>
        <w:tc>
          <w:tcPr>
            <w:tcW w:w="7945" w:type="dxa"/>
            <w:gridSpan w:val="3"/>
            <w:vAlign w:val="center"/>
          </w:tcPr>
          <w:p>
            <w:pPr>
              <w:autoSpaceDE w:val="0"/>
              <w:autoSpaceDN w:val="0"/>
              <w:adjustRightInd w:val="0"/>
              <w:spacing w:line="240" w:lineRule="auto"/>
              <w:ind w:firstLine="0" w:firstLineChars="0"/>
              <w:jc w:val="center"/>
              <w:rPr>
                <w:rFonts w:cs="Times New Roman" w:eastAsiaTheme="minorEastAsia"/>
                <w:sz w:val="21"/>
                <w:szCs w:val="21"/>
              </w:rPr>
            </w:pPr>
            <w:r>
              <w:rPr>
                <w:rFonts w:cs="Times New Roman" w:eastAsiaTheme="minorEastAsia"/>
                <w:sz w:val="21"/>
                <w:szCs w:val="21"/>
              </w:rPr>
              <w:t>82</w:t>
            </w:r>
          </w:p>
        </w:tc>
      </w:tr>
    </w:tbl>
    <w:p>
      <w:pPr>
        <w:autoSpaceDE w:val="0"/>
        <w:autoSpaceDN w:val="0"/>
        <w:ind w:firstLine="480"/>
        <w:rPr>
          <w:rFonts w:cs="Times New Roman" w:eastAsiaTheme="minorEastAsia"/>
        </w:rPr>
      </w:pPr>
      <w:r>
        <w:rPr>
          <w:rFonts w:cs="Times New Roman" w:eastAsiaTheme="minorEastAsia"/>
        </w:rPr>
        <w:t>结合以上分析，</w:t>
      </w:r>
      <w:r>
        <w:rPr>
          <w:rFonts w:cs="Times New Roman" w:eastAsiaTheme="minorEastAsia"/>
          <w:kern w:val="2"/>
        </w:rPr>
        <w:t>本项目</w:t>
      </w:r>
      <w:r>
        <w:rPr>
          <w:rFonts w:hint="eastAsia" w:cs="Times New Roman" w:eastAsiaTheme="minorEastAsia"/>
          <w:kern w:val="2"/>
        </w:rPr>
        <w:t>火灾</w:t>
      </w:r>
      <w:r>
        <w:rPr>
          <w:rFonts w:cs="Times New Roman" w:eastAsiaTheme="minorEastAsia"/>
          <w:kern w:val="2"/>
        </w:rPr>
        <w:t>事故</w:t>
      </w:r>
      <w:r>
        <w:rPr>
          <w:rFonts w:hint="eastAsia" w:cs="Times New Roman" w:eastAsiaTheme="minorEastAsia"/>
          <w:kern w:val="2"/>
        </w:rPr>
        <w:t>消防废水约</w:t>
      </w:r>
      <w:r>
        <w:rPr>
          <w:rFonts w:cs="Times New Roman" w:eastAsiaTheme="minorEastAsia"/>
          <w:kern w:val="2"/>
        </w:rPr>
        <w:t>81.992m</w:t>
      </w:r>
      <w:r>
        <w:rPr>
          <w:rFonts w:cs="Times New Roman" w:eastAsiaTheme="minorEastAsia"/>
          <w:kern w:val="2"/>
          <w:vertAlign w:val="superscript"/>
        </w:rPr>
        <w:t>3</w:t>
      </w:r>
      <w:r>
        <w:rPr>
          <w:rFonts w:cs="Times New Roman" w:eastAsiaTheme="minorEastAsia"/>
          <w:kern w:val="2"/>
        </w:rPr>
        <w:t>。</w:t>
      </w:r>
      <w:r>
        <w:rPr>
          <w:rFonts w:cs="Times New Roman" w:eastAsiaTheme="minorEastAsia"/>
        </w:rPr>
        <w:t>本项目拟在车间进出口设置漫坡，</w:t>
      </w:r>
      <w:r>
        <w:rPr>
          <w:rFonts w:hint="eastAsia" w:cs="Times New Roman" w:eastAsiaTheme="minorEastAsia"/>
        </w:rPr>
        <w:t>车间内储存区设置围堰，用于收集室内事故消防废水。室外</w:t>
      </w:r>
      <w:r>
        <w:rPr>
          <w:rFonts w:cs="Times New Roman" w:eastAsiaTheme="minorEastAsia"/>
        </w:rPr>
        <w:t>事故废水由</w:t>
      </w:r>
      <w:r>
        <w:rPr>
          <w:rFonts w:hint="eastAsia" w:cs="Times New Roman" w:eastAsiaTheme="minorEastAsia"/>
        </w:rPr>
        <w:t>厂房</w:t>
      </w:r>
      <w:r>
        <w:rPr>
          <w:rFonts w:cs="Times New Roman" w:eastAsiaTheme="minorEastAsia"/>
        </w:rPr>
        <w:t>周边雨水管网收集，在雨水管网加设闸门、排水泵，项目拟在</w:t>
      </w:r>
      <w:r>
        <w:rPr>
          <w:rFonts w:hint="eastAsia" w:cs="Times New Roman" w:eastAsiaTheme="minorEastAsia"/>
        </w:rPr>
        <w:t>厂区西</w:t>
      </w:r>
      <w:r>
        <w:rPr>
          <w:rFonts w:cs="Times New Roman" w:eastAsiaTheme="minorEastAsia"/>
        </w:rPr>
        <w:t>南侧设置一个容积为82 m</w:t>
      </w:r>
      <w:r>
        <w:rPr>
          <w:rFonts w:cs="Times New Roman" w:eastAsiaTheme="minorEastAsia"/>
          <w:vertAlign w:val="superscript"/>
        </w:rPr>
        <w:t>3</w:t>
      </w:r>
      <w:r>
        <w:rPr>
          <w:rFonts w:cs="Times New Roman" w:eastAsiaTheme="minorEastAsia"/>
        </w:rPr>
        <w:t>的</w:t>
      </w:r>
      <w:bookmarkStart w:id="577" w:name="_Hlk10904319"/>
      <w:r>
        <w:rPr>
          <w:rFonts w:cs="Times New Roman" w:eastAsiaTheme="minorEastAsia"/>
        </w:rPr>
        <w:t>事故应急池</w:t>
      </w:r>
      <w:bookmarkEnd w:id="577"/>
      <w:r>
        <w:rPr>
          <w:rFonts w:cs="Times New Roman" w:eastAsiaTheme="minorEastAsia"/>
        </w:rPr>
        <w:t>，</w:t>
      </w:r>
      <w:r>
        <w:rPr>
          <w:rFonts w:hint="eastAsia" w:cs="Times New Roman" w:eastAsiaTheme="minorEastAsia"/>
        </w:rPr>
        <w:t>以</w:t>
      </w:r>
      <w:r>
        <w:rPr>
          <w:rFonts w:cs="Times New Roman" w:eastAsiaTheme="minorEastAsia"/>
        </w:rPr>
        <w:t>满足</w:t>
      </w:r>
      <w:r>
        <w:rPr>
          <w:rFonts w:hint="eastAsia" w:cs="Times New Roman" w:eastAsiaTheme="minorEastAsia"/>
        </w:rPr>
        <w:t>事故状态废水截流收集</w:t>
      </w:r>
      <w:r>
        <w:rPr>
          <w:rFonts w:cs="Times New Roman" w:eastAsiaTheme="minorEastAsia"/>
        </w:rPr>
        <w:t>要求。</w:t>
      </w:r>
    </w:p>
    <w:p>
      <w:pPr>
        <w:ind w:firstLine="480"/>
        <w:rPr>
          <w:rFonts w:cs="Times New Roman" w:eastAsiaTheme="minorEastAsia"/>
          <w:kern w:val="2"/>
        </w:rPr>
      </w:pPr>
      <w:r>
        <w:rPr>
          <w:rFonts w:cs="Times New Roman" w:eastAsiaTheme="minorEastAsia"/>
          <w:kern w:val="2"/>
        </w:rPr>
        <w:t>当发生事故时，</w:t>
      </w:r>
      <w:r>
        <w:rPr>
          <w:rFonts w:hint="eastAsia" w:cs="Times New Roman" w:eastAsiaTheme="minorEastAsia"/>
          <w:kern w:val="2"/>
        </w:rPr>
        <w:t>应及时采取阻断厂区雨水明渠排口或关闭雨水管阀、切换阀门引流事故废水的措施</w:t>
      </w:r>
      <w:r>
        <w:rPr>
          <w:rFonts w:cs="Times New Roman" w:eastAsiaTheme="minorEastAsia"/>
        </w:rPr>
        <w:t>，</w:t>
      </w:r>
      <w:r>
        <w:rPr>
          <w:rFonts w:hint="eastAsia" w:cs="Times New Roman" w:eastAsiaTheme="minorEastAsia"/>
        </w:rPr>
        <w:t>将</w:t>
      </w:r>
      <w:r>
        <w:rPr>
          <w:rFonts w:cs="Times New Roman" w:eastAsiaTheme="minorEastAsia"/>
        </w:rPr>
        <w:t>事故废水截流于项目的事故应急池</w:t>
      </w:r>
      <w:r>
        <w:rPr>
          <w:rFonts w:hint="eastAsia" w:cs="Times New Roman" w:eastAsiaTheme="minorEastAsia"/>
        </w:rPr>
        <w:t>池内</w:t>
      </w:r>
      <w:r>
        <w:rPr>
          <w:rFonts w:cs="Times New Roman" w:eastAsiaTheme="minorEastAsia"/>
        </w:rPr>
        <w:t>，事后</w:t>
      </w:r>
      <w:r>
        <w:rPr>
          <w:rFonts w:hint="eastAsia" w:cs="Times New Roman" w:eastAsiaTheme="minorEastAsia"/>
        </w:rPr>
        <w:t>经检测鉴定后处理</w:t>
      </w:r>
      <w:r>
        <w:rPr>
          <w:rFonts w:cs="Times New Roman" w:eastAsiaTheme="minorEastAsia"/>
        </w:rPr>
        <w:t>，</w:t>
      </w:r>
      <w:r>
        <w:rPr>
          <w:rFonts w:cs="Times New Roman" w:eastAsiaTheme="minorEastAsia"/>
          <w:kern w:val="2"/>
        </w:rPr>
        <w:t>不直接排到外部环境。</w:t>
      </w:r>
    </w:p>
    <w:p>
      <w:pPr>
        <w:pStyle w:val="6"/>
      </w:pPr>
      <w:r>
        <w:rPr>
          <w:rFonts w:hint="eastAsia"/>
        </w:rPr>
        <w:t>危险废物泄漏事故影响分析</w:t>
      </w:r>
    </w:p>
    <w:p>
      <w:pPr>
        <w:ind w:firstLine="480"/>
        <w:rPr>
          <w:rFonts w:eastAsiaTheme="minorEastAsia"/>
        </w:rPr>
      </w:pPr>
      <w:r>
        <w:rPr>
          <w:rFonts w:hint="eastAsia" w:eastAsiaTheme="minorEastAsia"/>
        </w:rPr>
        <w:t>项目产生的废活性炭、废润滑油、含油废抹布的废物量不大，要求企业按规范设置专门收集容器和专门的储存场所，储存场所采取硬底化处理，存放场设置围堰。收集的危险废物均委托有危险废物处理资质单位专门收运和处置。根据同类企业危险废物储存场的运营调查，在采取以上措施后较难发生废物泄漏和污染事故。其泄漏风险基本可控。</w:t>
      </w:r>
    </w:p>
    <w:p>
      <w:pPr>
        <w:pStyle w:val="6"/>
      </w:pPr>
      <w:r>
        <w:t>废气事故性排放的环境风险影响分析</w:t>
      </w:r>
    </w:p>
    <w:p>
      <w:pPr>
        <w:ind w:firstLine="480"/>
        <w:rPr>
          <w:rFonts w:eastAsiaTheme="minorEastAsia"/>
        </w:rPr>
      </w:pPr>
      <w:r>
        <w:rPr>
          <w:rFonts w:hint="eastAsia" w:eastAsiaTheme="minorEastAsia"/>
        </w:rPr>
        <w:t>由于项目废气量较大，污染物较多，易发生废气处理设施失效，如风机故障，风管破裂而泄漏等，当废气处理设施发生故障时，大量未经处理的废气将随风扩散，将对周围的环境空气质量造成不良影响。废气事故的年发生概率极低，因此，如果防范措施得当，对事故的预先判断准确及时，并采取正确的方法应对，则风险事故对周围大气环境的影响将大大降低。导致废气事故排放的主要原因有：</w:t>
      </w:r>
    </w:p>
    <w:p>
      <w:pPr>
        <w:ind w:firstLine="480"/>
        <w:rPr>
          <w:rFonts w:eastAsiaTheme="minorEastAsia"/>
        </w:rPr>
      </w:pPr>
      <w:r>
        <w:rPr>
          <w:rFonts w:hint="eastAsia" w:eastAsiaTheme="minorEastAsia"/>
        </w:rPr>
        <w:t>1、生产中废气排出状况波动异常；</w:t>
      </w:r>
    </w:p>
    <w:p>
      <w:pPr>
        <w:ind w:firstLine="480"/>
        <w:rPr>
          <w:rFonts w:eastAsiaTheme="minorEastAsia"/>
        </w:rPr>
      </w:pPr>
      <w:r>
        <w:rPr>
          <w:rFonts w:hint="eastAsia" w:eastAsiaTheme="minorEastAsia"/>
        </w:rPr>
        <w:t>2、净化系统出现泄漏现象；</w:t>
      </w:r>
    </w:p>
    <w:p>
      <w:pPr>
        <w:ind w:firstLine="480"/>
        <w:rPr>
          <w:rFonts w:eastAsiaTheme="minorEastAsia"/>
        </w:rPr>
      </w:pPr>
      <w:r>
        <w:rPr>
          <w:rFonts w:hint="eastAsia" w:eastAsiaTheme="minorEastAsia"/>
        </w:rPr>
        <w:t>3、操作不当或未根据近期状况的变化及时调整工艺参数；</w:t>
      </w:r>
    </w:p>
    <w:p>
      <w:pPr>
        <w:ind w:firstLine="480"/>
        <w:rPr>
          <w:rFonts w:eastAsiaTheme="minorEastAsia"/>
        </w:rPr>
      </w:pPr>
      <w:r>
        <w:rPr>
          <w:rFonts w:hint="eastAsia" w:eastAsiaTheme="minorEastAsia"/>
        </w:rPr>
        <w:t>4、未按规程和设备状况进行净化系统再生，未及时对布袋除尘器清灰及未及时更新活性炭。</w:t>
      </w:r>
    </w:p>
    <w:p>
      <w:pPr>
        <w:ind w:firstLine="480"/>
        <w:rPr>
          <w:rFonts w:eastAsiaTheme="minorEastAsia"/>
        </w:rPr>
      </w:pPr>
      <w:r>
        <w:rPr>
          <w:rFonts w:hint="eastAsia" w:eastAsiaTheme="minorEastAsia"/>
        </w:rPr>
        <w:t>为了减轻本项目对周围环境的影响程度和范围，保证该地区的可持续发展，建设单位须做好废气处理设备的维护工作，确保废气达标排放；须建立严格、规范的大气污染应急预案，加强废气净化设施的日常管理、维护。当废气处理设备出现故障不能正常运行时，应尽快停产进行维修，避免对周围环境造成污染影响。</w:t>
      </w:r>
    </w:p>
    <w:p>
      <w:pPr>
        <w:pStyle w:val="5"/>
      </w:pPr>
      <w:bookmarkStart w:id="578" w:name="_Toc28383"/>
      <w:r>
        <w:t>风险评价结论</w:t>
      </w:r>
      <w:r>
        <w:rPr>
          <w:rFonts w:hint="eastAsia"/>
        </w:rPr>
        <w:t>与建议</w:t>
      </w:r>
      <w:bookmarkEnd w:id="578"/>
    </w:p>
    <w:p>
      <w:pPr>
        <w:ind w:firstLine="482"/>
        <w:rPr>
          <w:rFonts w:eastAsiaTheme="minorEastAsia"/>
          <w:b/>
          <w:bCs/>
          <w:szCs w:val="20"/>
        </w:rPr>
      </w:pPr>
      <w:r>
        <w:rPr>
          <w:rFonts w:hint="eastAsia" w:eastAsiaTheme="minorEastAsia"/>
          <w:b/>
          <w:bCs/>
          <w:szCs w:val="20"/>
        </w:rPr>
        <w:t>1、结论</w:t>
      </w:r>
    </w:p>
    <w:p>
      <w:pPr>
        <w:ind w:firstLine="480"/>
        <w:rPr>
          <w:rFonts w:eastAsiaTheme="minorEastAsia"/>
        </w:rPr>
      </w:pPr>
      <w:r>
        <w:rPr>
          <w:rFonts w:hint="eastAsia" w:eastAsiaTheme="minorEastAsia"/>
        </w:rPr>
        <w:t>公司产品不属于危险化学品；原辅材料无剧毒化学品；无列入《重点环境管理危险化学品目录》化学品；项目使用硫磺属于危险化学品，经重大危险源辨识，未构成重大危险源。</w:t>
      </w:r>
    </w:p>
    <w:p>
      <w:pPr>
        <w:ind w:firstLine="480"/>
        <w:rPr>
          <w:rFonts w:eastAsiaTheme="minorEastAsia"/>
        </w:rPr>
      </w:pPr>
      <w:r>
        <w:rPr>
          <w:rFonts w:hint="eastAsia" w:eastAsiaTheme="minorEastAsia"/>
        </w:rPr>
        <w:t>经源项分析，本项目主要环境风险因素是化学品的泄漏，同时由于泄漏可能引起的火灾、爆炸产生的伴生/次生污染，以及废气处理系统非正常工况排放产生的风险影响。项目通过在储存区设置围堰，可有效降低环境风险的发生概率，尽量避免储存和生产过程原材料泄漏事故对附近水体造成威胁，其环境风险是可控的。如出现泄漏事故，应立即停止生产，立即报告相关部门，启动环境风险应急预案，将事故影响降到最低。</w:t>
      </w:r>
    </w:p>
    <w:p>
      <w:pPr>
        <w:ind w:firstLine="480"/>
        <w:rPr>
          <w:rFonts w:eastAsiaTheme="minorEastAsia"/>
        </w:rPr>
      </w:pPr>
      <w:r>
        <w:rPr>
          <w:rFonts w:eastAsiaTheme="minorEastAsia"/>
        </w:rPr>
        <w:t>项目拟制定有效的环境风险突发事故应急预案，严格管理，防止泄漏、污染防治措施失效等事故的发生；一旦发生事故，依靠完善的安全防护设施和事故应急措施则能及时控制事故，防止事故的蔓延</w:t>
      </w:r>
      <w:r>
        <w:rPr>
          <w:rFonts w:hint="eastAsia" w:eastAsiaTheme="minorEastAsia"/>
        </w:rPr>
        <w:t>。</w:t>
      </w:r>
    </w:p>
    <w:p>
      <w:pPr>
        <w:ind w:firstLine="480"/>
      </w:pPr>
      <w:r>
        <w:rPr>
          <w:rFonts w:hint="eastAsia"/>
        </w:rPr>
        <w:t>环境风险评价自查表</w:t>
      </w:r>
    </w:p>
    <w:p>
      <w:pPr>
        <w:pStyle w:val="167"/>
        <w:ind w:firstLine="0" w:firstLineChars="0"/>
        <w:jc w:val="center"/>
        <w:rPr>
          <w:rFonts w:hAnsi="宋体"/>
          <w:b/>
        </w:rPr>
      </w:pPr>
      <w:r>
        <w:rPr>
          <w:rFonts w:hAnsi="宋体"/>
          <w:b/>
        </w:rPr>
        <w:t>表</w:t>
      </w:r>
      <w:r>
        <w:rPr>
          <w:b/>
        </w:rPr>
        <w:t xml:space="preserve">4.9-7 </w:t>
      </w:r>
      <w:r>
        <w:rPr>
          <w:rFonts w:hAnsi="宋体"/>
          <w:b/>
        </w:rPr>
        <w:t>环境风险评价自查表</w:t>
      </w:r>
    </w:p>
    <w:tbl>
      <w:tblPr>
        <w:tblStyle w:val="56"/>
        <w:tblW w:w="87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7"/>
        <w:gridCol w:w="1133"/>
        <w:gridCol w:w="885"/>
        <w:gridCol w:w="288"/>
        <w:gridCol w:w="1282"/>
        <w:gridCol w:w="80"/>
        <w:gridCol w:w="623"/>
        <w:gridCol w:w="763"/>
        <w:gridCol w:w="697"/>
        <w:gridCol w:w="89"/>
        <w:gridCol w:w="835"/>
        <w:gridCol w:w="746"/>
        <w:gridCol w:w="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工作内容</w:t>
            </w:r>
          </w:p>
        </w:tc>
        <w:tc>
          <w:tcPr>
            <w:tcW w:w="7030" w:type="dxa"/>
            <w:gridSpan w:val="11"/>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restart"/>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风险调查</w:t>
            </w:r>
          </w:p>
        </w:tc>
        <w:tc>
          <w:tcPr>
            <w:tcW w:w="1133" w:type="dxa"/>
            <w:vMerge w:val="restart"/>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危险物质</w:t>
            </w:r>
          </w:p>
        </w:tc>
        <w:tc>
          <w:tcPr>
            <w:tcW w:w="885" w:type="dxa"/>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名称</w:t>
            </w:r>
          </w:p>
        </w:tc>
        <w:tc>
          <w:tcPr>
            <w:tcW w:w="1570" w:type="dxa"/>
            <w:gridSpan w:val="2"/>
            <w:vAlign w:val="center"/>
          </w:tcPr>
          <w:p>
            <w:pPr>
              <w:autoSpaceDE w:val="0"/>
              <w:autoSpaceDN w:val="0"/>
              <w:spacing w:line="240" w:lineRule="auto"/>
              <w:ind w:firstLine="0" w:firstLineChars="0"/>
              <w:jc w:val="center"/>
              <w:rPr>
                <w:rFonts w:eastAsia="Times New Roman"/>
                <w:sz w:val="21"/>
                <w:szCs w:val="21"/>
                <w:lang w:val="zh-CN" w:bidi="zh-CN"/>
              </w:rPr>
            </w:pPr>
            <w:r>
              <w:rPr>
                <w:rFonts w:hint="eastAsia"/>
                <w:sz w:val="21"/>
                <w:szCs w:val="21"/>
                <w:lang w:val="zh-CN" w:bidi="zh-CN"/>
              </w:rPr>
              <w:t>硫磺</w:t>
            </w:r>
          </w:p>
        </w:tc>
        <w:tc>
          <w:tcPr>
            <w:tcW w:w="1466" w:type="dxa"/>
            <w:gridSpan w:val="3"/>
            <w:vAlign w:val="center"/>
          </w:tcPr>
          <w:p>
            <w:pPr>
              <w:autoSpaceDE w:val="0"/>
              <w:autoSpaceDN w:val="0"/>
              <w:spacing w:line="240" w:lineRule="auto"/>
              <w:ind w:firstLine="0" w:firstLineChars="0"/>
              <w:jc w:val="center"/>
              <w:rPr>
                <w:sz w:val="21"/>
                <w:szCs w:val="21"/>
                <w:lang w:val="zh-CN" w:bidi="zh-CN"/>
              </w:rPr>
            </w:pPr>
            <w:r>
              <w:rPr>
                <w:rFonts w:hint="eastAsia"/>
                <w:sz w:val="21"/>
                <w:szCs w:val="21"/>
                <w:lang w:val="zh-CN" w:bidi="zh-CN"/>
              </w:rPr>
              <w:t>/</w:t>
            </w:r>
          </w:p>
        </w:tc>
        <w:tc>
          <w:tcPr>
            <w:tcW w:w="786" w:type="dxa"/>
            <w:gridSpan w:val="2"/>
            <w:vAlign w:val="center"/>
          </w:tcPr>
          <w:p>
            <w:pPr>
              <w:autoSpaceDE w:val="0"/>
              <w:autoSpaceDN w:val="0"/>
              <w:spacing w:line="240" w:lineRule="auto"/>
              <w:ind w:firstLine="0" w:firstLineChars="0"/>
              <w:jc w:val="center"/>
              <w:rPr>
                <w:sz w:val="21"/>
                <w:szCs w:val="21"/>
                <w:lang w:val="zh-CN" w:bidi="zh-CN"/>
              </w:rPr>
            </w:pPr>
            <w:r>
              <w:rPr>
                <w:rFonts w:hint="eastAsia"/>
                <w:sz w:val="21"/>
                <w:szCs w:val="21"/>
                <w:lang w:val="zh-CN" w:bidi="zh-CN"/>
              </w:rPr>
              <w:t>/</w:t>
            </w:r>
          </w:p>
        </w:tc>
        <w:tc>
          <w:tcPr>
            <w:tcW w:w="835" w:type="dxa"/>
            <w:vAlign w:val="center"/>
          </w:tcPr>
          <w:p>
            <w:pPr>
              <w:autoSpaceDE w:val="0"/>
              <w:autoSpaceDN w:val="0"/>
              <w:spacing w:line="240" w:lineRule="auto"/>
              <w:ind w:firstLine="0" w:firstLineChars="0"/>
              <w:jc w:val="center"/>
              <w:rPr>
                <w:sz w:val="21"/>
                <w:szCs w:val="21"/>
                <w:lang w:val="zh-CN" w:bidi="zh-CN"/>
              </w:rPr>
            </w:pPr>
            <w:r>
              <w:rPr>
                <w:rFonts w:hint="eastAsia"/>
                <w:sz w:val="21"/>
                <w:szCs w:val="21"/>
                <w:lang w:val="zh-CN" w:bidi="zh-CN"/>
              </w:rPr>
              <w:t>/</w:t>
            </w:r>
          </w:p>
        </w:tc>
        <w:tc>
          <w:tcPr>
            <w:tcW w:w="746" w:type="dxa"/>
            <w:vAlign w:val="center"/>
          </w:tcPr>
          <w:p>
            <w:pPr>
              <w:autoSpaceDE w:val="0"/>
              <w:autoSpaceDN w:val="0"/>
              <w:spacing w:line="240" w:lineRule="auto"/>
              <w:ind w:firstLine="0" w:firstLineChars="0"/>
              <w:jc w:val="center"/>
              <w:rPr>
                <w:sz w:val="21"/>
                <w:szCs w:val="21"/>
                <w:lang w:val="zh-CN" w:bidi="zh-CN"/>
              </w:rPr>
            </w:pPr>
            <w:r>
              <w:rPr>
                <w:rFonts w:hint="eastAsia"/>
                <w:sz w:val="21"/>
                <w:szCs w:val="21"/>
                <w:lang w:val="zh-CN" w:bidi="zh-CN"/>
              </w:rPr>
              <w:t>/</w:t>
            </w:r>
          </w:p>
        </w:tc>
        <w:tc>
          <w:tcPr>
            <w:tcW w:w="742" w:type="dxa"/>
            <w:vAlign w:val="center"/>
          </w:tcPr>
          <w:p>
            <w:pPr>
              <w:autoSpaceDE w:val="0"/>
              <w:autoSpaceDN w:val="0"/>
              <w:spacing w:line="240" w:lineRule="auto"/>
              <w:ind w:firstLine="0" w:firstLineChars="0"/>
              <w:jc w:val="center"/>
              <w:rPr>
                <w:sz w:val="21"/>
                <w:szCs w:val="21"/>
                <w:lang w:val="zh-CN" w:bidi="zh-CN"/>
              </w:rPr>
            </w:pPr>
            <w:r>
              <w:rPr>
                <w:rFonts w:hint="eastAsia"/>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宋体" w:hAnsi="宋体"/>
                <w:sz w:val="21"/>
                <w:szCs w:val="21"/>
              </w:rPr>
            </w:pPr>
          </w:p>
        </w:tc>
        <w:tc>
          <w:tcPr>
            <w:tcW w:w="1133" w:type="dxa"/>
            <w:vMerge w:val="continue"/>
            <w:vAlign w:val="center"/>
          </w:tcPr>
          <w:p>
            <w:pPr>
              <w:spacing w:line="240" w:lineRule="auto"/>
              <w:ind w:firstLine="0" w:firstLineChars="0"/>
              <w:jc w:val="center"/>
              <w:rPr>
                <w:rFonts w:ascii="宋体" w:hAnsi="宋体"/>
                <w:sz w:val="21"/>
                <w:szCs w:val="21"/>
              </w:rPr>
            </w:pPr>
          </w:p>
        </w:tc>
        <w:tc>
          <w:tcPr>
            <w:tcW w:w="885" w:type="dxa"/>
            <w:vAlign w:val="center"/>
          </w:tcPr>
          <w:p>
            <w:pPr>
              <w:autoSpaceDE w:val="0"/>
              <w:autoSpaceDN w:val="0"/>
              <w:spacing w:line="240" w:lineRule="auto"/>
              <w:ind w:firstLine="0" w:firstLineChars="0"/>
              <w:jc w:val="center"/>
              <w:rPr>
                <w:rFonts w:eastAsia="Times New Roman"/>
                <w:sz w:val="21"/>
                <w:szCs w:val="21"/>
                <w:lang w:val="zh-CN" w:bidi="zh-CN"/>
              </w:rPr>
            </w:pPr>
            <w:r>
              <w:rPr>
                <w:rFonts w:hint="eastAsia" w:ascii="宋体"/>
                <w:sz w:val="21"/>
                <w:szCs w:val="21"/>
                <w:lang w:val="zh-CN" w:bidi="zh-CN"/>
              </w:rPr>
              <w:t>存在总量</w:t>
            </w:r>
            <w:r>
              <w:rPr>
                <w:rFonts w:eastAsia="Times New Roman"/>
                <w:sz w:val="21"/>
                <w:szCs w:val="21"/>
                <w:lang w:val="zh-CN" w:bidi="zh-CN"/>
              </w:rPr>
              <w:t>/t</w:t>
            </w:r>
          </w:p>
        </w:tc>
        <w:tc>
          <w:tcPr>
            <w:tcW w:w="1570" w:type="dxa"/>
            <w:gridSpan w:val="2"/>
            <w:vAlign w:val="center"/>
          </w:tcPr>
          <w:p>
            <w:pPr>
              <w:autoSpaceDE w:val="0"/>
              <w:autoSpaceDN w:val="0"/>
              <w:spacing w:line="240" w:lineRule="auto"/>
              <w:ind w:firstLine="0" w:firstLineChars="0"/>
              <w:jc w:val="center"/>
              <w:rPr>
                <w:rFonts w:eastAsia="等线"/>
                <w:sz w:val="21"/>
                <w:szCs w:val="21"/>
                <w:lang w:val="zh-CN" w:bidi="zh-CN"/>
              </w:rPr>
            </w:pPr>
            <w:r>
              <w:rPr>
                <w:rFonts w:eastAsia="等线"/>
                <w:sz w:val="21"/>
                <w:szCs w:val="21"/>
                <w:lang w:val="zh-CN" w:bidi="zh-CN"/>
              </w:rPr>
              <w:t>0.5</w:t>
            </w:r>
          </w:p>
        </w:tc>
        <w:tc>
          <w:tcPr>
            <w:tcW w:w="1466" w:type="dxa"/>
            <w:gridSpan w:val="3"/>
            <w:vAlign w:val="center"/>
          </w:tcPr>
          <w:p>
            <w:pPr>
              <w:autoSpaceDE w:val="0"/>
              <w:autoSpaceDN w:val="0"/>
              <w:spacing w:line="240" w:lineRule="auto"/>
              <w:ind w:firstLine="0" w:firstLineChars="0"/>
              <w:jc w:val="center"/>
              <w:rPr>
                <w:sz w:val="21"/>
                <w:szCs w:val="21"/>
                <w:lang w:val="zh-CN" w:bidi="zh-CN"/>
              </w:rPr>
            </w:pPr>
            <w:r>
              <w:rPr>
                <w:rFonts w:hint="eastAsia"/>
                <w:sz w:val="21"/>
                <w:szCs w:val="21"/>
                <w:lang w:val="zh-CN" w:bidi="zh-CN"/>
              </w:rPr>
              <w:t>/</w:t>
            </w:r>
          </w:p>
        </w:tc>
        <w:tc>
          <w:tcPr>
            <w:tcW w:w="786" w:type="dxa"/>
            <w:gridSpan w:val="2"/>
            <w:vAlign w:val="center"/>
          </w:tcPr>
          <w:p>
            <w:pPr>
              <w:autoSpaceDE w:val="0"/>
              <w:autoSpaceDN w:val="0"/>
              <w:spacing w:line="240" w:lineRule="auto"/>
              <w:ind w:firstLine="0" w:firstLineChars="0"/>
              <w:jc w:val="center"/>
              <w:rPr>
                <w:sz w:val="21"/>
                <w:szCs w:val="21"/>
                <w:lang w:val="zh-CN" w:bidi="zh-CN"/>
              </w:rPr>
            </w:pPr>
            <w:r>
              <w:rPr>
                <w:rFonts w:hint="eastAsia"/>
                <w:sz w:val="21"/>
                <w:szCs w:val="21"/>
                <w:lang w:val="zh-CN" w:bidi="zh-CN"/>
              </w:rPr>
              <w:t>/</w:t>
            </w:r>
          </w:p>
        </w:tc>
        <w:tc>
          <w:tcPr>
            <w:tcW w:w="835" w:type="dxa"/>
            <w:vAlign w:val="center"/>
          </w:tcPr>
          <w:p>
            <w:pPr>
              <w:autoSpaceDE w:val="0"/>
              <w:autoSpaceDN w:val="0"/>
              <w:spacing w:line="240" w:lineRule="auto"/>
              <w:ind w:firstLine="0" w:firstLineChars="0"/>
              <w:jc w:val="center"/>
              <w:rPr>
                <w:sz w:val="21"/>
                <w:szCs w:val="21"/>
                <w:lang w:val="zh-CN" w:bidi="zh-CN"/>
              </w:rPr>
            </w:pPr>
            <w:r>
              <w:rPr>
                <w:rFonts w:hint="eastAsia"/>
                <w:sz w:val="21"/>
                <w:szCs w:val="21"/>
                <w:lang w:val="zh-CN" w:bidi="zh-CN"/>
              </w:rPr>
              <w:t>/</w:t>
            </w:r>
          </w:p>
        </w:tc>
        <w:tc>
          <w:tcPr>
            <w:tcW w:w="746" w:type="dxa"/>
            <w:vAlign w:val="center"/>
          </w:tcPr>
          <w:p>
            <w:pPr>
              <w:autoSpaceDE w:val="0"/>
              <w:autoSpaceDN w:val="0"/>
              <w:spacing w:line="240" w:lineRule="auto"/>
              <w:ind w:firstLine="0" w:firstLineChars="0"/>
              <w:jc w:val="center"/>
              <w:rPr>
                <w:sz w:val="21"/>
                <w:szCs w:val="21"/>
                <w:lang w:val="zh-CN" w:bidi="zh-CN"/>
              </w:rPr>
            </w:pPr>
            <w:r>
              <w:rPr>
                <w:rFonts w:hint="eastAsia"/>
                <w:sz w:val="21"/>
                <w:szCs w:val="21"/>
                <w:lang w:val="zh-CN" w:bidi="zh-CN"/>
              </w:rPr>
              <w:t>/</w:t>
            </w:r>
          </w:p>
        </w:tc>
        <w:tc>
          <w:tcPr>
            <w:tcW w:w="742" w:type="dxa"/>
            <w:vAlign w:val="center"/>
          </w:tcPr>
          <w:p>
            <w:pPr>
              <w:autoSpaceDE w:val="0"/>
              <w:autoSpaceDN w:val="0"/>
              <w:spacing w:line="240" w:lineRule="auto"/>
              <w:ind w:firstLine="0" w:firstLineChars="0"/>
              <w:jc w:val="center"/>
              <w:rPr>
                <w:sz w:val="21"/>
                <w:szCs w:val="21"/>
                <w:lang w:val="zh-CN" w:bidi="zh-CN"/>
              </w:rPr>
            </w:pPr>
            <w:r>
              <w:rPr>
                <w:rFonts w:hint="eastAsia"/>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宋体" w:hAnsi="宋体"/>
                <w:sz w:val="21"/>
                <w:szCs w:val="21"/>
              </w:rPr>
            </w:pPr>
          </w:p>
        </w:tc>
        <w:tc>
          <w:tcPr>
            <w:tcW w:w="1133" w:type="dxa"/>
            <w:vMerge w:val="restart"/>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环境敏感性</w:t>
            </w:r>
          </w:p>
        </w:tc>
        <w:tc>
          <w:tcPr>
            <w:tcW w:w="885" w:type="dxa"/>
            <w:vMerge w:val="restart"/>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大气</w:t>
            </w:r>
          </w:p>
        </w:tc>
        <w:tc>
          <w:tcPr>
            <w:tcW w:w="3036" w:type="dxa"/>
            <w:gridSpan w:val="5"/>
            <w:vAlign w:val="center"/>
          </w:tcPr>
          <w:p>
            <w:pPr>
              <w:tabs>
                <w:tab w:val="left" w:pos="2622"/>
              </w:tabs>
              <w:autoSpaceDE w:val="0"/>
              <w:autoSpaceDN w:val="0"/>
              <w:spacing w:line="240" w:lineRule="auto"/>
              <w:ind w:firstLine="0" w:firstLineChars="0"/>
              <w:jc w:val="center"/>
              <w:rPr>
                <w:rFonts w:ascii="宋体"/>
                <w:sz w:val="21"/>
                <w:szCs w:val="21"/>
                <w:lang w:val="zh-CN" w:bidi="zh-CN"/>
              </w:rPr>
            </w:pPr>
            <w:r>
              <w:rPr>
                <w:rFonts w:eastAsia="Times New Roman"/>
                <w:sz w:val="21"/>
                <w:szCs w:val="21"/>
                <w:lang w:val="zh-CN" w:bidi="zh-CN"/>
              </w:rPr>
              <w:t>500m</w:t>
            </w:r>
            <w:r>
              <w:rPr>
                <w:rFonts w:hint="eastAsia" w:ascii="宋体"/>
                <w:sz w:val="21"/>
                <w:szCs w:val="21"/>
                <w:lang w:val="zh-CN" w:bidi="zh-CN"/>
              </w:rPr>
              <w:t>范围内人口数</w:t>
            </w:r>
            <w:r>
              <w:rPr>
                <w:rFonts w:hint="eastAsia" w:ascii="宋体"/>
                <w:sz w:val="21"/>
                <w:szCs w:val="21"/>
                <w:u w:val="single"/>
                <w:lang w:val="zh-CN" w:bidi="zh-CN"/>
              </w:rPr>
              <w:t xml:space="preserve">   </w:t>
            </w:r>
            <w:r>
              <w:rPr>
                <w:rFonts w:ascii="宋体"/>
                <w:sz w:val="21"/>
                <w:szCs w:val="21"/>
                <w:u w:val="single"/>
                <w:lang w:val="zh-CN" w:bidi="zh-CN"/>
              </w:rPr>
              <w:t>195</w:t>
            </w:r>
            <w:r>
              <w:rPr>
                <w:rFonts w:hint="eastAsia" w:ascii="宋体"/>
                <w:sz w:val="21"/>
                <w:szCs w:val="21"/>
                <w:u w:val="single"/>
                <w:lang w:val="zh-CN" w:bidi="zh-CN"/>
              </w:rPr>
              <w:t xml:space="preserve">  </w:t>
            </w:r>
            <w:r>
              <w:rPr>
                <w:rFonts w:hint="eastAsia" w:ascii="宋体"/>
                <w:sz w:val="21"/>
                <w:szCs w:val="21"/>
                <w:lang w:val="zh-CN" w:bidi="zh-CN"/>
              </w:rPr>
              <w:t>人</w:t>
            </w:r>
          </w:p>
        </w:tc>
        <w:tc>
          <w:tcPr>
            <w:tcW w:w="3109" w:type="dxa"/>
            <w:gridSpan w:val="5"/>
            <w:vAlign w:val="center"/>
          </w:tcPr>
          <w:p>
            <w:pPr>
              <w:tabs>
                <w:tab w:val="left" w:pos="2621"/>
              </w:tabs>
              <w:autoSpaceDE w:val="0"/>
              <w:autoSpaceDN w:val="0"/>
              <w:spacing w:line="240" w:lineRule="auto"/>
              <w:ind w:firstLine="0" w:firstLineChars="0"/>
              <w:jc w:val="center"/>
              <w:rPr>
                <w:rFonts w:ascii="宋体"/>
                <w:sz w:val="21"/>
                <w:szCs w:val="21"/>
                <w:lang w:val="zh-CN" w:bidi="zh-CN"/>
              </w:rPr>
            </w:pPr>
            <w:r>
              <w:rPr>
                <w:rFonts w:eastAsia="Times New Roman"/>
                <w:sz w:val="21"/>
                <w:szCs w:val="21"/>
                <w:lang w:val="zh-CN" w:bidi="zh-CN"/>
              </w:rPr>
              <w:t>5km</w:t>
            </w:r>
            <w:r>
              <w:rPr>
                <w:rFonts w:hint="eastAsia" w:ascii="宋体"/>
                <w:sz w:val="21"/>
                <w:szCs w:val="21"/>
                <w:lang w:val="zh-CN" w:bidi="zh-CN"/>
              </w:rPr>
              <w:t>范围内人口数</w:t>
            </w:r>
            <w:r>
              <w:rPr>
                <w:rFonts w:hint="eastAsia" w:ascii="宋体"/>
                <w:sz w:val="21"/>
                <w:szCs w:val="21"/>
                <w:u w:val="single"/>
                <w:lang w:val="zh-CN" w:bidi="zh-CN"/>
              </w:rPr>
              <w:t xml:space="preserve">  </w:t>
            </w:r>
            <w:r>
              <w:rPr>
                <w:rFonts w:ascii="宋体"/>
                <w:sz w:val="21"/>
                <w:szCs w:val="21"/>
                <w:u w:val="single"/>
                <w:lang w:val="zh-CN" w:bidi="zh-CN"/>
              </w:rPr>
              <w:t>5122</w:t>
            </w:r>
            <w:r>
              <w:rPr>
                <w:rFonts w:hint="eastAsia" w:ascii="宋体"/>
                <w:sz w:val="21"/>
                <w:szCs w:val="21"/>
                <w:u w:val="single"/>
                <w:lang w:val="zh-CN" w:bidi="zh-CN"/>
              </w:rPr>
              <w:t xml:space="preserve">  </w:t>
            </w:r>
            <w:r>
              <w:rPr>
                <w:rFonts w:hint="eastAsia" w:ascii="宋体"/>
                <w:sz w:val="21"/>
                <w:szCs w:val="21"/>
                <w:lang w:val="zh-CN" w:bidi="zh-CN"/>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宋体" w:hAnsi="宋体"/>
                <w:sz w:val="21"/>
                <w:szCs w:val="21"/>
              </w:rPr>
            </w:pPr>
          </w:p>
        </w:tc>
        <w:tc>
          <w:tcPr>
            <w:tcW w:w="1133" w:type="dxa"/>
            <w:vMerge w:val="continue"/>
            <w:vAlign w:val="center"/>
          </w:tcPr>
          <w:p>
            <w:pPr>
              <w:spacing w:line="240" w:lineRule="auto"/>
              <w:ind w:firstLine="0" w:firstLineChars="0"/>
              <w:jc w:val="center"/>
              <w:rPr>
                <w:rFonts w:ascii="宋体" w:hAnsi="宋体"/>
                <w:sz w:val="21"/>
                <w:szCs w:val="21"/>
              </w:rPr>
            </w:pPr>
          </w:p>
        </w:tc>
        <w:tc>
          <w:tcPr>
            <w:tcW w:w="885" w:type="dxa"/>
            <w:vMerge w:val="continue"/>
            <w:vAlign w:val="center"/>
          </w:tcPr>
          <w:p>
            <w:pPr>
              <w:spacing w:line="240" w:lineRule="auto"/>
              <w:ind w:firstLine="0" w:firstLineChars="0"/>
              <w:jc w:val="center"/>
              <w:rPr>
                <w:rFonts w:ascii="宋体" w:hAnsi="宋体"/>
                <w:sz w:val="21"/>
                <w:szCs w:val="21"/>
              </w:rPr>
            </w:pPr>
          </w:p>
        </w:tc>
        <w:tc>
          <w:tcPr>
            <w:tcW w:w="4657" w:type="dxa"/>
            <w:gridSpan w:val="8"/>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 xml:space="preserve">每公里管段周边 </w:t>
            </w:r>
            <w:r>
              <w:rPr>
                <w:rFonts w:eastAsia="Times New Roman"/>
                <w:sz w:val="21"/>
                <w:szCs w:val="21"/>
                <w:lang w:val="zh-CN" w:bidi="zh-CN"/>
              </w:rPr>
              <w:t xml:space="preserve">200 m </w:t>
            </w:r>
            <w:r>
              <w:rPr>
                <w:rFonts w:hint="eastAsia" w:ascii="宋体"/>
                <w:sz w:val="21"/>
                <w:szCs w:val="21"/>
                <w:lang w:val="zh-CN" w:bidi="zh-CN"/>
              </w:rPr>
              <w:t>范围内人口数（最大）</w:t>
            </w:r>
          </w:p>
        </w:tc>
        <w:tc>
          <w:tcPr>
            <w:tcW w:w="1488" w:type="dxa"/>
            <w:gridSpan w:val="2"/>
            <w:vAlign w:val="center"/>
          </w:tcPr>
          <w:p>
            <w:pPr>
              <w:tabs>
                <w:tab w:val="left" w:pos="1090"/>
              </w:tabs>
              <w:autoSpaceDE w:val="0"/>
              <w:autoSpaceDN w:val="0"/>
              <w:spacing w:line="240" w:lineRule="auto"/>
              <w:ind w:firstLine="0" w:firstLineChars="0"/>
              <w:jc w:val="center"/>
              <w:rPr>
                <w:rFonts w:ascii="宋体"/>
                <w:sz w:val="21"/>
                <w:szCs w:val="21"/>
                <w:lang w:val="zh-CN" w:bidi="zh-CN"/>
              </w:rPr>
            </w:pPr>
            <w:r>
              <w:rPr>
                <w:rFonts w:hint="eastAsia" w:ascii="宋体"/>
                <w:sz w:val="21"/>
                <w:szCs w:val="21"/>
                <w:u w:val="single"/>
                <w:lang w:val="zh-CN" w:bidi="zh-CN"/>
              </w:rPr>
              <w:t xml:space="preserve"> </w:t>
            </w:r>
            <w:r>
              <w:rPr>
                <w:rFonts w:ascii="宋体"/>
                <w:sz w:val="21"/>
                <w:szCs w:val="21"/>
                <w:u w:val="single"/>
                <w:lang w:val="zh-CN" w:bidi="zh-CN"/>
              </w:rPr>
              <w:t>0</w:t>
            </w:r>
            <w:r>
              <w:rPr>
                <w:rFonts w:hint="eastAsia" w:ascii="宋体"/>
                <w:sz w:val="21"/>
                <w:szCs w:val="21"/>
                <w:u w:val="single"/>
                <w:lang w:val="zh-CN" w:bidi="zh-CN"/>
              </w:rPr>
              <w:t xml:space="preserve"> </w:t>
            </w:r>
            <w:r>
              <w:rPr>
                <w:rFonts w:hint="eastAsia" w:ascii="宋体"/>
                <w:sz w:val="21"/>
                <w:szCs w:val="21"/>
                <w:lang w:val="zh-CN" w:bidi="zh-CN"/>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宋体" w:hAnsi="宋体"/>
                <w:sz w:val="21"/>
                <w:szCs w:val="21"/>
              </w:rPr>
            </w:pPr>
          </w:p>
        </w:tc>
        <w:tc>
          <w:tcPr>
            <w:tcW w:w="1133" w:type="dxa"/>
            <w:vMerge w:val="continue"/>
            <w:vAlign w:val="center"/>
          </w:tcPr>
          <w:p>
            <w:pPr>
              <w:spacing w:line="240" w:lineRule="auto"/>
              <w:ind w:firstLine="0" w:firstLineChars="0"/>
              <w:jc w:val="center"/>
              <w:rPr>
                <w:rFonts w:ascii="宋体" w:hAnsi="宋体"/>
                <w:sz w:val="21"/>
                <w:szCs w:val="21"/>
              </w:rPr>
            </w:pPr>
          </w:p>
        </w:tc>
        <w:tc>
          <w:tcPr>
            <w:tcW w:w="885" w:type="dxa"/>
            <w:vMerge w:val="restart"/>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地表水</w:t>
            </w:r>
          </w:p>
        </w:tc>
        <w:tc>
          <w:tcPr>
            <w:tcW w:w="1650" w:type="dxa"/>
            <w:gridSpan w:val="3"/>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地表水功能敏感性</w:t>
            </w:r>
          </w:p>
        </w:tc>
        <w:tc>
          <w:tcPr>
            <w:tcW w:w="1386"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F1 </w:t>
            </w:r>
            <w:r>
              <w:rPr>
                <w:rFonts w:ascii="宋体" w:hAnsi="宋体" w:eastAsia="Times New Roman"/>
                <w:sz w:val="21"/>
                <w:szCs w:val="21"/>
                <w:lang w:val="zh-CN" w:bidi="zh-CN"/>
              </w:rPr>
              <w:t>□</w:t>
            </w:r>
          </w:p>
        </w:tc>
        <w:tc>
          <w:tcPr>
            <w:tcW w:w="1621" w:type="dxa"/>
            <w:gridSpan w:val="3"/>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F2 </w:t>
            </w:r>
            <w:r>
              <w:rPr>
                <w:rFonts w:ascii="宋体" w:hAnsi="宋体" w:eastAsia="Times New Roman"/>
                <w:sz w:val="21"/>
                <w:szCs w:val="21"/>
                <w:lang w:val="zh-CN" w:bidi="zh-CN"/>
              </w:rPr>
              <w:t>□</w:t>
            </w:r>
          </w:p>
        </w:tc>
        <w:tc>
          <w:tcPr>
            <w:tcW w:w="1488"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F3 </w:t>
            </w:r>
            <w:r>
              <w:rPr>
                <w:rFonts w:hint="eastAsia" w:ascii="MS Mincho" w:hAnsi="MS Mincho" w:eastAsia="MS Mincho" w:cs="MS Mincho"/>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宋体" w:hAnsi="宋体"/>
                <w:sz w:val="21"/>
                <w:szCs w:val="21"/>
              </w:rPr>
            </w:pPr>
          </w:p>
        </w:tc>
        <w:tc>
          <w:tcPr>
            <w:tcW w:w="1133" w:type="dxa"/>
            <w:vMerge w:val="continue"/>
            <w:vAlign w:val="center"/>
          </w:tcPr>
          <w:p>
            <w:pPr>
              <w:spacing w:line="240" w:lineRule="auto"/>
              <w:ind w:firstLine="0" w:firstLineChars="0"/>
              <w:jc w:val="center"/>
              <w:rPr>
                <w:rFonts w:ascii="宋体" w:hAnsi="宋体"/>
                <w:sz w:val="21"/>
                <w:szCs w:val="21"/>
              </w:rPr>
            </w:pPr>
          </w:p>
        </w:tc>
        <w:tc>
          <w:tcPr>
            <w:tcW w:w="885" w:type="dxa"/>
            <w:vMerge w:val="continue"/>
            <w:vAlign w:val="center"/>
          </w:tcPr>
          <w:p>
            <w:pPr>
              <w:spacing w:line="240" w:lineRule="auto"/>
              <w:ind w:firstLine="0" w:firstLineChars="0"/>
              <w:jc w:val="center"/>
              <w:rPr>
                <w:rFonts w:ascii="宋体" w:hAnsi="宋体"/>
                <w:sz w:val="21"/>
                <w:szCs w:val="21"/>
              </w:rPr>
            </w:pPr>
          </w:p>
        </w:tc>
        <w:tc>
          <w:tcPr>
            <w:tcW w:w="1650" w:type="dxa"/>
            <w:gridSpan w:val="3"/>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环境敏感目标分级</w:t>
            </w:r>
          </w:p>
        </w:tc>
        <w:tc>
          <w:tcPr>
            <w:tcW w:w="1386"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S1 </w:t>
            </w:r>
            <w:r>
              <w:rPr>
                <w:rFonts w:ascii="宋体" w:hAnsi="宋体" w:eastAsia="Times New Roman"/>
                <w:sz w:val="21"/>
                <w:szCs w:val="21"/>
                <w:lang w:val="zh-CN" w:bidi="zh-CN"/>
              </w:rPr>
              <w:t>□</w:t>
            </w:r>
          </w:p>
        </w:tc>
        <w:tc>
          <w:tcPr>
            <w:tcW w:w="1621" w:type="dxa"/>
            <w:gridSpan w:val="3"/>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S2 </w:t>
            </w:r>
            <w:r>
              <w:rPr>
                <w:rFonts w:ascii="宋体" w:hAnsi="宋体" w:eastAsia="Times New Roman"/>
                <w:sz w:val="21"/>
                <w:szCs w:val="21"/>
                <w:lang w:val="zh-CN" w:bidi="zh-CN"/>
              </w:rPr>
              <w:t>□</w:t>
            </w:r>
          </w:p>
        </w:tc>
        <w:tc>
          <w:tcPr>
            <w:tcW w:w="1488"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S3 </w:t>
            </w:r>
            <w:r>
              <w:rPr>
                <w:rFonts w:hint="eastAsia" w:ascii="MS Mincho" w:hAnsi="MS Mincho" w:eastAsia="MS Mincho" w:cs="MS Mincho"/>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宋体" w:hAnsi="宋体"/>
                <w:sz w:val="21"/>
                <w:szCs w:val="21"/>
              </w:rPr>
            </w:pPr>
          </w:p>
        </w:tc>
        <w:tc>
          <w:tcPr>
            <w:tcW w:w="1133" w:type="dxa"/>
            <w:vMerge w:val="continue"/>
            <w:vAlign w:val="center"/>
          </w:tcPr>
          <w:p>
            <w:pPr>
              <w:spacing w:line="240" w:lineRule="auto"/>
              <w:ind w:firstLine="0" w:firstLineChars="0"/>
              <w:jc w:val="center"/>
              <w:rPr>
                <w:rFonts w:ascii="宋体" w:hAnsi="宋体"/>
                <w:sz w:val="21"/>
                <w:szCs w:val="21"/>
              </w:rPr>
            </w:pPr>
          </w:p>
        </w:tc>
        <w:tc>
          <w:tcPr>
            <w:tcW w:w="885" w:type="dxa"/>
            <w:vMerge w:val="restart"/>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地下水</w:t>
            </w:r>
          </w:p>
        </w:tc>
        <w:tc>
          <w:tcPr>
            <w:tcW w:w="1650" w:type="dxa"/>
            <w:gridSpan w:val="3"/>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地下水功能敏感性</w:t>
            </w:r>
          </w:p>
        </w:tc>
        <w:tc>
          <w:tcPr>
            <w:tcW w:w="1386"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G1 </w:t>
            </w:r>
            <w:r>
              <w:rPr>
                <w:rFonts w:ascii="宋体" w:hAnsi="宋体" w:eastAsia="Times New Roman"/>
                <w:sz w:val="21"/>
                <w:szCs w:val="21"/>
                <w:lang w:val="zh-CN" w:bidi="zh-CN"/>
              </w:rPr>
              <w:t>□</w:t>
            </w:r>
          </w:p>
        </w:tc>
        <w:tc>
          <w:tcPr>
            <w:tcW w:w="1621" w:type="dxa"/>
            <w:gridSpan w:val="3"/>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G2 </w:t>
            </w:r>
            <w:r>
              <w:rPr>
                <w:rFonts w:ascii="宋体" w:hAnsi="宋体" w:eastAsia="Times New Roman"/>
                <w:sz w:val="21"/>
                <w:szCs w:val="21"/>
                <w:lang w:val="zh-CN" w:bidi="zh-CN"/>
              </w:rPr>
              <w:t>□</w:t>
            </w:r>
          </w:p>
        </w:tc>
        <w:tc>
          <w:tcPr>
            <w:tcW w:w="1488"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G3 </w:t>
            </w:r>
            <w:r>
              <w:rPr>
                <w:rFonts w:hint="eastAsia" w:ascii="MS Mincho" w:hAnsi="MS Mincho" w:eastAsia="MS Mincho" w:cs="MS Mincho"/>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宋体" w:hAnsi="宋体"/>
                <w:sz w:val="21"/>
                <w:szCs w:val="21"/>
              </w:rPr>
            </w:pPr>
          </w:p>
        </w:tc>
        <w:tc>
          <w:tcPr>
            <w:tcW w:w="1133" w:type="dxa"/>
            <w:vMerge w:val="continue"/>
            <w:vAlign w:val="center"/>
          </w:tcPr>
          <w:p>
            <w:pPr>
              <w:spacing w:line="240" w:lineRule="auto"/>
              <w:ind w:firstLine="0" w:firstLineChars="0"/>
              <w:jc w:val="center"/>
              <w:rPr>
                <w:rFonts w:ascii="宋体" w:hAnsi="宋体"/>
                <w:sz w:val="21"/>
                <w:szCs w:val="21"/>
              </w:rPr>
            </w:pPr>
          </w:p>
        </w:tc>
        <w:tc>
          <w:tcPr>
            <w:tcW w:w="885" w:type="dxa"/>
            <w:vMerge w:val="continue"/>
            <w:vAlign w:val="center"/>
          </w:tcPr>
          <w:p>
            <w:pPr>
              <w:spacing w:line="240" w:lineRule="auto"/>
              <w:ind w:firstLine="0" w:firstLineChars="0"/>
              <w:jc w:val="center"/>
              <w:rPr>
                <w:rFonts w:ascii="宋体" w:hAnsi="宋体"/>
                <w:sz w:val="21"/>
                <w:szCs w:val="21"/>
              </w:rPr>
            </w:pPr>
          </w:p>
        </w:tc>
        <w:tc>
          <w:tcPr>
            <w:tcW w:w="1650" w:type="dxa"/>
            <w:gridSpan w:val="3"/>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包气带防污性能</w:t>
            </w:r>
          </w:p>
        </w:tc>
        <w:tc>
          <w:tcPr>
            <w:tcW w:w="1386"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D1 </w:t>
            </w:r>
            <w:r>
              <w:rPr>
                <w:rFonts w:hint="eastAsia" w:ascii="MS Mincho" w:hAnsi="MS Mincho" w:eastAsia="MS Mincho" w:cs="MS Mincho"/>
                <w:sz w:val="21"/>
                <w:szCs w:val="21"/>
                <w:lang w:val="zh-CN" w:bidi="zh-CN"/>
              </w:rPr>
              <w:t>☑</w:t>
            </w:r>
          </w:p>
        </w:tc>
        <w:tc>
          <w:tcPr>
            <w:tcW w:w="1621" w:type="dxa"/>
            <w:gridSpan w:val="3"/>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D2 </w:t>
            </w:r>
            <w:r>
              <w:rPr>
                <w:rFonts w:ascii="宋体" w:hAnsi="宋体" w:eastAsia="Times New Roman"/>
                <w:sz w:val="21"/>
                <w:szCs w:val="21"/>
                <w:lang w:val="zh-CN" w:bidi="zh-CN"/>
              </w:rPr>
              <w:t>□</w:t>
            </w:r>
          </w:p>
        </w:tc>
        <w:tc>
          <w:tcPr>
            <w:tcW w:w="1488"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D3 </w:t>
            </w:r>
            <w:r>
              <w:rPr>
                <w:rFonts w:ascii="宋体" w:hAnsi="宋体" w:eastAsia="Times New Roman"/>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Merge w:val="restart"/>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物质及工艺系统危险性</w:t>
            </w:r>
          </w:p>
        </w:tc>
        <w:tc>
          <w:tcPr>
            <w:tcW w:w="885" w:type="dxa"/>
            <w:vAlign w:val="center"/>
          </w:tcPr>
          <w:p>
            <w:pPr>
              <w:autoSpaceDE w:val="0"/>
              <w:autoSpaceDN w:val="0"/>
              <w:spacing w:line="240" w:lineRule="auto"/>
              <w:ind w:firstLine="0" w:firstLineChars="0"/>
              <w:jc w:val="center"/>
              <w:rPr>
                <w:rFonts w:ascii="宋体"/>
                <w:sz w:val="21"/>
                <w:szCs w:val="21"/>
                <w:lang w:val="zh-CN" w:bidi="zh-CN"/>
              </w:rPr>
            </w:pPr>
            <w:r>
              <w:rPr>
                <w:rFonts w:eastAsia="Times New Roman"/>
                <w:i/>
                <w:sz w:val="21"/>
                <w:szCs w:val="21"/>
                <w:lang w:val="zh-CN" w:bidi="zh-CN"/>
              </w:rPr>
              <w:t xml:space="preserve">Q </w:t>
            </w:r>
            <w:r>
              <w:rPr>
                <w:rFonts w:hint="eastAsia" w:ascii="宋体"/>
                <w:sz w:val="21"/>
                <w:szCs w:val="21"/>
                <w:lang w:val="zh-CN" w:bidi="zh-CN"/>
              </w:rPr>
              <w:t>值</w:t>
            </w:r>
          </w:p>
        </w:tc>
        <w:tc>
          <w:tcPr>
            <w:tcW w:w="1650" w:type="dxa"/>
            <w:gridSpan w:val="3"/>
            <w:vAlign w:val="center"/>
          </w:tcPr>
          <w:p>
            <w:pPr>
              <w:autoSpaceDE w:val="0"/>
              <w:autoSpaceDN w:val="0"/>
              <w:spacing w:line="240" w:lineRule="auto"/>
              <w:ind w:firstLine="0" w:firstLineChars="0"/>
              <w:jc w:val="center"/>
              <w:rPr>
                <w:rFonts w:ascii="宋体" w:hAnsi="宋体"/>
                <w:sz w:val="21"/>
                <w:szCs w:val="21"/>
                <w:lang w:val="zh-CN" w:bidi="zh-CN"/>
              </w:rPr>
            </w:pPr>
            <w:r>
              <w:rPr>
                <w:rFonts w:eastAsia="Times New Roman"/>
                <w:i/>
                <w:sz w:val="21"/>
                <w:szCs w:val="21"/>
                <w:lang w:val="zh-CN" w:bidi="zh-CN"/>
              </w:rPr>
              <w:t>Q</w:t>
            </w:r>
            <w:r>
              <w:rPr>
                <w:rFonts w:hint="eastAsia" w:ascii="宋体" w:hAnsi="宋体"/>
                <w:sz w:val="21"/>
                <w:szCs w:val="21"/>
                <w:lang w:val="zh-CN" w:bidi="zh-CN"/>
              </w:rPr>
              <w:t>＜</w:t>
            </w:r>
            <w:r>
              <w:rPr>
                <w:rFonts w:eastAsia="Times New Roman"/>
                <w:sz w:val="21"/>
                <w:szCs w:val="21"/>
                <w:lang w:val="zh-CN" w:bidi="zh-CN"/>
              </w:rPr>
              <w:t xml:space="preserve">1 </w:t>
            </w:r>
            <w:r>
              <w:rPr>
                <w:rFonts w:hint="eastAsia" w:ascii="MS Mincho" w:hAnsi="MS Mincho" w:eastAsia="MS Mincho" w:cs="MS Mincho"/>
                <w:sz w:val="21"/>
                <w:szCs w:val="21"/>
                <w:lang w:val="zh-CN" w:bidi="zh-CN"/>
              </w:rPr>
              <w:t>☑</w:t>
            </w:r>
          </w:p>
        </w:tc>
        <w:tc>
          <w:tcPr>
            <w:tcW w:w="1386" w:type="dxa"/>
            <w:gridSpan w:val="2"/>
            <w:vAlign w:val="center"/>
          </w:tcPr>
          <w:p>
            <w:pPr>
              <w:autoSpaceDE w:val="0"/>
              <w:autoSpaceDN w:val="0"/>
              <w:spacing w:line="240" w:lineRule="auto"/>
              <w:ind w:firstLine="0" w:firstLineChars="0"/>
              <w:jc w:val="center"/>
              <w:rPr>
                <w:rFonts w:ascii="宋体" w:hAnsi="宋体"/>
                <w:sz w:val="21"/>
                <w:szCs w:val="21"/>
                <w:lang w:val="zh-CN" w:bidi="zh-CN"/>
              </w:rPr>
            </w:pPr>
            <w:r>
              <w:rPr>
                <w:rFonts w:eastAsia="Times New Roman"/>
                <w:sz w:val="21"/>
                <w:szCs w:val="21"/>
                <w:lang w:val="zh-CN" w:bidi="zh-CN"/>
              </w:rPr>
              <w:t>1</w:t>
            </w:r>
            <w:r>
              <w:rPr>
                <w:rFonts w:hint="eastAsia" w:ascii="宋体" w:hAnsi="宋体"/>
                <w:sz w:val="21"/>
                <w:szCs w:val="21"/>
                <w:lang w:val="zh-CN" w:bidi="zh-CN"/>
              </w:rPr>
              <w:t>≤</w:t>
            </w:r>
            <w:r>
              <w:rPr>
                <w:rFonts w:eastAsia="Times New Roman"/>
                <w:i/>
                <w:sz w:val="21"/>
                <w:szCs w:val="21"/>
                <w:lang w:val="zh-CN" w:bidi="zh-CN"/>
              </w:rPr>
              <w:t>Q</w:t>
            </w:r>
            <w:r>
              <w:rPr>
                <w:rFonts w:hint="eastAsia" w:ascii="宋体" w:hAnsi="宋体"/>
                <w:sz w:val="21"/>
                <w:szCs w:val="21"/>
                <w:lang w:val="zh-CN" w:bidi="zh-CN"/>
              </w:rPr>
              <w:t>＜</w:t>
            </w:r>
            <w:r>
              <w:rPr>
                <w:rFonts w:eastAsia="Times New Roman"/>
                <w:sz w:val="21"/>
                <w:szCs w:val="21"/>
                <w:lang w:val="zh-CN" w:bidi="zh-CN"/>
              </w:rPr>
              <w:t xml:space="preserve">10 </w:t>
            </w:r>
            <w:r>
              <w:rPr>
                <w:rFonts w:hint="eastAsia" w:ascii="宋体" w:hAnsi="宋体"/>
                <w:sz w:val="21"/>
                <w:szCs w:val="21"/>
                <w:lang w:val="zh-CN" w:bidi="zh-CN"/>
              </w:rPr>
              <w:t>□</w:t>
            </w:r>
          </w:p>
        </w:tc>
        <w:tc>
          <w:tcPr>
            <w:tcW w:w="1621" w:type="dxa"/>
            <w:gridSpan w:val="3"/>
            <w:vAlign w:val="center"/>
          </w:tcPr>
          <w:p>
            <w:pPr>
              <w:autoSpaceDE w:val="0"/>
              <w:autoSpaceDN w:val="0"/>
              <w:spacing w:line="240" w:lineRule="auto"/>
              <w:ind w:firstLine="0" w:firstLineChars="0"/>
              <w:jc w:val="center"/>
              <w:rPr>
                <w:rFonts w:ascii="宋体" w:hAnsi="宋体"/>
                <w:sz w:val="21"/>
                <w:szCs w:val="21"/>
                <w:lang w:val="zh-CN" w:bidi="zh-CN"/>
              </w:rPr>
            </w:pPr>
            <w:r>
              <w:rPr>
                <w:rFonts w:eastAsia="Times New Roman"/>
                <w:sz w:val="21"/>
                <w:szCs w:val="21"/>
                <w:lang w:val="zh-CN" w:bidi="zh-CN"/>
              </w:rPr>
              <w:t>10</w:t>
            </w:r>
            <w:r>
              <w:rPr>
                <w:rFonts w:hint="eastAsia" w:ascii="宋体" w:hAnsi="宋体"/>
                <w:sz w:val="21"/>
                <w:szCs w:val="21"/>
                <w:lang w:val="zh-CN" w:bidi="zh-CN"/>
              </w:rPr>
              <w:t>≤</w:t>
            </w:r>
            <w:r>
              <w:rPr>
                <w:rFonts w:eastAsia="Times New Roman"/>
                <w:i/>
                <w:sz w:val="21"/>
                <w:szCs w:val="21"/>
                <w:lang w:val="zh-CN" w:bidi="zh-CN"/>
              </w:rPr>
              <w:t>Q</w:t>
            </w:r>
            <w:r>
              <w:rPr>
                <w:rFonts w:hint="eastAsia" w:ascii="宋体" w:hAnsi="宋体"/>
                <w:sz w:val="21"/>
                <w:szCs w:val="21"/>
                <w:lang w:val="zh-CN" w:bidi="zh-CN"/>
              </w:rPr>
              <w:t>＜</w:t>
            </w:r>
            <w:r>
              <w:rPr>
                <w:rFonts w:eastAsia="Times New Roman"/>
                <w:sz w:val="21"/>
                <w:szCs w:val="21"/>
                <w:lang w:val="zh-CN" w:bidi="zh-CN"/>
              </w:rPr>
              <w:t xml:space="preserve">100 </w:t>
            </w:r>
            <w:r>
              <w:rPr>
                <w:rFonts w:hint="eastAsia" w:ascii="宋体" w:hAnsi="宋体"/>
                <w:sz w:val="21"/>
                <w:szCs w:val="21"/>
                <w:lang w:val="zh-CN" w:bidi="zh-CN"/>
              </w:rPr>
              <w:t>□</w:t>
            </w:r>
          </w:p>
        </w:tc>
        <w:tc>
          <w:tcPr>
            <w:tcW w:w="1488" w:type="dxa"/>
            <w:gridSpan w:val="2"/>
            <w:vAlign w:val="center"/>
          </w:tcPr>
          <w:p>
            <w:pPr>
              <w:autoSpaceDE w:val="0"/>
              <w:autoSpaceDN w:val="0"/>
              <w:spacing w:line="240" w:lineRule="auto"/>
              <w:ind w:firstLine="0" w:firstLineChars="0"/>
              <w:jc w:val="center"/>
              <w:rPr>
                <w:rFonts w:ascii="宋体" w:hAnsi="宋体"/>
                <w:sz w:val="21"/>
                <w:szCs w:val="21"/>
                <w:lang w:val="zh-CN" w:bidi="zh-CN"/>
              </w:rPr>
            </w:pPr>
            <w:r>
              <w:rPr>
                <w:rFonts w:eastAsia="Times New Roman"/>
                <w:i/>
                <w:sz w:val="21"/>
                <w:szCs w:val="21"/>
                <w:lang w:val="zh-CN" w:bidi="zh-CN"/>
              </w:rPr>
              <w:t>Q</w:t>
            </w:r>
            <w:r>
              <w:rPr>
                <w:rFonts w:hint="eastAsia" w:ascii="宋体" w:hAnsi="宋体"/>
                <w:sz w:val="21"/>
                <w:szCs w:val="21"/>
                <w:lang w:val="zh-CN" w:bidi="zh-CN"/>
              </w:rPr>
              <w:t>＞</w:t>
            </w:r>
            <w:r>
              <w:rPr>
                <w:rFonts w:eastAsia="Times New Roman"/>
                <w:sz w:val="21"/>
                <w:szCs w:val="21"/>
                <w:lang w:val="zh-CN" w:bidi="zh-CN"/>
              </w:rPr>
              <w:t xml:space="preserve">100  </w:t>
            </w:r>
            <w:r>
              <w:rPr>
                <w:rFonts w:ascii="宋体" w:hAnsi="宋体" w:eastAsia="Times New Roman"/>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Merge w:val="continue"/>
            <w:vAlign w:val="center"/>
          </w:tcPr>
          <w:p>
            <w:pPr>
              <w:spacing w:line="240" w:lineRule="auto"/>
              <w:ind w:firstLine="0" w:firstLineChars="0"/>
              <w:jc w:val="center"/>
              <w:rPr>
                <w:rFonts w:ascii="宋体" w:hAnsi="宋体"/>
                <w:sz w:val="21"/>
                <w:szCs w:val="21"/>
              </w:rPr>
            </w:pPr>
          </w:p>
        </w:tc>
        <w:tc>
          <w:tcPr>
            <w:tcW w:w="885" w:type="dxa"/>
            <w:vAlign w:val="center"/>
          </w:tcPr>
          <w:p>
            <w:pPr>
              <w:autoSpaceDE w:val="0"/>
              <w:autoSpaceDN w:val="0"/>
              <w:spacing w:line="240" w:lineRule="auto"/>
              <w:ind w:firstLine="0" w:firstLineChars="0"/>
              <w:jc w:val="center"/>
              <w:rPr>
                <w:rFonts w:ascii="宋体"/>
                <w:sz w:val="21"/>
                <w:szCs w:val="21"/>
                <w:lang w:val="zh-CN" w:bidi="zh-CN"/>
              </w:rPr>
            </w:pPr>
            <w:r>
              <w:rPr>
                <w:rFonts w:eastAsia="Times New Roman"/>
                <w:sz w:val="21"/>
                <w:szCs w:val="21"/>
                <w:lang w:val="zh-CN" w:bidi="zh-CN"/>
              </w:rPr>
              <w:t xml:space="preserve">M </w:t>
            </w:r>
            <w:r>
              <w:rPr>
                <w:rFonts w:hint="eastAsia" w:ascii="宋体"/>
                <w:sz w:val="21"/>
                <w:szCs w:val="21"/>
                <w:lang w:val="zh-CN" w:bidi="zh-CN"/>
              </w:rPr>
              <w:t>值</w:t>
            </w:r>
          </w:p>
        </w:tc>
        <w:tc>
          <w:tcPr>
            <w:tcW w:w="1650" w:type="dxa"/>
            <w:gridSpan w:val="3"/>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M1 </w:t>
            </w:r>
            <w:r>
              <w:rPr>
                <w:rFonts w:ascii="宋体" w:hAnsi="宋体" w:eastAsia="Times New Roman"/>
                <w:sz w:val="21"/>
                <w:szCs w:val="21"/>
                <w:lang w:val="zh-CN" w:bidi="zh-CN"/>
              </w:rPr>
              <w:t>□</w:t>
            </w:r>
          </w:p>
        </w:tc>
        <w:tc>
          <w:tcPr>
            <w:tcW w:w="1386"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M2 </w:t>
            </w:r>
            <w:r>
              <w:rPr>
                <w:rFonts w:ascii="宋体" w:hAnsi="宋体" w:eastAsia="Times New Roman"/>
                <w:sz w:val="21"/>
                <w:szCs w:val="21"/>
                <w:lang w:val="zh-CN" w:bidi="zh-CN"/>
              </w:rPr>
              <w:t>□</w:t>
            </w:r>
          </w:p>
        </w:tc>
        <w:tc>
          <w:tcPr>
            <w:tcW w:w="1621" w:type="dxa"/>
            <w:gridSpan w:val="3"/>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M3 </w:t>
            </w:r>
            <w:r>
              <w:rPr>
                <w:rFonts w:ascii="宋体" w:hAnsi="宋体" w:eastAsia="Times New Roman"/>
                <w:sz w:val="21"/>
                <w:szCs w:val="21"/>
                <w:lang w:val="zh-CN" w:bidi="zh-CN"/>
              </w:rPr>
              <w:t>□</w:t>
            </w:r>
          </w:p>
        </w:tc>
        <w:tc>
          <w:tcPr>
            <w:tcW w:w="1488"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M4 </w:t>
            </w:r>
            <w:r>
              <w:rPr>
                <w:rFonts w:hint="eastAsia" w:ascii="MS Mincho" w:hAnsi="MS Mincho" w:eastAsia="MS Mincho" w:cs="MS Mincho"/>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Merge w:val="continue"/>
            <w:vAlign w:val="center"/>
          </w:tcPr>
          <w:p>
            <w:pPr>
              <w:spacing w:line="240" w:lineRule="auto"/>
              <w:ind w:firstLine="0" w:firstLineChars="0"/>
              <w:jc w:val="center"/>
              <w:rPr>
                <w:rFonts w:ascii="宋体" w:hAnsi="宋体"/>
                <w:sz w:val="21"/>
                <w:szCs w:val="21"/>
              </w:rPr>
            </w:pPr>
          </w:p>
        </w:tc>
        <w:tc>
          <w:tcPr>
            <w:tcW w:w="885" w:type="dxa"/>
            <w:vAlign w:val="center"/>
          </w:tcPr>
          <w:p>
            <w:pPr>
              <w:autoSpaceDE w:val="0"/>
              <w:autoSpaceDN w:val="0"/>
              <w:spacing w:line="240" w:lineRule="auto"/>
              <w:ind w:firstLine="0" w:firstLineChars="0"/>
              <w:jc w:val="center"/>
              <w:rPr>
                <w:rFonts w:ascii="宋体"/>
                <w:sz w:val="21"/>
                <w:szCs w:val="21"/>
                <w:lang w:val="zh-CN" w:bidi="zh-CN"/>
              </w:rPr>
            </w:pPr>
            <w:r>
              <w:rPr>
                <w:rFonts w:eastAsia="Times New Roman"/>
                <w:sz w:val="21"/>
                <w:szCs w:val="21"/>
                <w:lang w:val="zh-CN" w:bidi="zh-CN"/>
              </w:rPr>
              <w:t xml:space="preserve">P </w:t>
            </w:r>
            <w:r>
              <w:rPr>
                <w:rFonts w:hint="eastAsia" w:ascii="宋体"/>
                <w:sz w:val="21"/>
                <w:szCs w:val="21"/>
                <w:lang w:val="zh-CN" w:bidi="zh-CN"/>
              </w:rPr>
              <w:t>值</w:t>
            </w:r>
          </w:p>
        </w:tc>
        <w:tc>
          <w:tcPr>
            <w:tcW w:w="1650" w:type="dxa"/>
            <w:gridSpan w:val="3"/>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P1 </w:t>
            </w:r>
            <w:r>
              <w:rPr>
                <w:rFonts w:ascii="宋体" w:hAnsi="宋体" w:eastAsia="Times New Roman"/>
                <w:sz w:val="21"/>
                <w:szCs w:val="21"/>
                <w:lang w:val="zh-CN" w:bidi="zh-CN"/>
              </w:rPr>
              <w:t>□</w:t>
            </w:r>
          </w:p>
        </w:tc>
        <w:tc>
          <w:tcPr>
            <w:tcW w:w="1386"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P2 </w:t>
            </w:r>
            <w:r>
              <w:rPr>
                <w:rFonts w:ascii="宋体" w:hAnsi="宋体" w:eastAsia="Times New Roman"/>
                <w:sz w:val="21"/>
                <w:szCs w:val="21"/>
                <w:lang w:val="zh-CN" w:bidi="zh-CN"/>
              </w:rPr>
              <w:t>□</w:t>
            </w:r>
          </w:p>
        </w:tc>
        <w:tc>
          <w:tcPr>
            <w:tcW w:w="1621" w:type="dxa"/>
            <w:gridSpan w:val="3"/>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P3 </w:t>
            </w:r>
            <w:r>
              <w:rPr>
                <w:rFonts w:ascii="宋体" w:hAnsi="宋体" w:eastAsia="Times New Roman"/>
                <w:sz w:val="21"/>
                <w:szCs w:val="21"/>
                <w:lang w:val="zh-CN" w:bidi="zh-CN"/>
              </w:rPr>
              <w:t>□</w:t>
            </w:r>
          </w:p>
        </w:tc>
        <w:tc>
          <w:tcPr>
            <w:tcW w:w="1488"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P4 </w:t>
            </w:r>
            <w:r>
              <w:rPr>
                <w:rFonts w:hint="eastAsia" w:ascii="MS Mincho" w:hAnsi="MS Mincho" w:eastAsia="MS Mincho" w:cs="MS Mincho"/>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Merge w:val="restart"/>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环境敏感程度</w:t>
            </w:r>
          </w:p>
        </w:tc>
        <w:tc>
          <w:tcPr>
            <w:tcW w:w="885" w:type="dxa"/>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大气</w:t>
            </w:r>
          </w:p>
        </w:tc>
        <w:tc>
          <w:tcPr>
            <w:tcW w:w="1650" w:type="dxa"/>
            <w:gridSpan w:val="3"/>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E1  </w:t>
            </w:r>
            <w:r>
              <w:rPr>
                <w:rFonts w:ascii="宋体" w:hAnsi="宋体" w:eastAsia="Times New Roman"/>
                <w:sz w:val="21"/>
                <w:szCs w:val="21"/>
                <w:lang w:val="zh-CN" w:bidi="zh-CN"/>
              </w:rPr>
              <w:t>□</w:t>
            </w:r>
          </w:p>
        </w:tc>
        <w:tc>
          <w:tcPr>
            <w:tcW w:w="2083" w:type="dxa"/>
            <w:gridSpan w:val="3"/>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E2  </w:t>
            </w:r>
            <w:r>
              <w:rPr>
                <w:rFonts w:ascii="宋体" w:hAnsi="宋体" w:eastAsia="Times New Roman"/>
                <w:sz w:val="21"/>
                <w:szCs w:val="21"/>
                <w:lang w:val="zh-CN" w:bidi="zh-CN"/>
              </w:rPr>
              <w:t>□</w:t>
            </w:r>
          </w:p>
        </w:tc>
        <w:tc>
          <w:tcPr>
            <w:tcW w:w="2412" w:type="dxa"/>
            <w:gridSpan w:val="4"/>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E3  </w:t>
            </w:r>
            <w:r>
              <w:rPr>
                <w:rFonts w:hint="eastAsia" w:ascii="MS Mincho" w:hAnsi="MS Mincho" w:eastAsia="MS Mincho" w:cs="MS Mincho"/>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Merge w:val="continue"/>
            <w:vAlign w:val="center"/>
          </w:tcPr>
          <w:p>
            <w:pPr>
              <w:spacing w:line="240" w:lineRule="auto"/>
              <w:ind w:firstLine="0" w:firstLineChars="0"/>
              <w:jc w:val="center"/>
              <w:rPr>
                <w:rFonts w:ascii="宋体" w:hAnsi="宋体"/>
                <w:sz w:val="21"/>
                <w:szCs w:val="21"/>
              </w:rPr>
            </w:pPr>
          </w:p>
        </w:tc>
        <w:tc>
          <w:tcPr>
            <w:tcW w:w="885" w:type="dxa"/>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地表水</w:t>
            </w:r>
          </w:p>
        </w:tc>
        <w:tc>
          <w:tcPr>
            <w:tcW w:w="1650" w:type="dxa"/>
            <w:gridSpan w:val="3"/>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E1  </w:t>
            </w:r>
            <w:r>
              <w:rPr>
                <w:rFonts w:ascii="宋体" w:hAnsi="宋体" w:eastAsia="Times New Roman"/>
                <w:sz w:val="21"/>
                <w:szCs w:val="21"/>
                <w:lang w:val="zh-CN" w:bidi="zh-CN"/>
              </w:rPr>
              <w:t>□</w:t>
            </w:r>
          </w:p>
        </w:tc>
        <w:tc>
          <w:tcPr>
            <w:tcW w:w="2083" w:type="dxa"/>
            <w:gridSpan w:val="3"/>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E2  </w:t>
            </w:r>
            <w:r>
              <w:rPr>
                <w:rFonts w:ascii="宋体" w:hAnsi="宋体" w:eastAsia="Times New Roman"/>
                <w:sz w:val="21"/>
                <w:szCs w:val="21"/>
                <w:lang w:val="zh-CN" w:bidi="zh-CN"/>
              </w:rPr>
              <w:t>□</w:t>
            </w:r>
          </w:p>
        </w:tc>
        <w:tc>
          <w:tcPr>
            <w:tcW w:w="2412" w:type="dxa"/>
            <w:gridSpan w:val="4"/>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E3  </w:t>
            </w:r>
            <w:r>
              <w:rPr>
                <w:rFonts w:hint="eastAsia" w:ascii="MS Mincho" w:hAnsi="MS Mincho" w:eastAsia="MS Mincho" w:cs="MS Mincho"/>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Merge w:val="continue"/>
            <w:vAlign w:val="center"/>
          </w:tcPr>
          <w:p>
            <w:pPr>
              <w:spacing w:line="240" w:lineRule="auto"/>
              <w:ind w:firstLine="0" w:firstLineChars="0"/>
              <w:jc w:val="center"/>
              <w:rPr>
                <w:rFonts w:ascii="宋体" w:hAnsi="宋体"/>
                <w:sz w:val="21"/>
                <w:szCs w:val="21"/>
              </w:rPr>
            </w:pPr>
          </w:p>
        </w:tc>
        <w:tc>
          <w:tcPr>
            <w:tcW w:w="885" w:type="dxa"/>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地下水</w:t>
            </w:r>
          </w:p>
        </w:tc>
        <w:tc>
          <w:tcPr>
            <w:tcW w:w="1650" w:type="dxa"/>
            <w:gridSpan w:val="3"/>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E1  </w:t>
            </w:r>
            <w:r>
              <w:rPr>
                <w:rFonts w:ascii="宋体" w:hAnsi="宋体" w:eastAsia="Times New Roman"/>
                <w:sz w:val="21"/>
                <w:szCs w:val="21"/>
                <w:lang w:val="zh-CN" w:bidi="zh-CN"/>
              </w:rPr>
              <w:t>□</w:t>
            </w:r>
          </w:p>
        </w:tc>
        <w:tc>
          <w:tcPr>
            <w:tcW w:w="2083" w:type="dxa"/>
            <w:gridSpan w:val="3"/>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E2  </w:t>
            </w:r>
            <w:r>
              <w:rPr>
                <w:rFonts w:ascii="宋体" w:hAnsi="宋体" w:eastAsia="Times New Roman"/>
                <w:sz w:val="21"/>
                <w:szCs w:val="21"/>
                <w:lang w:val="zh-CN" w:bidi="zh-CN"/>
              </w:rPr>
              <w:t>□</w:t>
            </w:r>
          </w:p>
        </w:tc>
        <w:tc>
          <w:tcPr>
            <w:tcW w:w="2412" w:type="dxa"/>
            <w:gridSpan w:val="4"/>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E3  </w:t>
            </w:r>
            <w:r>
              <w:rPr>
                <w:rFonts w:hint="eastAsia" w:ascii="MS Mincho" w:hAnsi="MS Mincho" w:eastAsia="MS Mincho" w:cs="MS Mincho"/>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环境风险潜势</w:t>
            </w:r>
          </w:p>
        </w:tc>
        <w:tc>
          <w:tcPr>
            <w:tcW w:w="1173"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ascii="宋体" w:hAnsi="宋体" w:eastAsia="Times New Roman"/>
                <w:sz w:val="21"/>
                <w:szCs w:val="21"/>
                <w:lang w:val="zh-CN" w:bidi="zh-CN"/>
              </w:rPr>
              <w:t>Ⅳ</w:t>
            </w:r>
            <w:r>
              <w:rPr>
                <w:rFonts w:eastAsia="Times New Roman"/>
                <w:sz w:val="21"/>
                <w:szCs w:val="21"/>
                <w:vertAlign w:val="superscript"/>
                <w:lang w:val="zh-CN" w:bidi="zh-CN"/>
              </w:rPr>
              <w:t>+</w:t>
            </w:r>
            <w:r>
              <w:rPr>
                <w:rFonts w:ascii="宋体" w:hAnsi="宋体" w:eastAsia="Times New Roman"/>
                <w:sz w:val="21"/>
                <w:szCs w:val="21"/>
                <w:lang w:val="zh-CN" w:bidi="zh-CN"/>
              </w:rPr>
              <w:t>□</w:t>
            </w:r>
          </w:p>
        </w:tc>
        <w:tc>
          <w:tcPr>
            <w:tcW w:w="1362"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ascii="宋体" w:hAnsi="宋体" w:eastAsia="Times New Roman"/>
                <w:sz w:val="21"/>
                <w:szCs w:val="21"/>
                <w:lang w:val="zh-CN" w:bidi="zh-CN"/>
              </w:rPr>
              <w:t>Ⅳ □</w:t>
            </w:r>
          </w:p>
        </w:tc>
        <w:tc>
          <w:tcPr>
            <w:tcW w:w="1386"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ascii="宋体" w:hAnsi="宋体" w:eastAsia="Times New Roman"/>
                <w:sz w:val="21"/>
                <w:szCs w:val="21"/>
                <w:lang w:val="zh-CN" w:bidi="zh-CN"/>
              </w:rPr>
              <w:t>Ⅲ □</w:t>
            </w:r>
          </w:p>
        </w:tc>
        <w:tc>
          <w:tcPr>
            <w:tcW w:w="1621" w:type="dxa"/>
            <w:gridSpan w:val="3"/>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ascii="宋体" w:hAnsi="宋体" w:eastAsia="Times New Roman"/>
                <w:sz w:val="21"/>
                <w:szCs w:val="21"/>
                <w:lang w:val="zh-CN" w:bidi="zh-CN"/>
              </w:rPr>
              <w:t>Ⅱ □</w:t>
            </w:r>
          </w:p>
        </w:tc>
        <w:tc>
          <w:tcPr>
            <w:tcW w:w="1488"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I  </w:t>
            </w:r>
            <w:r>
              <w:rPr>
                <w:rFonts w:hint="eastAsia" w:ascii="MS Mincho" w:hAnsi="MS Mincho" w:eastAsia="MS Mincho" w:cs="MS Mincho"/>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评价等级</w:t>
            </w:r>
          </w:p>
        </w:tc>
        <w:tc>
          <w:tcPr>
            <w:tcW w:w="2535" w:type="dxa"/>
            <w:gridSpan w:val="4"/>
            <w:vAlign w:val="center"/>
          </w:tcPr>
          <w:p>
            <w:pPr>
              <w:autoSpaceDE w:val="0"/>
              <w:autoSpaceDN w:val="0"/>
              <w:spacing w:line="240" w:lineRule="auto"/>
              <w:ind w:firstLine="0" w:firstLineChars="0"/>
              <w:jc w:val="center"/>
              <w:rPr>
                <w:rFonts w:ascii="宋体" w:hAnsi="宋体"/>
                <w:sz w:val="21"/>
                <w:szCs w:val="21"/>
                <w:lang w:val="zh-CN" w:bidi="zh-CN"/>
              </w:rPr>
            </w:pPr>
            <w:r>
              <w:rPr>
                <w:rFonts w:hint="eastAsia" w:ascii="宋体" w:hAnsi="宋体"/>
                <w:sz w:val="21"/>
                <w:szCs w:val="21"/>
                <w:lang w:val="zh-CN" w:bidi="zh-CN"/>
              </w:rPr>
              <w:t>一级 □</w:t>
            </w:r>
          </w:p>
        </w:tc>
        <w:tc>
          <w:tcPr>
            <w:tcW w:w="1386" w:type="dxa"/>
            <w:gridSpan w:val="2"/>
            <w:vAlign w:val="center"/>
          </w:tcPr>
          <w:p>
            <w:pPr>
              <w:autoSpaceDE w:val="0"/>
              <w:autoSpaceDN w:val="0"/>
              <w:spacing w:line="240" w:lineRule="auto"/>
              <w:ind w:firstLine="0" w:firstLineChars="0"/>
              <w:jc w:val="center"/>
              <w:rPr>
                <w:rFonts w:ascii="宋体" w:hAnsi="宋体"/>
                <w:sz w:val="21"/>
                <w:szCs w:val="21"/>
                <w:lang w:val="zh-CN" w:bidi="zh-CN"/>
              </w:rPr>
            </w:pPr>
            <w:r>
              <w:rPr>
                <w:rFonts w:hint="eastAsia" w:ascii="宋体" w:hAnsi="宋体"/>
                <w:sz w:val="21"/>
                <w:szCs w:val="21"/>
                <w:lang w:val="zh-CN" w:bidi="zh-CN"/>
              </w:rPr>
              <w:t>二级 □</w:t>
            </w:r>
          </w:p>
        </w:tc>
        <w:tc>
          <w:tcPr>
            <w:tcW w:w="1621" w:type="dxa"/>
            <w:gridSpan w:val="3"/>
            <w:vAlign w:val="center"/>
          </w:tcPr>
          <w:p>
            <w:pPr>
              <w:autoSpaceDE w:val="0"/>
              <w:autoSpaceDN w:val="0"/>
              <w:spacing w:line="240" w:lineRule="auto"/>
              <w:ind w:firstLine="0" w:firstLineChars="0"/>
              <w:jc w:val="center"/>
              <w:rPr>
                <w:rFonts w:ascii="宋体" w:hAnsi="宋体"/>
                <w:sz w:val="21"/>
                <w:szCs w:val="21"/>
                <w:lang w:val="zh-CN" w:bidi="zh-CN"/>
              </w:rPr>
            </w:pPr>
            <w:r>
              <w:rPr>
                <w:rFonts w:hint="eastAsia" w:ascii="宋体" w:hAnsi="宋体"/>
                <w:sz w:val="21"/>
                <w:szCs w:val="21"/>
                <w:lang w:val="zh-CN" w:bidi="zh-CN"/>
              </w:rPr>
              <w:t>三级 □</w:t>
            </w:r>
          </w:p>
        </w:tc>
        <w:tc>
          <w:tcPr>
            <w:tcW w:w="1488" w:type="dxa"/>
            <w:gridSpan w:val="2"/>
            <w:vAlign w:val="center"/>
          </w:tcPr>
          <w:p>
            <w:pPr>
              <w:autoSpaceDE w:val="0"/>
              <w:autoSpaceDN w:val="0"/>
              <w:spacing w:line="240" w:lineRule="auto"/>
              <w:ind w:firstLine="0" w:firstLineChars="0"/>
              <w:jc w:val="center"/>
              <w:rPr>
                <w:rFonts w:ascii="宋体" w:hAnsi="宋体"/>
                <w:sz w:val="21"/>
                <w:szCs w:val="21"/>
                <w:lang w:val="zh-CN" w:bidi="zh-CN"/>
              </w:rPr>
            </w:pPr>
            <w:r>
              <w:rPr>
                <w:rFonts w:hint="eastAsia" w:ascii="宋体" w:hAnsi="宋体"/>
                <w:sz w:val="21"/>
                <w:szCs w:val="21"/>
                <w:lang w:val="zh-CN" w:bidi="zh-CN"/>
              </w:rPr>
              <w:t xml:space="preserve">简单分析 </w:t>
            </w:r>
            <w:r>
              <w:rPr>
                <w:rFonts w:hint="eastAsia" w:ascii="MS Mincho" w:hAnsi="MS Mincho" w:eastAsia="MS Mincho" w:cs="MS Mincho"/>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restart"/>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风险识别</w:t>
            </w:r>
          </w:p>
        </w:tc>
        <w:tc>
          <w:tcPr>
            <w:tcW w:w="1133" w:type="dxa"/>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物质危险性</w:t>
            </w:r>
          </w:p>
        </w:tc>
        <w:tc>
          <w:tcPr>
            <w:tcW w:w="3158" w:type="dxa"/>
            <w:gridSpan w:val="5"/>
            <w:vAlign w:val="center"/>
          </w:tcPr>
          <w:p>
            <w:pPr>
              <w:autoSpaceDE w:val="0"/>
              <w:autoSpaceDN w:val="0"/>
              <w:spacing w:line="240" w:lineRule="auto"/>
              <w:ind w:firstLine="0" w:firstLineChars="0"/>
              <w:jc w:val="center"/>
              <w:rPr>
                <w:rFonts w:ascii="宋体" w:hAnsi="宋体"/>
                <w:sz w:val="21"/>
                <w:szCs w:val="21"/>
                <w:lang w:val="zh-CN" w:bidi="zh-CN"/>
              </w:rPr>
            </w:pPr>
            <w:r>
              <w:rPr>
                <w:rFonts w:hint="eastAsia" w:ascii="宋体" w:hAnsi="宋体"/>
                <w:sz w:val="21"/>
                <w:szCs w:val="21"/>
                <w:lang w:val="zh-CN" w:bidi="zh-CN"/>
              </w:rPr>
              <w:t>有毒有害 □</w:t>
            </w:r>
          </w:p>
        </w:tc>
        <w:tc>
          <w:tcPr>
            <w:tcW w:w="3872" w:type="dxa"/>
            <w:gridSpan w:val="6"/>
            <w:vAlign w:val="center"/>
          </w:tcPr>
          <w:p>
            <w:pPr>
              <w:autoSpaceDE w:val="0"/>
              <w:autoSpaceDN w:val="0"/>
              <w:spacing w:line="240" w:lineRule="auto"/>
              <w:ind w:firstLine="0" w:firstLineChars="0"/>
              <w:jc w:val="center"/>
              <w:rPr>
                <w:rFonts w:ascii="宋体" w:hAnsi="宋体"/>
                <w:sz w:val="21"/>
                <w:szCs w:val="21"/>
                <w:lang w:val="zh-CN" w:bidi="zh-CN"/>
              </w:rPr>
            </w:pPr>
            <w:r>
              <w:rPr>
                <w:rFonts w:hint="eastAsia" w:ascii="宋体" w:hAnsi="宋体"/>
                <w:sz w:val="21"/>
                <w:szCs w:val="21"/>
                <w:lang w:val="zh-CN" w:bidi="zh-CN"/>
              </w:rPr>
              <w:t xml:space="preserve">易燃易爆 </w:t>
            </w:r>
            <w:r>
              <w:rPr>
                <w:rFonts w:hint="eastAsia" w:ascii="MS Mincho" w:hAnsi="MS Mincho" w:eastAsia="MS Mincho" w:cs="MS Mincho"/>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宋体" w:hAnsi="宋体"/>
                <w:sz w:val="21"/>
                <w:szCs w:val="21"/>
              </w:rPr>
            </w:pPr>
          </w:p>
        </w:tc>
        <w:tc>
          <w:tcPr>
            <w:tcW w:w="1133" w:type="dxa"/>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环境风险类型</w:t>
            </w:r>
          </w:p>
        </w:tc>
        <w:tc>
          <w:tcPr>
            <w:tcW w:w="2535" w:type="dxa"/>
            <w:gridSpan w:val="4"/>
            <w:vAlign w:val="center"/>
          </w:tcPr>
          <w:p>
            <w:pPr>
              <w:autoSpaceDE w:val="0"/>
              <w:autoSpaceDN w:val="0"/>
              <w:spacing w:line="240" w:lineRule="auto"/>
              <w:ind w:firstLine="0" w:firstLineChars="0"/>
              <w:jc w:val="center"/>
              <w:rPr>
                <w:rFonts w:ascii="宋体" w:hAnsi="宋体"/>
                <w:sz w:val="21"/>
                <w:szCs w:val="21"/>
                <w:lang w:val="zh-CN" w:bidi="zh-CN"/>
              </w:rPr>
            </w:pPr>
            <w:r>
              <w:rPr>
                <w:rFonts w:hint="eastAsia" w:ascii="宋体" w:hAnsi="宋体"/>
                <w:sz w:val="21"/>
                <w:szCs w:val="21"/>
                <w:lang w:val="zh-CN" w:bidi="zh-CN"/>
              </w:rPr>
              <w:t>泄漏 □</w:t>
            </w:r>
          </w:p>
        </w:tc>
        <w:tc>
          <w:tcPr>
            <w:tcW w:w="4495" w:type="dxa"/>
            <w:gridSpan w:val="7"/>
            <w:vAlign w:val="center"/>
          </w:tcPr>
          <w:p>
            <w:pPr>
              <w:autoSpaceDE w:val="0"/>
              <w:autoSpaceDN w:val="0"/>
              <w:spacing w:line="240" w:lineRule="auto"/>
              <w:ind w:firstLine="0" w:firstLineChars="0"/>
              <w:jc w:val="center"/>
              <w:rPr>
                <w:rFonts w:ascii="宋体" w:hAnsi="宋体"/>
                <w:sz w:val="21"/>
                <w:szCs w:val="21"/>
                <w:lang w:val="zh-CN" w:bidi="zh-CN"/>
              </w:rPr>
            </w:pPr>
            <w:r>
              <w:rPr>
                <w:rFonts w:hint="eastAsia" w:ascii="宋体" w:hAnsi="宋体"/>
                <w:sz w:val="21"/>
                <w:szCs w:val="21"/>
                <w:lang w:val="zh-CN" w:bidi="zh-CN"/>
              </w:rPr>
              <w:t>火灾、爆炸引发伴生</w:t>
            </w:r>
            <w:r>
              <w:rPr>
                <w:rFonts w:eastAsia="Times New Roman"/>
                <w:sz w:val="21"/>
                <w:szCs w:val="21"/>
                <w:lang w:val="zh-CN" w:bidi="zh-CN"/>
              </w:rPr>
              <w:t>/</w:t>
            </w:r>
            <w:r>
              <w:rPr>
                <w:rFonts w:hint="eastAsia" w:ascii="宋体" w:hAnsi="宋体"/>
                <w:sz w:val="21"/>
                <w:szCs w:val="21"/>
                <w:lang w:val="zh-CN" w:bidi="zh-CN"/>
              </w:rPr>
              <w:t xml:space="preserve">次生污染物排放 </w:t>
            </w:r>
            <w:r>
              <w:rPr>
                <w:rFonts w:hint="eastAsia" w:ascii="MS Mincho" w:hAnsi="MS Mincho" w:eastAsia="MS Mincho" w:cs="MS Mincho"/>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宋体" w:hAnsi="宋体"/>
                <w:sz w:val="21"/>
                <w:szCs w:val="21"/>
              </w:rPr>
            </w:pPr>
          </w:p>
        </w:tc>
        <w:tc>
          <w:tcPr>
            <w:tcW w:w="1133" w:type="dxa"/>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影响途径</w:t>
            </w:r>
          </w:p>
        </w:tc>
        <w:tc>
          <w:tcPr>
            <w:tcW w:w="2535" w:type="dxa"/>
            <w:gridSpan w:val="4"/>
            <w:vAlign w:val="center"/>
          </w:tcPr>
          <w:p>
            <w:pPr>
              <w:autoSpaceDE w:val="0"/>
              <w:autoSpaceDN w:val="0"/>
              <w:spacing w:line="240" w:lineRule="auto"/>
              <w:ind w:firstLine="0" w:firstLineChars="0"/>
              <w:jc w:val="center"/>
              <w:rPr>
                <w:rFonts w:ascii="宋体" w:hAnsi="宋体"/>
                <w:sz w:val="21"/>
                <w:szCs w:val="21"/>
                <w:lang w:val="zh-CN" w:bidi="zh-CN"/>
              </w:rPr>
            </w:pPr>
            <w:r>
              <w:rPr>
                <w:rFonts w:hint="eastAsia" w:ascii="宋体" w:hAnsi="宋体"/>
                <w:sz w:val="21"/>
                <w:szCs w:val="21"/>
                <w:lang w:val="zh-CN" w:bidi="zh-CN"/>
              </w:rPr>
              <w:t xml:space="preserve">大气 </w:t>
            </w:r>
            <w:r>
              <w:rPr>
                <w:rFonts w:hint="eastAsia" w:ascii="MS Mincho" w:hAnsi="MS Mincho" w:eastAsia="MS Mincho" w:cs="MS Mincho"/>
                <w:sz w:val="21"/>
                <w:szCs w:val="21"/>
                <w:lang w:val="zh-CN" w:bidi="zh-CN"/>
              </w:rPr>
              <w:t>☑</w:t>
            </w:r>
          </w:p>
        </w:tc>
        <w:tc>
          <w:tcPr>
            <w:tcW w:w="2083" w:type="dxa"/>
            <w:gridSpan w:val="3"/>
            <w:vAlign w:val="center"/>
          </w:tcPr>
          <w:p>
            <w:pPr>
              <w:autoSpaceDE w:val="0"/>
              <w:autoSpaceDN w:val="0"/>
              <w:spacing w:line="240" w:lineRule="auto"/>
              <w:ind w:firstLine="0" w:firstLineChars="0"/>
              <w:jc w:val="center"/>
              <w:rPr>
                <w:rFonts w:ascii="宋体" w:hAnsi="宋体"/>
                <w:sz w:val="21"/>
                <w:szCs w:val="21"/>
                <w:lang w:val="zh-CN" w:bidi="zh-CN"/>
              </w:rPr>
            </w:pPr>
            <w:r>
              <w:rPr>
                <w:rFonts w:hint="eastAsia" w:ascii="宋体" w:hAnsi="宋体"/>
                <w:sz w:val="21"/>
                <w:szCs w:val="21"/>
                <w:lang w:val="zh-CN" w:bidi="zh-CN"/>
              </w:rPr>
              <w:t xml:space="preserve">地表水 </w:t>
            </w:r>
            <w:r>
              <w:rPr>
                <w:rFonts w:hint="eastAsia" w:ascii="MS Mincho" w:hAnsi="MS Mincho" w:eastAsia="MS Mincho" w:cs="MS Mincho"/>
                <w:sz w:val="21"/>
                <w:szCs w:val="21"/>
                <w:lang w:val="zh-CN" w:bidi="zh-CN"/>
              </w:rPr>
              <w:t>☑</w:t>
            </w:r>
          </w:p>
        </w:tc>
        <w:tc>
          <w:tcPr>
            <w:tcW w:w="2412" w:type="dxa"/>
            <w:gridSpan w:val="4"/>
            <w:vAlign w:val="center"/>
          </w:tcPr>
          <w:p>
            <w:pPr>
              <w:autoSpaceDE w:val="0"/>
              <w:autoSpaceDN w:val="0"/>
              <w:spacing w:line="240" w:lineRule="auto"/>
              <w:ind w:firstLine="0" w:firstLineChars="0"/>
              <w:jc w:val="center"/>
              <w:rPr>
                <w:rFonts w:ascii="宋体" w:hAnsi="宋体"/>
                <w:sz w:val="21"/>
                <w:szCs w:val="21"/>
                <w:lang w:val="zh-CN" w:bidi="zh-CN"/>
              </w:rPr>
            </w:pPr>
            <w:r>
              <w:rPr>
                <w:rFonts w:hint="eastAsia" w:ascii="宋体" w:hAnsi="宋体"/>
                <w:sz w:val="21"/>
                <w:szCs w:val="21"/>
                <w:lang w:val="zh-CN" w:bidi="zh-CN"/>
              </w:rPr>
              <w:t xml:space="preserve">地下水 </w:t>
            </w:r>
            <w:r>
              <w:rPr>
                <w:rFonts w:hint="eastAsia" w:ascii="MS Mincho" w:hAnsi="MS Mincho" w:eastAsia="MS Mincho" w:cs="MS Mincho"/>
                <w:sz w:val="21"/>
                <w:szCs w:val="21"/>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事故情形分析</w:t>
            </w:r>
          </w:p>
        </w:tc>
        <w:tc>
          <w:tcPr>
            <w:tcW w:w="1173" w:type="dxa"/>
            <w:gridSpan w:val="2"/>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源强设定方法</w:t>
            </w:r>
          </w:p>
        </w:tc>
        <w:tc>
          <w:tcPr>
            <w:tcW w:w="1362" w:type="dxa"/>
            <w:gridSpan w:val="2"/>
            <w:vAlign w:val="center"/>
          </w:tcPr>
          <w:p>
            <w:pPr>
              <w:autoSpaceDE w:val="0"/>
              <w:autoSpaceDN w:val="0"/>
              <w:spacing w:line="240" w:lineRule="auto"/>
              <w:ind w:firstLine="0" w:firstLineChars="0"/>
              <w:jc w:val="center"/>
              <w:rPr>
                <w:rFonts w:ascii="宋体" w:hAnsi="宋体"/>
                <w:sz w:val="21"/>
                <w:szCs w:val="21"/>
                <w:lang w:val="zh-CN" w:bidi="zh-CN"/>
              </w:rPr>
            </w:pPr>
            <w:r>
              <w:rPr>
                <w:rFonts w:hint="eastAsia" w:ascii="宋体" w:hAnsi="宋体"/>
                <w:sz w:val="21"/>
                <w:szCs w:val="21"/>
                <w:lang w:val="zh-CN" w:bidi="zh-CN"/>
              </w:rPr>
              <w:t>计算法 □</w:t>
            </w:r>
          </w:p>
        </w:tc>
        <w:tc>
          <w:tcPr>
            <w:tcW w:w="2083" w:type="dxa"/>
            <w:gridSpan w:val="3"/>
            <w:vAlign w:val="center"/>
          </w:tcPr>
          <w:p>
            <w:pPr>
              <w:autoSpaceDE w:val="0"/>
              <w:autoSpaceDN w:val="0"/>
              <w:spacing w:line="240" w:lineRule="auto"/>
              <w:ind w:firstLine="0" w:firstLineChars="0"/>
              <w:jc w:val="center"/>
              <w:rPr>
                <w:rFonts w:ascii="宋体" w:hAnsi="宋体"/>
                <w:sz w:val="21"/>
                <w:szCs w:val="21"/>
                <w:lang w:val="zh-CN" w:bidi="zh-CN"/>
              </w:rPr>
            </w:pPr>
            <w:r>
              <w:rPr>
                <w:rFonts w:hint="eastAsia" w:ascii="宋体" w:hAnsi="宋体"/>
                <w:sz w:val="21"/>
                <w:szCs w:val="21"/>
                <w:lang w:val="zh-CN" w:bidi="zh-CN"/>
              </w:rPr>
              <w:t>经验估算法 □</w:t>
            </w:r>
          </w:p>
        </w:tc>
        <w:tc>
          <w:tcPr>
            <w:tcW w:w="2412" w:type="dxa"/>
            <w:gridSpan w:val="4"/>
            <w:vAlign w:val="center"/>
          </w:tcPr>
          <w:p>
            <w:pPr>
              <w:autoSpaceDE w:val="0"/>
              <w:autoSpaceDN w:val="0"/>
              <w:spacing w:line="240" w:lineRule="auto"/>
              <w:ind w:firstLine="0" w:firstLineChars="0"/>
              <w:jc w:val="center"/>
              <w:rPr>
                <w:rFonts w:ascii="宋体" w:hAnsi="宋体"/>
                <w:sz w:val="21"/>
                <w:szCs w:val="21"/>
                <w:lang w:val="zh-CN" w:bidi="zh-CN"/>
              </w:rPr>
            </w:pPr>
            <w:r>
              <w:rPr>
                <w:rFonts w:hint="eastAsia" w:ascii="宋体" w:hAnsi="宋体"/>
                <w:sz w:val="21"/>
                <w:szCs w:val="21"/>
                <w:lang w:val="zh-CN" w:bidi="zh-CN"/>
              </w:rPr>
              <w:t>其他估算法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restart"/>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风险预测与评价</w:t>
            </w:r>
          </w:p>
        </w:tc>
        <w:tc>
          <w:tcPr>
            <w:tcW w:w="1133" w:type="dxa"/>
            <w:vMerge w:val="restart"/>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大气</w:t>
            </w:r>
          </w:p>
        </w:tc>
        <w:tc>
          <w:tcPr>
            <w:tcW w:w="1173" w:type="dxa"/>
            <w:gridSpan w:val="2"/>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预测模型</w:t>
            </w:r>
          </w:p>
        </w:tc>
        <w:tc>
          <w:tcPr>
            <w:tcW w:w="1362" w:type="dxa"/>
            <w:gridSpan w:val="2"/>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SLAB </w:t>
            </w:r>
            <w:r>
              <w:rPr>
                <w:rFonts w:ascii="宋体" w:hAnsi="宋体" w:eastAsia="Times New Roman"/>
                <w:sz w:val="21"/>
                <w:szCs w:val="21"/>
                <w:lang w:val="zh-CN" w:bidi="zh-CN"/>
              </w:rPr>
              <w:t>□</w:t>
            </w:r>
          </w:p>
        </w:tc>
        <w:tc>
          <w:tcPr>
            <w:tcW w:w="2083" w:type="dxa"/>
            <w:gridSpan w:val="3"/>
            <w:vAlign w:val="center"/>
          </w:tcPr>
          <w:p>
            <w:pPr>
              <w:autoSpaceDE w:val="0"/>
              <w:autoSpaceDN w:val="0"/>
              <w:spacing w:line="240" w:lineRule="auto"/>
              <w:ind w:firstLine="0" w:firstLineChars="0"/>
              <w:jc w:val="center"/>
              <w:rPr>
                <w:rFonts w:ascii="宋体" w:hAnsi="宋体" w:eastAsia="Times New Roman"/>
                <w:sz w:val="21"/>
                <w:szCs w:val="21"/>
                <w:lang w:val="zh-CN" w:bidi="zh-CN"/>
              </w:rPr>
            </w:pPr>
            <w:r>
              <w:rPr>
                <w:rFonts w:eastAsia="Times New Roman"/>
                <w:sz w:val="21"/>
                <w:szCs w:val="21"/>
                <w:lang w:val="zh-CN" w:bidi="zh-CN"/>
              </w:rPr>
              <w:t xml:space="preserve">AFTOX </w:t>
            </w:r>
            <w:r>
              <w:rPr>
                <w:rFonts w:hint="eastAsia" w:ascii="宋体" w:hAnsi="宋体"/>
                <w:sz w:val="21"/>
                <w:szCs w:val="21"/>
                <w:lang w:val="zh-CN" w:bidi="zh-CN"/>
              </w:rPr>
              <w:t>□</w:t>
            </w:r>
          </w:p>
        </w:tc>
        <w:tc>
          <w:tcPr>
            <w:tcW w:w="2412" w:type="dxa"/>
            <w:gridSpan w:val="4"/>
            <w:vAlign w:val="center"/>
          </w:tcPr>
          <w:p>
            <w:pPr>
              <w:autoSpaceDE w:val="0"/>
              <w:autoSpaceDN w:val="0"/>
              <w:spacing w:line="240" w:lineRule="auto"/>
              <w:ind w:firstLine="0" w:firstLineChars="0"/>
              <w:jc w:val="center"/>
              <w:rPr>
                <w:rFonts w:ascii="宋体" w:hAnsi="宋体"/>
                <w:sz w:val="21"/>
                <w:szCs w:val="21"/>
                <w:lang w:val="zh-CN" w:bidi="zh-CN"/>
              </w:rPr>
            </w:pPr>
            <w:r>
              <w:rPr>
                <w:rFonts w:hint="eastAsia" w:ascii="宋体" w:hAnsi="宋体"/>
                <w:sz w:val="21"/>
                <w:szCs w:val="21"/>
                <w:lang w:val="zh-CN" w:bidi="zh-CN"/>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宋体" w:hAnsi="宋体"/>
                <w:sz w:val="21"/>
                <w:szCs w:val="21"/>
              </w:rPr>
            </w:pPr>
          </w:p>
        </w:tc>
        <w:tc>
          <w:tcPr>
            <w:tcW w:w="1133" w:type="dxa"/>
            <w:vMerge w:val="continue"/>
            <w:vAlign w:val="center"/>
          </w:tcPr>
          <w:p>
            <w:pPr>
              <w:spacing w:line="240" w:lineRule="auto"/>
              <w:ind w:firstLine="0" w:firstLineChars="0"/>
              <w:jc w:val="center"/>
              <w:rPr>
                <w:rFonts w:ascii="宋体" w:hAnsi="宋体"/>
                <w:sz w:val="21"/>
                <w:szCs w:val="21"/>
              </w:rPr>
            </w:pPr>
          </w:p>
        </w:tc>
        <w:tc>
          <w:tcPr>
            <w:tcW w:w="1173" w:type="dxa"/>
            <w:gridSpan w:val="2"/>
            <w:vMerge w:val="restart"/>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预测结果</w:t>
            </w:r>
          </w:p>
        </w:tc>
        <w:tc>
          <w:tcPr>
            <w:tcW w:w="5857" w:type="dxa"/>
            <w:gridSpan w:val="9"/>
            <w:vAlign w:val="center"/>
          </w:tcPr>
          <w:p>
            <w:pPr>
              <w:tabs>
                <w:tab w:val="left" w:pos="4624"/>
              </w:tabs>
              <w:autoSpaceDE w:val="0"/>
              <w:autoSpaceDN w:val="0"/>
              <w:spacing w:line="240" w:lineRule="auto"/>
              <w:ind w:firstLine="0" w:firstLineChars="0"/>
              <w:jc w:val="center"/>
              <w:rPr>
                <w:rFonts w:eastAsia="Times New Roman"/>
                <w:sz w:val="21"/>
                <w:szCs w:val="21"/>
                <w:lang w:val="zh-CN" w:bidi="zh-CN"/>
              </w:rPr>
            </w:pPr>
            <w:r>
              <w:rPr>
                <w:rFonts w:hint="eastAsia" w:ascii="宋体"/>
                <w:sz w:val="21"/>
                <w:szCs w:val="21"/>
                <w:lang w:val="zh-CN" w:bidi="zh-CN"/>
              </w:rPr>
              <w:t>大气毒性终点浓度</w:t>
            </w:r>
            <w:r>
              <w:rPr>
                <w:rFonts w:eastAsia="Times New Roman"/>
                <w:sz w:val="21"/>
                <w:szCs w:val="21"/>
                <w:lang w:val="zh-CN" w:bidi="zh-CN"/>
              </w:rPr>
              <w:t xml:space="preserve">-1  </w:t>
            </w:r>
            <w:r>
              <w:rPr>
                <w:rFonts w:hint="eastAsia" w:ascii="宋体"/>
                <w:sz w:val="21"/>
                <w:szCs w:val="21"/>
                <w:lang w:val="zh-CN" w:bidi="zh-CN"/>
              </w:rPr>
              <w:t>最大影响范围</w:t>
            </w:r>
            <w:r>
              <w:rPr>
                <w:rFonts w:hint="eastAsia" w:ascii="宋体"/>
                <w:sz w:val="21"/>
                <w:szCs w:val="21"/>
                <w:u w:val="single"/>
                <w:lang w:val="zh-CN" w:bidi="zh-CN"/>
              </w:rPr>
              <w:t xml:space="preserve">  </w:t>
            </w:r>
            <w:r>
              <w:rPr>
                <w:rFonts w:ascii="宋体"/>
                <w:sz w:val="21"/>
                <w:szCs w:val="21"/>
                <w:u w:val="single"/>
                <w:lang w:val="zh-CN" w:bidi="zh-CN"/>
              </w:rPr>
              <w:t>/</w:t>
            </w:r>
            <w:r>
              <w:rPr>
                <w:rFonts w:hint="eastAsia" w:ascii="宋体"/>
                <w:sz w:val="21"/>
                <w:szCs w:val="21"/>
                <w:u w:val="single"/>
                <w:lang w:val="zh-CN" w:bidi="zh-CN"/>
              </w:rPr>
              <w:t xml:space="preserve"> </w:t>
            </w:r>
            <w:r>
              <w:rPr>
                <w:rFonts w:eastAsia="Times New Roman"/>
                <w:sz w:val="21"/>
                <w:szCs w:val="21"/>
                <w:lang w:val="zh-CN" w:bidi="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宋体" w:hAnsi="宋体"/>
                <w:sz w:val="21"/>
                <w:szCs w:val="21"/>
              </w:rPr>
            </w:pPr>
          </w:p>
        </w:tc>
        <w:tc>
          <w:tcPr>
            <w:tcW w:w="1133" w:type="dxa"/>
            <w:vMerge w:val="continue"/>
            <w:vAlign w:val="center"/>
          </w:tcPr>
          <w:p>
            <w:pPr>
              <w:spacing w:line="240" w:lineRule="auto"/>
              <w:ind w:firstLine="0" w:firstLineChars="0"/>
              <w:jc w:val="center"/>
              <w:rPr>
                <w:rFonts w:ascii="宋体" w:hAnsi="宋体"/>
                <w:sz w:val="21"/>
                <w:szCs w:val="21"/>
              </w:rPr>
            </w:pPr>
          </w:p>
        </w:tc>
        <w:tc>
          <w:tcPr>
            <w:tcW w:w="1173" w:type="dxa"/>
            <w:gridSpan w:val="2"/>
            <w:vMerge w:val="continue"/>
            <w:vAlign w:val="center"/>
          </w:tcPr>
          <w:p>
            <w:pPr>
              <w:spacing w:line="240" w:lineRule="auto"/>
              <w:ind w:firstLine="0" w:firstLineChars="0"/>
              <w:jc w:val="center"/>
              <w:rPr>
                <w:rFonts w:ascii="宋体" w:hAnsi="宋体"/>
                <w:sz w:val="21"/>
                <w:szCs w:val="21"/>
              </w:rPr>
            </w:pPr>
          </w:p>
        </w:tc>
        <w:tc>
          <w:tcPr>
            <w:tcW w:w="5857" w:type="dxa"/>
            <w:gridSpan w:val="9"/>
            <w:vAlign w:val="center"/>
          </w:tcPr>
          <w:p>
            <w:pPr>
              <w:tabs>
                <w:tab w:val="left" w:pos="4624"/>
              </w:tabs>
              <w:autoSpaceDE w:val="0"/>
              <w:autoSpaceDN w:val="0"/>
              <w:spacing w:line="240" w:lineRule="auto"/>
              <w:ind w:firstLine="0" w:firstLineChars="0"/>
              <w:jc w:val="center"/>
              <w:rPr>
                <w:rFonts w:eastAsia="Times New Roman"/>
                <w:sz w:val="21"/>
                <w:szCs w:val="21"/>
                <w:lang w:val="zh-CN" w:bidi="zh-CN"/>
              </w:rPr>
            </w:pPr>
            <w:r>
              <w:rPr>
                <w:rFonts w:hint="eastAsia" w:ascii="宋体"/>
                <w:sz w:val="21"/>
                <w:szCs w:val="21"/>
                <w:lang w:val="zh-CN" w:bidi="zh-CN"/>
              </w:rPr>
              <w:t>大气毒性终点浓度</w:t>
            </w:r>
            <w:r>
              <w:rPr>
                <w:rFonts w:eastAsia="Times New Roman"/>
                <w:sz w:val="21"/>
                <w:szCs w:val="21"/>
                <w:lang w:val="zh-CN" w:bidi="zh-CN"/>
              </w:rPr>
              <w:t xml:space="preserve">-2  </w:t>
            </w:r>
            <w:r>
              <w:rPr>
                <w:rFonts w:hint="eastAsia" w:ascii="宋体"/>
                <w:sz w:val="21"/>
                <w:szCs w:val="21"/>
                <w:lang w:val="zh-CN" w:bidi="zh-CN"/>
              </w:rPr>
              <w:t>最大影响范围</w:t>
            </w:r>
            <w:r>
              <w:rPr>
                <w:rFonts w:hint="eastAsia" w:ascii="宋体"/>
                <w:sz w:val="21"/>
                <w:szCs w:val="21"/>
                <w:u w:val="single"/>
                <w:lang w:val="zh-CN" w:bidi="zh-CN"/>
              </w:rPr>
              <w:t xml:space="preserve"> </w:t>
            </w:r>
            <w:r>
              <w:rPr>
                <w:rFonts w:ascii="宋体"/>
                <w:sz w:val="21"/>
                <w:szCs w:val="21"/>
                <w:u w:val="single"/>
                <w:lang w:val="zh-CN" w:bidi="zh-CN"/>
              </w:rPr>
              <w:t>/</w:t>
            </w:r>
            <w:r>
              <w:rPr>
                <w:rFonts w:hint="eastAsia" w:ascii="宋体"/>
                <w:sz w:val="21"/>
                <w:szCs w:val="21"/>
                <w:u w:val="single"/>
                <w:lang w:val="zh-CN" w:bidi="zh-CN"/>
              </w:rPr>
              <w:t xml:space="preserve"> </w:t>
            </w:r>
            <w:r>
              <w:rPr>
                <w:rFonts w:eastAsia="Times New Roman"/>
                <w:sz w:val="21"/>
                <w:szCs w:val="21"/>
                <w:lang w:val="zh-CN" w:bidi="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宋体" w:hAnsi="宋体"/>
                <w:sz w:val="21"/>
                <w:szCs w:val="21"/>
              </w:rPr>
            </w:pPr>
          </w:p>
        </w:tc>
        <w:tc>
          <w:tcPr>
            <w:tcW w:w="1133" w:type="dxa"/>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地表水</w:t>
            </w:r>
          </w:p>
        </w:tc>
        <w:tc>
          <w:tcPr>
            <w:tcW w:w="7030" w:type="dxa"/>
            <w:gridSpan w:val="11"/>
            <w:vAlign w:val="center"/>
          </w:tcPr>
          <w:p>
            <w:pPr>
              <w:tabs>
                <w:tab w:val="left" w:pos="1925"/>
                <w:tab w:val="left" w:pos="3275"/>
              </w:tabs>
              <w:autoSpaceDE w:val="0"/>
              <w:autoSpaceDN w:val="0"/>
              <w:spacing w:line="240" w:lineRule="auto"/>
              <w:ind w:firstLine="0" w:firstLineChars="0"/>
              <w:jc w:val="center"/>
              <w:rPr>
                <w:rFonts w:eastAsia="Times New Roman"/>
                <w:sz w:val="21"/>
                <w:szCs w:val="21"/>
                <w:lang w:val="zh-CN" w:bidi="zh-CN"/>
              </w:rPr>
            </w:pPr>
            <w:r>
              <w:rPr>
                <w:rFonts w:hint="eastAsia" w:ascii="宋体"/>
                <w:sz w:val="21"/>
                <w:szCs w:val="21"/>
                <w:lang w:val="zh-CN" w:bidi="zh-CN"/>
              </w:rPr>
              <w:t>最近环境敏感目标</w:t>
            </w:r>
            <w:r>
              <w:rPr>
                <w:rFonts w:hint="eastAsia" w:ascii="宋体"/>
                <w:sz w:val="21"/>
                <w:szCs w:val="21"/>
                <w:u w:val="single"/>
                <w:lang w:val="zh-CN" w:bidi="zh-CN"/>
              </w:rPr>
              <w:t xml:space="preserve">  /</w:t>
            </w:r>
            <w:r>
              <w:rPr>
                <w:rFonts w:hint="eastAsia" w:ascii="宋体"/>
                <w:sz w:val="21"/>
                <w:szCs w:val="21"/>
                <w:lang w:val="zh-CN" w:bidi="zh-CN"/>
              </w:rPr>
              <w:t xml:space="preserve">  ，到达时间</w:t>
            </w:r>
            <w:r>
              <w:rPr>
                <w:rFonts w:hint="eastAsia" w:ascii="宋体"/>
                <w:sz w:val="21"/>
                <w:szCs w:val="21"/>
                <w:u w:val="single"/>
                <w:lang w:val="zh-CN" w:bidi="zh-CN"/>
              </w:rPr>
              <w:tab/>
            </w:r>
            <w:r>
              <w:rPr>
                <w:rFonts w:hint="eastAsia" w:ascii="宋体"/>
                <w:sz w:val="21"/>
                <w:szCs w:val="21"/>
                <w:u w:val="single"/>
                <w:lang w:val="zh-CN" w:bidi="zh-CN"/>
              </w:rPr>
              <w:t xml:space="preserve">/   </w:t>
            </w:r>
            <w:r>
              <w:rPr>
                <w:rFonts w:eastAsia="Times New Roman"/>
                <w:sz w:val="21"/>
                <w:szCs w:val="21"/>
                <w:lang w:val="zh-CN" w:bidi="zh-C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宋体" w:hAnsi="宋体"/>
                <w:sz w:val="21"/>
                <w:szCs w:val="21"/>
              </w:rPr>
            </w:pPr>
          </w:p>
        </w:tc>
        <w:tc>
          <w:tcPr>
            <w:tcW w:w="1133" w:type="dxa"/>
            <w:vMerge w:val="restart"/>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地下水</w:t>
            </w:r>
          </w:p>
        </w:tc>
        <w:tc>
          <w:tcPr>
            <w:tcW w:w="7030" w:type="dxa"/>
            <w:gridSpan w:val="11"/>
            <w:vAlign w:val="center"/>
          </w:tcPr>
          <w:p>
            <w:pPr>
              <w:tabs>
                <w:tab w:val="left" w:pos="2287"/>
              </w:tabs>
              <w:autoSpaceDE w:val="0"/>
              <w:autoSpaceDN w:val="0"/>
              <w:spacing w:line="240" w:lineRule="auto"/>
              <w:ind w:firstLine="0" w:firstLineChars="0"/>
              <w:jc w:val="center"/>
              <w:rPr>
                <w:rFonts w:eastAsia="Times New Roman"/>
                <w:sz w:val="21"/>
                <w:szCs w:val="21"/>
                <w:lang w:val="zh-CN" w:bidi="zh-CN"/>
              </w:rPr>
            </w:pPr>
            <w:r>
              <w:rPr>
                <w:rFonts w:hint="eastAsia" w:ascii="宋体"/>
                <w:sz w:val="21"/>
                <w:szCs w:val="21"/>
                <w:lang w:val="zh-CN" w:bidi="zh-CN"/>
              </w:rPr>
              <w:t>下游厂区边界到达时间</w:t>
            </w:r>
            <w:r>
              <w:rPr>
                <w:rFonts w:hint="eastAsia" w:ascii="宋体"/>
                <w:sz w:val="21"/>
                <w:szCs w:val="21"/>
                <w:u w:val="single"/>
                <w:lang w:val="zh-CN" w:bidi="zh-CN"/>
              </w:rPr>
              <w:t xml:space="preserve">  / </w:t>
            </w:r>
            <w:r>
              <w:rPr>
                <w:rFonts w:eastAsia="Times New Roman"/>
                <w:sz w:val="21"/>
                <w:szCs w:val="21"/>
                <w:lang w:val="zh-CN" w:bidi="zh-CN"/>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567" w:type="dxa"/>
            <w:vMerge w:val="continue"/>
            <w:vAlign w:val="center"/>
          </w:tcPr>
          <w:p>
            <w:pPr>
              <w:spacing w:line="240" w:lineRule="auto"/>
              <w:ind w:firstLine="0" w:firstLineChars="0"/>
              <w:jc w:val="center"/>
              <w:rPr>
                <w:rFonts w:ascii="宋体" w:hAnsi="宋体"/>
                <w:sz w:val="21"/>
                <w:szCs w:val="21"/>
              </w:rPr>
            </w:pPr>
          </w:p>
        </w:tc>
        <w:tc>
          <w:tcPr>
            <w:tcW w:w="1133" w:type="dxa"/>
            <w:vMerge w:val="continue"/>
            <w:vAlign w:val="center"/>
          </w:tcPr>
          <w:p>
            <w:pPr>
              <w:spacing w:line="240" w:lineRule="auto"/>
              <w:ind w:firstLine="0" w:firstLineChars="0"/>
              <w:jc w:val="center"/>
              <w:rPr>
                <w:rFonts w:ascii="宋体" w:hAnsi="宋体"/>
                <w:sz w:val="21"/>
                <w:szCs w:val="21"/>
              </w:rPr>
            </w:pPr>
          </w:p>
        </w:tc>
        <w:tc>
          <w:tcPr>
            <w:tcW w:w="7030" w:type="dxa"/>
            <w:gridSpan w:val="11"/>
            <w:vAlign w:val="center"/>
          </w:tcPr>
          <w:p>
            <w:pPr>
              <w:tabs>
                <w:tab w:val="left" w:pos="1925"/>
                <w:tab w:val="left" w:pos="3275"/>
              </w:tabs>
              <w:autoSpaceDE w:val="0"/>
              <w:autoSpaceDN w:val="0"/>
              <w:spacing w:line="240" w:lineRule="auto"/>
              <w:ind w:firstLine="0" w:firstLineChars="0"/>
              <w:jc w:val="center"/>
              <w:rPr>
                <w:rFonts w:eastAsia="Times New Roman"/>
                <w:sz w:val="21"/>
                <w:szCs w:val="21"/>
                <w:lang w:val="zh-CN" w:bidi="zh-CN"/>
              </w:rPr>
            </w:pPr>
            <w:r>
              <w:rPr>
                <w:rFonts w:hint="eastAsia" w:ascii="宋体"/>
                <w:sz w:val="21"/>
                <w:szCs w:val="21"/>
                <w:lang w:val="zh-CN" w:bidi="zh-CN"/>
              </w:rPr>
              <w:t>最近环境敏感目标</w:t>
            </w:r>
            <w:r>
              <w:rPr>
                <w:rFonts w:hint="eastAsia" w:ascii="宋体"/>
                <w:sz w:val="21"/>
                <w:szCs w:val="21"/>
                <w:u w:val="single"/>
                <w:lang w:val="zh-CN" w:bidi="zh-CN"/>
              </w:rPr>
              <w:t xml:space="preserve">  / </w:t>
            </w:r>
            <w:r>
              <w:rPr>
                <w:rFonts w:hint="eastAsia" w:ascii="宋体"/>
                <w:sz w:val="21"/>
                <w:szCs w:val="21"/>
                <w:lang w:val="zh-CN" w:bidi="zh-CN"/>
              </w:rPr>
              <w:t>，到达时间</w:t>
            </w:r>
            <w:r>
              <w:rPr>
                <w:rFonts w:hint="eastAsia" w:ascii="宋体"/>
                <w:sz w:val="21"/>
                <w:szCs w:val="21"/>
                <w:u w:val="single"/>
                <w:lang w:val="zh-CN" w:bidi="zh-CN"/>
              </w:rPr>
              <w:t xml:space="preserve">  /  </w:t>
            </w:r>
            <w:r>
              <w:rPr>
                <w:rFonts w:eastAsia="Times New Roman"/>
                <w:sz w:val="21"/>
                <w:szCs w:val="21"/>
                <w:u w:val="single"/>
                <w:lang w:val="zh-CN" w:bidi="zh-CN"/>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重点风险防范措施</w:t>
            </w:r>
          </w:p>
        </w:tc>
        <w:tc>
          <w:tcPr>
            <w:tcW w:w="7030" w:type="dxa"/>
            <w:gridSpan w:val="11"/>
            <w:vAlign w:val="center"/>
          </w:tcPr>
          <w:p>
            <w:pPr>
              <w:autoSpaceDE w:val="0"/>
              <w:autoSpaceDN w:val="0"/>
              <w:spacing w:line="240" w:lineRule="auto"/>
              <w:ind w:firstLine="0" w:firstLineChars="0"/>
              <w:jc w:val="center"/>
              <w:rPr>
                <w:rFonts w:eastAsia="Times New Roman"/>
                <w:sz w:val="21"/>
                <w:szCs w:val="21"/>
                <w:lang w:val="zh-CN" w:bidi="zh-CN"/>
              </w:rPr>
            </w:pPr>
            <w:r>
              <w:rPr>
                <w:rFonts w:hint="eastAsia"/>
                <w:sz w:val="21"/>
                <w:szCs w:val="21"/>
                <w:lang w:val="zh-CN" w:bidi="zh-CN"/>
              </w:rPr>
              <w:t>加强t天然气管道的安全维护，定期进行检修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1700" w:type="dxa"/>
            <w:gridSpan w:val="2"/>
            <w:vAlign w:val="center"/>
          </w:tcPr>
          <w:p>
            <w:pPr>
              <w:autoSpaceDE w:val="0"/>
              <w:autoSpaceDN w:val="0"/>
              <w:spacing w:line="240" w:lineRule="auto"/>
              <w:ind w:firstLine="0" w:firstLineChars="0"/>
              <w:jc w:val="center"/>
              <w:rPr>
                <w:rFonts w:ascii="宋体"/>
                <w:sz w:val="21"/>
                <w:szCs w:val="21"/>
                <w:lang w:val="zh-CN" w:bidi="zh-CN"/>
              </w:rPr>
            </w:pPr>
            <w:r>
              <w:rPr>
                <w:rFonts w:hint="eastAsia" w:ascii="宋体"/>
                <w:sz w:val="21"/>
                <w:szCs w:val="21"/>
                <w:lang w:val="zh-CN" w:bidi="zh-CN"/>
              </w:rPr>
              <w:t>评价结论与建议</w:t>
            </w:r>
          </w:p>
        </w:tc>
        <w:tc>
          <w:tcPr>
            <w:tcW w:w="7030" w:type="dxa"/>
            <w:gridSpan w:val="11"/>
            <w:vAlign w:val="center"/>
          </w:tcPr>
          <w:p>
            <w:pPr>
              <w:autoSpaceDE w:val="0"/>
              <w:autoSpaceDN w:val="0"/>
              <w:spacing w:line="240" w:lineRule="auto"/>
              <w:ind w:firstLine="0" w:firstLineChars="0"/>
              <w:jc w:val="center"/>
              <w:rPr>
                <w:sz w:val="21"/>
                <w:szCs w:val="21"/>
                <w:lang w:val="zh-CN" w:bidi="zh-CN"/>
              </w:rPr>
            </w:pPr>
            <w:r>
              <w:rPr>
                <w:rFonts w:hint="eastAsia"/>
                <w:sz w:val="21"/>
                <w:szCs w:val="21"/>
                <w:lang w:val="zh-CN" w:bidi="zh-CN"/>
              </w:rPr>
              <w:t>本项目环境风险可控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4" w:hRule="atLeast"/>
        </w:trPr>
        <w:tc>
          <w:tcPr>
            <w:tcW w:w="8730" w:type="dxa"/>
            <w:gridSpan w:val="13"/>
            <w:vAlign w:val="center"/>
          </w:tcPr>
          <w:p>
            <w:pPr>
              <w:tabs>
                <w:tab w:val="left" w:pos="2357"/>
              </w:tabs>
              <w:autoSpaceDE w:val="0"/>
              <w:autoSpaceDN w:val="0"/>
              <w:spacing w:line="240" w:lineRule="auto"/>
              <w:ind w:firstLine="0" w:firstLineChars="0"/>
              <w:rPr>
                <w:rFonts w:ascii="宋体" w:hAnsi="宋体"/>
                <w:sz w:val="21"/>
                <w:szCs w:val="21"/>
                <w:lang w:val="zh-CN" w:bidi="zh-CN"/>
              </w:rPr>
            </w:pPr>
            <w:r>
              <w:rPr>
                <w:rFonts w:hint="eastAsia" w:ascii="宋体" w:hAnsi="宋体"/>
                <w:sz w:val="21"/>
                <w:szCs w:val="21"/>
                <w:lang w:val="zh-CN" w:bidi="zh-CN"/>
              </w:rPr>
              <w:t>注：“□”为勾选项，“</w:t>
            </w:r>
            <w:r>
              <w:rPr>
                <w:rFonts w:hint="eastAsia" w:ascii="宋体" w:hAnsi="宋体"/>
                <w:sz w:val="21"/>
                <w:szCs w:val="21"/>
                <w:u w:val="single"/>
                <w:lang w:val="zh-CN" w:bidi="zh-CN"/>
              </w:rPr>
              <w:tab/>
            </w:r>
            <w:r>
              <w:rPr>
                <w:rFonts w:hint="eastAsia" w:ascii="宋体" w:hAnsi="宋体"/>
                <w:sz w:val="21"/>
                <w:szCs w:val="21"/>
                <w:lang w:val="zh-CN" w:bidi="zh-CN"/>
              </w:rPr>
              <w:t>”为填写项。</w:t>
            </w:r>
          </w:p>
        </w:tc>
      </w:tr>
    </w:tbl>
    <w:p>
      <w:pPr>
        <w:pStyle w:val="2"/>
      </w:pPr>
    </w:p>
    <w:p>
      <w:pPr>
        <w:ind w:firstLine="482"/>
        <w:rPr>
          <w:rFonts w:eastAsiaTheme="minorEastAsia"/>
          <w:b/>
          <w:bCs/>
          <w:szCs w:val="20"/>
        </w:rPr>
      </w:pPr>
      <w:r>
        <w:rPr>
          <w:rFonts w:hint="eastAsia" w:eastAsiaTheme="minorEastAsia"/>
          <w:b/>
          <w:bCs/>
          <w:szCs w:val="20"/>
        </w:rPr>
        <w:t>2、建议</w:t>
      </w:r>
    </w:p>
    <w:p>
      <w:pPr>
        <w:ind w:firstLine="480"/>
        <w:rPr>
          <w:rFonts w:eastAsiaTheme="minorEastAsia"/>
          <w:lang w:val="zh-CN"/>
        </w:rPr>
      </w:pPr>
      <w:r>
        <w:rPr>
          <w:rFonts w:hint="eastAsia" w:eastAsiaTheme="minorEastAsia"/>
          <w:lang w:val="zh-CN"/>
        </w:rPr>
        <w:t>（1）严格执行国家、地方有关劳动、安全、环保、卫生的设计规范和标准，在设计、施工和运行过程中针对可能存在的风险隐患采取相应的安全环保防范措施，消除事故隐患。严格按照安全、消防要求，落实各项消防或防火措施，有效防范火灾事故发生。</w:t>
      </w:r>
    </w:p>
    <w:p>
      <w:pPr>
        <w:ind w:firstLine="480"/>
        <w:rPr>
          <w:rFonts w:eastAsiaTheme="minorEastAsia"/>
          <w:lang w:val="zh-CN"/>
        </w:rPr>
      </w:pPr>
      <w:r>
        <w:rPr>
          <w:rFonts w:hint="eastAsia" w:eastAsiaTheme="minorEastAsia"/>
          <w:lang w:val="zh-CN"/>
        </w:rPr>
        <w:t>（2）进一步加强与邻近的下莲塘、三村、上湾等邻近村镇单位及附近企业单位的联系沟通，适时开展联合演练培训，一旦发生可能影响厂区外民居的风险事故，能立即通知相关人员并组织受影响人员疏散。</w:t>
      </w:r>
    </w:p>
    <w:p>
      <w:pPr>
        <w:ind w:firstLine="480"/>
        <w:rPr>
          <w:rFonts w:eastAsiaTheme="minorEastAsia"/>
          <w:lang w:val="zh-CN"/>
        </w:rPr>
      </w:pPr>
      <w:r>
        <w:rPr>
          <w:rFonts w:hint="eastAsia" w:eastAsiaTheme="minorEastAsia"/>
          <w:lang w:val="zh-CN"/>
        </w:rPr>
        <w:t>（3）加强对职工的教育和培训，增强职工风险意识和事故自救能力，制定和强化各种安全生产和管理规程，减少人为风险事故的发生。</w:t>
      </w:r>
    </w:p>
    <w:p>
      <w:pPr>
        <w:ind w:firstLine="480"/>
        <w:rPr>
          <w:rFonts w:eastAsiaTheme="minorEastAsia"/>
        </w:rPr>
      </w:pPr>
      <w:r>
        <w:rPr>
          <w:rFonts w:hint="eastAsia" w:eastAsiaTheme="minorEastAsia"/>
          <w:lang w:val="zh-CN"/>
        </w:rPr>
        <w:t>（4）建设单位应对公司的安全生产给予足够重视，根据实际运营状况及最新的要求，及时修订应急预案，提高风险防范意识和风险管理能力。</w:t>
      </w:r>
    </w:p>
    <w:p>
      <w:pPr>
        <w:ind w:firstLine="480"/>
        <w:rPr>
          <w:rFonts w:eastAsiaTheme="minorEastAsia"/>
        </w:rPr>
      </w:pPr>
      <w:bookmarkStart w:id="579" w:name="_Toc288770610"/>
      <w:r>
        <w:rPr>
          <w:rFonts w:hint="eastAsia" w:eastAsiaTheme="minorEastAsia"/>
        </w:rPr>
        <w:t>总的来说，本项目的建设在严格按照环保、安监、消防部门的要求，落实环境风险防患措施和应急措施后，环境风险是可以接受的。</w:t>
      </w:r>
    </w:p>
    <w:p>
      <w:pPr>
        <w:ind w:firstLine="0" w:firstLineChars="0"/>
        <w:rPr>
          <w:rFonts w:eastAsiaTheme="minorEastAsia"/>
        </w:rPr>
        <w:sectPr>
          <w:footerReference r:id="rId23" w:type="default"/>
          <w:pgSz w:w="11906" w:h="16838"/>
          <w:pgMar w:top="1418" w:right="1418" w:bottom="1418" w:left="1418" w:header="851" w:footer="992" w:gutter="0"/>
          <w:cols w:space="720" w:num="1"/>
          <w:docGrid w:type="lines" w:linePitch="312" w:charSpace="0"/>
        </w:sectPr>
      </w:pPr>
    </w:p>
    <w:bookmarkEnd w:id="579"/>
    <w:p>
      <w:pPr>
        <w:pStyle w:val="3"/>
        <w:rPr>
          <w:rFonts w:eastAsiaTheme="minorEastAsia"/>
        </w:rPr>
      </w:pPr>
      <w:bookmarkStart w:id="580" w:name="_Toc1750"/>
      <w:bookmarkStart w:id="581" w:name="_Toc3538805"/>
      <w:bookmarkStart w:id="582" w:name="_Toc331536246"/>
      <w:bookmarkStart w:id="583" w:name="_Toc12146"/>
      <w:bookmarkStart w:id="584" w:name="_Toc329784222"/>
      <w:bookmarkStart w:id="585" w:name="_Toc307847901"/>
      <w:r>
        <w:rPr>
          <w:rFonts w:eastAsiaTheme="minorEastAsia"/>
        </w:rPr>
        <w:t>环境保护措施及其</w:t>
      </w:r>
      <w:r>
        <w:rPr>
          <w:rFonts w:hint="eastAsia" w:eastAsiaTheme="minorEastAsia"/>
        </w:rPr>
        <w:t>可行性</w:t>
      </w:r>
      <w:r>
        <w:rPr>
          <w:rFonts w:eastAsiaTheme="minorEastAsia"/>
        </w:rPr>
        <w:t>论证</w:t>
      </w:r>
      <w:bookmarkEnd w:id="580"/>
      <w:bookmarkEnd w:id="581"/>
      <w:bookmarkEnd w:id="582"/>
      <w:bookmarkEnd w:id="583"/>
      <w:bookmarkEnd w:id="584"/>
      <w:bookmarkEnd w:id="585"/>
    </w:p>
    <w:p>
      <w:pPr>
        <w:ind w:firstLine="480"/>
      </w:pPr>
      <w:r>
        <w:rPr>
          <w:rFonts w:hint="eastAsia"/>
        </w:rPr>
        <w:t>建设项目污染防治措施的提出，主要是为了全面贯彻落实国务院《关于落实科学发展观加强环境保护的决定》（国发〔2005〕39号），实现可持续发展的战略，使主要污染物的排放总量能得到有效控制，并结合项目的实际情况，以及根据《大气污染治理工程技术导则》（HJ 2000-2010）、《水污染治理工程技术导则》（HJ 2015-2012）、《固体废物处理处置工程技术导则》（HJ 2023-2013）等污染治理工工程技术文件，提出各项防治措施使污染物达标排放为目标，对该污染防治措施的可行性进行分析。</w:t>
      </w:r>
    </w:p>
    <w:p>
      <w:pPr>
        <w:pStyle w:val="4"/>
      </w:pPr>
      <w:bookmarkStart w:id="586" w:name="_Toc307847902"/>
      <w:bookmarkStart w:id="587" w:name="_Toc22845"/>
      <w:bookmarkStart w:id="588" w:name="_Toc331536247"/>
      <w:bookmarkStart w:id="589" w:name="_Toc3538806"/>
      <w:bookmarkStart w:id="590" w:name="_Toc1772"/>
      <w:bookmarkStart w:id="591" w:name="_Toc329784223"/>
      <w:bookmarkStart w:id="592" w:name="_Hlk3526343"/>
      <w:r>
        <w:t>废水处理措施可行性分析</w:t>
      </w:r>
      <w:bookmarkEnd w:id="586"/>
      <w:bookmarkEnd w:id="587"/>
      <w:bookmarkEnd w:id="588"/>
      <w:bookmarkEnd w:id="589"/>
      <w:bookmarkEnd w:id="590"/>
      <w:bookmarkEnd w:id="591"/>
    </w:p>
    <w:bookmarkEnd w:id="592"/>
    <w:p>
      <w:pPr>
        <w:ind w:firstLine="480"/>
      </w:pPr>
      <w:r>
        <w:rPr>
          <w:rFonts w:hint="eastAsia"/>
        </w:rPr>
        <w:t>项目生产过程无工业废水对外排放，冷却水循环使用，不外排；对外排放的废水主要为生活污水，外排污水量为</w:t>
      </w:r>
      <w:r>
        <w:rPr>
          <w:rFonts w:eastAsiaTheme="minorEastAsia"/>
        </w:rPr>
        <w:t>1.08</w:t>
      </w:r>
      <w:r>
        <w:rPr>
          <w:rFonts w:hint="eastAsia" w:eastAsiaTheme="minorEastAsia"/>
        </w:rPr>
        <w:t>m</w:t>
      </w:r>
      <w:r>
        <w:rPr>
          <w:rFonts w:eastAsiaTheme="minorEastAsia"/>
          <w:vertAlign w:val="superscript"/>
        </w:rPr>
        <w:t>3</w:t>
      </w:r>
      <w:r>
        <w:rPr>
          <w:rFonts w:eastAsiaTheme="minorEastAsia"/>
        </w:rPr>
        <w:t>/d</w:t>
      </w:r>
      <w:r>
        <w:rPr>
          <w:rFonts w:hint="eastAsia" w:eastAsiaTheme="minorEastAsia"/>
        </w:rPr>
        <w:t>（</w:t>
      </w:r>
      <w:r>
        <w:rPr>
          <w:rFonts w:eastAsiaTheme="minorEastAsia"/>
        </w:rPr>
        <w:t>324</w:t>
      </w:r>
      <w:r>
        <w:rPr>
          <w:rFonts w:hint="eastAsia" w:eastAsiaTheme="minorEastAsia"/>
        </w:rPr>
        <w:t xml:space="preserve"> m</w:t>
      </w:r>
      <w:r>
        <w:rPr>
          <w:rFonts w:eastAsiaTheme="minorEastAsia"/>
          <w:vertAlign w:val="superscript"/>
        </w:rPr>
        <w:t>3</w:t>
      </w:r>
      <w:r>
        <w:rPr>
          <w:rFonts w:eastAsiaTheme="minorEastAsia"/>
        </w:rPr>
        <w:t>/</w:t>
      </w:r>
      <w:r>
        <w:rPr>
          <w:rFonts w:hint="eastAsia" w:eastAsiaTheme="minorEastAsia"/>
        </w:rPr>
        <w:t>a），其污染物为</w:t>
      </w:r>
      <w:r>
        <w:rPr>
          <w:rFonts w:hint="eastAsia"/>
        </w:rPr>
        <w:t>COD</w:t>
      </w:r>
      <w:r>
        <w:rPr>
          <w:rFonts w:hint="eastAsia"/>
          <w:vertAlign w:val="subscript"/>
        </w:rPr>
        <w:t>Cr</w:t>
      </w:r>
      <w:r>
        <w:rPr>
          <w:rFonts w:hint="eastAsia"/>
        </w:rPr>
        <w:t>、BOD</w:t>
      </w:r>
      <w:r>
        <w:rPr>
          <w:rFonts w:hint="eastAsia"/>
          <w:vertAlign w:val="subscript"/>
        </w:rPr>
        <w:t>5</w:t>
      </w:r>
      <w:r>
        <w:rPr>
          <w:rFonts w:hint="eastAsia"/>
        </w:rPr>
        <w:t>、氨氮、总磷等，属于典型城市生活污水。</w:t>
      </w:r>
    </w:p>
    <w:p>
      <w:pPr>
        <w:ind w:firstLine="480"/>
      </w:pPr>
      <w:r>
        <w:rPr>
          <w:rFonts w:hint="eastAsia"/>
        </w:rPr>
        <w:t>项目排水系统应严格实施清、污分流，雨、污分流，车间废水分类收集、分质处理；废水管道采用防腐防渗性能良好的PVC管，尤其注意各管道接口处的密实性，PVC管铺设在明沟内，不得埋地或完全覆盖，且要求明沟做好防渗处理。</w:t>
      </w:r>
    </w:p>
    <w:p>
      <w:pPr>
        <w:pStyle w:val="5"/>
      </w:pPr>
      <w:r>
        <w:rPr>
          <w:rFonts w:hint="eastAsia"/>
        </w:rPr>
        <w:t>废水处理措施技术可行性分析</w:t>
      </w:r>
    </w:p>
    <w:p>
      <w:pPr>
        <w:pStyle w:val="102"/>
        <w:numPr>
          <w:ilvl w:val="0"/>
          <w:numId w:val="64"/>
        </w:numPr>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废水处理方案</w:t>
      </w:r>
    </w:p>
    <w:p>
      <w:pPr>
        <w:ind w:firstLine="480"/>
      </w:pPr>
      <w:r>
        <w:rPr>
          <w:rFonts w:hint="eastAsia"/>
        </w:rPr>
        <w:t>项目所在地是开平市苍城污水处理厂的纳污范围，该污水处理厂及配套的市政污水管网目前已经投产运行，本项目生活污水经三级化粪池预处后，达到污水处理厂纳管标准排入苍城污水处理厂进行深度处理。</w:t>
      </w:r>
    </w:p>
    <w:p>
      <w:pPr>
        <w:pStyle w:val="102"/>
        <w:numPr>
          <w:ilvl w:val="0"/>
          <w:numId w:val="64"/>
        </w:numPr>
        <w:rPr>
          <w:rStyle w:val="63"/>
          <w:color w:val="auto"/>
        </w:rPr>
      </w:pPr>
      <w:r>
        <w:rPr>
          <w:rStyle w:val="63"/>
          <w:rFonts w:hint="eastAsia"/>
          <w:color w:val="auto"/>
        </w:rPr>
        <w:t>废水纳管可行性分析</w:t>
      </w:r>
    </w:p>
    <w:p>
      <w:pPr>
        <w:ind w:firstLine="480"/>
        <w:rPr>
          <w:rFonts w:cs="Times New Roman" w:eastAsiaTheme="minorEastAsia"/>
          <w:bCs/>
        </w:rPr>
      </w:pPr>
      <w:r>
        <w:rPr>
          <w:rFonts w:hint="eastAsia" w:cs="Times New Roman" w:eastAsiaTheme="minorEastAsia"/>
          <w:bCs/>
        </w:rPr>
        <w:t>项目营运期生活污水能够纳入苍城污水处理厂进行处理，项目生活污水经预处理达到GB</w:t>
      </w:r>
      <w:r>
        <w:rPr>
          <w:rFonts w:cs="Times New Roman" w:eastAsiaTheme="minorEastAsia"/>
          <w:bCs/>
        </w:rPr>
        <w:t xml:space="preserve"> </w:t>
      </w:r>
      <w:r>
        <w:rPr>
          <w:rFonts w:hint="eastAsia" w:cs="Times New Roman" w:eastAsiaTheme="minorEastAsia"/>
          <w:bCs/>
        </w:rPr>
        <w:t>27632-2011中表2“间接排放限值”、DB</w:t>
      </w:r>
      <w:r>
        <w:rPr>
          <w:rFonts w:cs="Times New Roman" w:eastAsiaTheme="minorEastAsia"/>
          <w:bCs/>
        </w:rPr>
        <w:t xml:space="preserve"> </w:t>
      </w:r>
      <w:r>
        <w:rPr>
          <w:rFonts w:hint="eastAsia" w:cs="Times New Roman" w:eastAsiaTheme="minorEastAsia"/>
          <w:bCs/>
        </w:rPr>
        <w:t>44/26-2001第二时段三级标准两者间较严者，并满足污水处理厂进水水质要求后，排入开平市苍城污水处理厂进行深度处理，达标后排入污水处理厂东侧镇海水，最终汇入潭江。生活污水预处理设施为三级化粪池。</w:t>
      </w:r>
    </w:p>
    <w:p>
      <w:pPr>
        <w:pStyle w:val="126"/>
        <w:ind w:left="0" w:firstLine="482"/>
      </w:pPr>
      <w:r>
        <w:rPr>
          <w:rFonts w:hint="eastAsia"/>
        </w:rPr>
        <w:t>污水处理厂概况</w:t>
      </w:r>
    </w:p>
    <w:p>
      <w:pPr>
        <w:pStyle w:val="99"/>
        <w:ind w:firstLine="480"/>
        <w:rPr>
          <w:color w:val="000000" w:themeColor="text1"/>
          <w14:textFill>
            <w14:solidFill>
              <w14:schemeClr w14:val="tx1"/>
            </w14:solidFill>
          </w14:textFill>
        </w:rPr>
      </w:pPr>
      <w:r>
        <w:rPr>
          <w:color w:val="000000" w:themeColor="text1"/>
          <w14:textFill>
            <w14:solidFill>
              <w14:schemeClr w14:val="tx1"/>
            </w14:solidFill>
          </w14:textFill>
        </w:rPr>
        <w:t>苍城污水处理厂选址在开平市苍城镇南郊区北立山山脚，占地面积8093.60平方米（12.14亩），建筑面积1852平方米，在2009年4月9日苍城污水处理厂在开平市发展和改革局立项（开发改投【2009】8号文），2009年7月3日由江门市环境科学研究所编制出建设项目环境影响报告表。污水处理厂工程项目从2009年9月10日开始动工，到2010年5月20日全面完成所有工程，2010年5月25日开始运行调试，在2010年6月25日通过市环境保护局的检查验收（开环验【2010】69号），污水厂正式投入运行。收集我镇城区和工业园区的生活污水进行处理，处理后尾水水质达到国家《城镇污水处理厂污染物排放标准》一级</w:t>
      </w:r>
      <w:r>
        <w:rPr>
          <w:rFonts w:hint="eastAsia"/>
          <w:color w:val="000000" w:themeColor="text1"/>
          <w14:textFill>
            <w14:solidFill>
              <w14:schemeClr w14:val="tx1"/>
            </w14:solidFill>
          </w14:textFill>
        </w:rPr>
        <w:t>A</w:t>
      </w:r>
      <w:r>
        <w:rPr>
          <w:color w:val="000000" w:themeColor="text1"/>
          <w14:textFill>
            <w14:solidFill>
              <w14:schemeClr w14:val="tx1"/>
            </w14:solidFill>
          </w14:textFill>
        </w:rPr>
        <w:t>标准以及广东省地方标准《广东省地方水污染物排放标准》中的第二时段一级标准</w:t>
      </w:r>
      <w:r>
        <w:rPr>
          <w:rFonts w:hint="eastAsia" w:eastAsiaTheme="minorEastAsia"/>
          <w:color w:val="000000" w:themeColor="text1"/>
          <w:spacing w:val="8"/>
          <w14:textFill>
            <w14:solidFill>
              <w14:schemeClr w14:val="tx1"/>
            </w14:solidFill>
          </w14:textFill>
        </w:rPr>
        <w:t>。</w:t>
      </w:r>
      <w:r>
        <w:rPr>
          <w:rFonts w:hint="eastAsia"/>
          <w:color w:val="000000" w:themeColor="text1"/>
          <w14:textFill>
            <w14:solidFill>
              <w14:schemeClr w14:val="tx1"/>
            </w14:solidFill>
          </w14:textFill>
        </w:rPr>
        <w:t>污水厂设计处理规模5000吨/天，实际3600吨/每天，处理工艺：生物好氧生化+人工湿地，尾水排放至镇海水。</w:t>
      </w:r>
    </w:p>
    <w:p>
      <w:pPr>
        <w:pStyle w:val="126"/>
        <w:ind w:left="0" w:firstLine="482"/>
      </w:pPr>
      <w:r>
        <w:rPr>
          <w:rFonts w:hint="eastAsia"/>
        </w:rPr>
        <w:t>接管可行性分析</w:t>
      </w:r>
    </w:p>
    <w:p>
      <w:pPr>
        <w:ind w:firstLine="480"/>
      </w:pPr>
      <w:r>
        <w:rPr>
          <w:rFonts w:hint="eastAsia"/>
        </w:rPr>
        <w:t>本项目位于开平苍城污水处理厂的纳污范围内</w:t>
      </w:r>
      <w:r>
        <w:rPr>
          <w:rFonts w:hint="eastAsia"/>
          <w:color w:val="000000" w:themeColor="text1"/>
          <w14:textFill>
            <w14:solidFill>
              <w14:schemeClr w14:val="tx1"/>
            </w14:solidFill>
          </w14:textFill>
        </w:rPr>
        <w:t>，</w:t>
      </w:r>
      <w:r>
        <w:rPr>
          <w:rStyle w:val="63"/>
          <w:rFonts w:hint="eastAsia"/>
          <w:color w:val="000000" w:themeColor="text1"/>
          <w14:textFill>
            <w14:solidFill>
              <w14:schemeClr w14:val="tx1"/>
            </w14:solidFill>
          </w14:textFill>
        </w:rPr>
        <w:t>满足废水接管要求。</w:t>
      </w:r>
      <w:r>
        <w:rPr>
          <w:rFonts w:hint="eastAsia" w:cs="Times New Roman" w:eastAsiaTheme="minorEastAsia"/>
          <w:bCs/>
        </w:rPr>
        <w:t>项目营运期生活污水能够纳入生活污水处理厂进行处理。项目生活污水排放量约</w:t>
      </w:r>
      <w:r>
        <w:rPr>
          <w:rFonts w:eastAsiaTheme="minorEastAsia"/>
        </w:rPr>
        <w:t>1</w:t>
      </w:r>
      <w:r>
        <w:rPr>
          <w:rFonts w:hint="eastAsia" w:eastAsiaTheme="minorEastAsia"/>
        </w:rPr>
        <w:t>.</w:t>
      </w:r>
      <w:r>
        <w:rPr>
          <w:rFonts w:eastAsiaTheme="minorEastAsia"/>
        </w:rPr>
        <w:t>0</w:t>
      </w:r>
      <w:r>
        <w:rPr>
          <w:rFonts w:hint="eastAsia" w:eastAsiaTheme="minorEastAsia"/>
        </w:rPr>
        <w:t xml:space="preserve">8 </w:t>
      </w:r>
      <w:r>
        <w:rPr>
          <w:rFonts w:eastAsiaTheme="minorEastAsia"/>
        </w:rPr>
        <w:t>m</w:t>
      </w:r>
      <w:r>
        <w:rPr>
          <w:rFonts w:eastAsiaTheme="minorEastAsia"/>
          <w:vertAlign w:val="superscript"/>
        </w:rPr>
        <w:t>3</w:t>
      </w:r>
      <w:r>
        <w:rPr>
          <w:rFonts w:eastAsiaTheme="minorEastAsia"/>
        </w:rPr>
        <w:t>/d</w:t>
      </w:r>
      <w:r>
        <w:rPr>
          <w:rFonts w:hint="eastAsia" w:cs="Times New Roman" w:eastAsiaTheme="minorEastAsia"/>
          <w:bCs/>
        </w:rPr>
        <w:t>，生活污水经三级化粪池预处理后，可达到污水处理厂</w:t>
      </w:r>
      <w:r>
        <w:rPr>
          <w:rFonts w:hint="eastAsia"/>
        </w:rPr>
        <w:t>设计进水水质要求（COD</w:t>
      </w:r>
      <w:r>
        <w:rPr>
          <w:rFonts w:hint="eastAsia"/>
          <w:vertAlign w:val="subscript"/>
        </w:rPr>
        <w:t>Cr</w:t>
      </w:r>
      <w:r>
        <w:rPr>
          <w:rFonts w:hint="eastAsia"/>
        </w:rPr>
        <w:t>≤2</w:t>
      </w:r>
      <w:r>
        <w:t>50</w:t>
      </w:r>
      <w:r>
        <w:rPr>
          <w:rFonts w:hint="eastAsia"/>
        </w:rPr>
        <w:t>、BOD</w:t>
      </w:r>
      <w:r>
        <w:rPr>
          <w:rFonts w:hint="eastAsia"/>
          <w:vertAlign w:val="subscript"/>
        </w:rPr>
        <w:t>5</w:t>
      </w:r>
      <w:r>
        <w:rPr>
          <w:rFonts w:hint="eastAsia"/>
        </w:rPr>
        <w:t>≤1</w:t>
      </w:r>
      <w:r>
        <w:t>50</w:t>
      </w:r>
      <w:r>
        <w:rPr>
          <w:rFonts w:hint="eastAsia"/>
        </w:rPr>
        <w:t>、S</w:t>
      </w:r>
      <w:r>
        <w:t>S</w:t>
      </w:r>
      <w:r>
        <w:rPr>
          <w:rFonts w:hint="eastAsia"/>
        </w:rPr>
        <w:t>≤2</w:t>
      </w:r>
      <w:r>
        <w:t>00</w:t>
      </w:r>
      <w:r>
        <w:rPr>
          <w:rFonts w:hint="eastAsia"/>
        </w:rPr>
        <w:t>、N</w:t>
      </w:r>
      <w:r>
        <w:t>H</w:t>
      </w:r>
      <w:r>
        <w:rPr>
          <w:vertAlign w:val="subscript"/>
        </w:rPr>
        <w:t>3</w:t>
      </w:r>
      <w:r>
        <w:t>-N</w:t>
      </w:r>
      <w:r>
        <w:rPr>
          <w:rFonts w:hint="eastAsia"/>
        </w:rPr>
        <w:t>≤3</w:t>
      </w:r>
      <w:r>
        <w:t>0</w:t>
      </w:r>
      <w:r>
        <w:rPr>
          <w:rFonts w:hint="eastAsia"/>
        </w:rPr>
        <w:t>、T</w:t>
      </w:r>
      <w:r>
        <w:t>P</w:t>
      </w:r>
      <w:r>
        <w:rPr>
          <w:rFonts w:hint="eastAsia"/>
        </w:rPr>
        <w:t>≤4</w:t>
      </w:r>
      <w:bookmarkStart w:id="593" w:name="_Hlk5642709"/>
      <w:r>
        <w:rPr>
          <w:rFonts w:hint="eastAsia"/>
        </w:rPr>
        <w:t>，单位</w:t>
      </w:r>
      <w:r>
        <w:t>mg/L</w:t>
      </w:r>
      <w:bookmarkEnd w:id="593"/>
      <w:r>
        <w:rPr>
          <w:rFonts w:hint="eastAsia"/>
        </w:rPr>
        <w:t>）；</w:t>
      </w:r>
      <w:r>
        <w:rPr>
          <w:rFonts w:hint="eastAsia" w:cs="Times New Roman" w:eastAsiaTheme="minorEastAsia"/>
          <w:bCs/>
        </w:rPr>
        <w:t>项目生活污水排放量（约</w:t>
      </w:r>
      <w:r>
        <w:rPr>
          <w:rFonts w:eastAsiaTheme="minorEastAsia"/>
        </w:rPr>
        <w:t>1</w:t>
      </w:r>
      <w:r>
        <w:rPr>
          <w:rFonts w:hint="eastAsia" w:eastAsiaTheme="minorEastAsia"/>
        </w:rPr>
        <w:t>.</w:t>
      </w:r>
      <w:r>
        <w:rPr>
          <w:rFonts w:eastAsiaTheme="minorEastAsia"/>
        </w:rPr>
        <w:t>0</w:t>
      </w:r>
      <w:r>
        <w:rPr>
          <w:rFonts w:hint="eastAsia" w:eastAsiaTheme="minorEastAsia"/>
        </w:rPr>
        <w:t xml:space="preserve">8 </w:t>
      </w:r>
      <w:r>
        <w:rPr>
          <w:rFonts w:eastAsiaTheme="minorEastAsia"/>
        </w:rPr>
        <w:t>m</w:t>
      </w:r>
      <w:r>
        <w:rPr>
          <w:rFonts w:eastAsiaTheme="minorEastAsia"/>
          <w:vertAlign w:val="superscript"/>
        </w:rPr>
        <w:t>3</w:t>
      </w:r>
      <w:r>
        <w:rPr>
          <w:rFonts w:eastAsiaTheme="minorEastAsia"/>
        </w:rPr>
        <w:t>/d</w:t>
      </w:r>
      <w:r>
        <w:rPr>
          <w:rFonts w:hint="eastAsia" w:cs="Times New Roman" w:eastAsiaTheme="minorEastAsia"/>
          <w:bCs/>
        </w:rPr>
        <w:t>）</w:t>
      </w:r>
      <w:r>
        <w:rPr>
          <w:rFonts w:hint="eastAsia" w:eastAsiaTheme="minorEastAsia"/>
        </w:rPr>
        <w:t>，仅占</w:t>
      </w:r>
      <w:r>
        <w:rPr>
          <w:rFonts w:hint="eastAsia" w:eastAsiaTheme="minorEastAsia"/>
          <w:spacing w:val="8"/>
        </w:rPr>
        <w:t>开平市苍城污水处理厂剩余处理能力（</w:t>
      </w:r>
      <w:r>
        <w:rPr>
          <w:rFonts w:eastAsiaTheme="minorEastAsia"/>
          <w:spacing w:val="8"/>
        </w:rPr>
        <w:t>14</w:t>
      </w:r>
      <w:r>
        <w:rPr>
          <w:rFonts w:hint="eastAsia" w:eastAsiaTheme="minorEastAsia"/>
          <w:spacing w:val="8"/>
        </w:rPr>
        <w:t>00m</w:t>
      </w:r>
      <w:r>
        <w:rPr>
          <w:rFonts w:hint="eastAsia" w:eastAsiaTheme="minorEastAsia"/>
          <w:spacing w:val="8"/>
          <w:vertAlign w:val="superscript"/>
        </w:rPr>
        <w:t>3</w:t>
      </w:r>
      <w:r>
        <w:rPr>
          <w:rFonts w:hint="eastAsia" w:eastAsiaTheme="minorEastAsia"/>
          <w:spacing w:val="8"/>
        </w:rPr>
        <w:t>/d）的0</w:t>
      </w:r>
      <w:r>
        <w:rPr>
          <w:rFonts w:eastAsiaTheme="minorEastAsia"/>
          <w:spacing w:val="8"/>
        </w:rPr>
        <w:t>.077</w:t>
      </w:r>
      <w:r>
        <w:rPr>
          <w:rFonts w:hint="eastAsia" w:eastAsiaTheme="minorEastAsia"/>
          <w:spacing w:val="8"/>
        </w:rPr>
        <w:t>%，且项目外排污水为生活污水，污水水质与城镇污水处理厂进水水质类似，项目污水进入污水处理厂后，对其微生物菌种基本无影响。因此项目生活污水纳入该生活污水处理厂进行处理，不会对其正常运行造成不利影响，项目污水依托该污水处理厂进行处理并排放是可行的。</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综上所述，上述废水处理措施均采用成熟的工艺及设施，实施难度不高，可实现生活污水达标排放，本项目员工生活污水的处理措施是技术可行的。</w:t>
      </w:r>
    </w:p>
    <w:p>
      <w:pPr>
        <w:pStyle w:val="5"/>
      </w:pPr>
      <w:r>
        <w:rPr>
          <w:rFonts w:hint="eastAsia"/>
        </w:rPr>
        <w:t>废水处理措施经济可行性分析</w:t>
      </w:r>
    </w:p>
    <w:p>
      <w:pPr>
        <w:overflowPunct w:val="0"/>
        <w:ind w:firstLine="480"/>
        <w:rPr>
          <w:rFonts w:eastAsiaTheme="minorEastAsia"/>
          <w:lang w:val="zh-CN"/>
        </w:rPr>
      </w:pPr>
      <w:r>
        <w:rPr>
          <w:rFonts w:hint="eastAsia" w:eastAsiaTheme="minorEastAsia"/>
          <w:lang w:val="zh-CN"/>
        </w:rPr>
        <w:t>本项目需建设三级化粪池、污水收集管道，投资约</w:t>
      </w:r>
      <w:r>
        <w:rPr>
          <w:rFonts w:eastAsiaTheme="minorEastAsia"/>
          <w:lang w:val="zh-CN"/>
        </w:rPr>
        <w:t>2</w:t>
      </w:r>
      <w:r>
        <w:rPr>
          <w:rFonts w:hint="eastAsia" w:eastAsiaTheme="minorEastAsia"/>
          <w:lang w:val="zh-CN"/>
        </w:rPr>
        <w:t>万，占项目总投资费用</w:t>
      </w:r>
      <w:r>
        <w:rPr>
          <w:rFonts w:eastAsiaTheme="minorEastAsia"/>
          <w:lang w:val="zh-CN"/>
        </w:rPr>
        <w:t>2</w:t>
      </w:r>
      <w:r>
        <w:rPr>
          <w:rFonts w:hint="eastAsia" w:eastAsiaTheme="minorEastAsia"/>
          <w:lang w:val="zh-CN"/>
        </w:rPr>
        <w:t>00万元的</w:t>
      </w:r>
      <w:r>
        <w:rPr>
          <w:rFonts w:eastAsiaTheme="minorEastAsia"/>
          <w:lang w:val="zh-CN"/>
        </w:rPr>
        <w:t>1</w:t>
      </w:r>
      <w:r>
        <w:rPr>
          <w:rFonts w:hint="eastAsia" w:eastAsiaTheme="minorEastAsia"/>
          <w:lang w:val="zh-CN"/>
        </w:rPr>
        <w:t>%。</w:t>
      </w:r>
      <w:r>
        <w:rPr>
          <w:rStyle w:val="63"/>
          <w:rFonts w:hint="eastAsia"/>
          <w:color w:val="000000" w:themeColor="text1"/>
          <w14:textFill>
            <w14:solidFill>
              <w14:schemeClr w14:val="tx1"/>
            </w14:solidFill>
          </w14:textFill>
        </w:rPr>
        <w:t>采用三级化粪池埋于地表下，大大减少了占地面积，减少了工程投资，仅设1名员工兼职进行日常维护及设备检修等工作即可，节省了人力消耗；</w:t>
      </w:r>
      <w:r>
        <w:rPr>
          <w:rFonts w:hint="eastAsia" w:eastAsiaTheme="minorEastAsia"/>
          <w:lang w:val="zh-CN"/>
        </w:rPr>
        <w:t>污水处理设施每年运行费用主要包括电费、材料费。废水处理设施建设及运行维护费用在企业承受范围内。因此，从一次性投资和运行维护的人力、物力、资金等方面分析，结合建设单位经济实力，本项目采取的废水污染防治措施具有经济可行性。</w:t>
      </w:r>
    </w:p>
    <w:p>
      <w:pPr>
        <w:pStyle w:val="4"/>
      </w:pPr>
      <w:bookmarkStart w:id="594" w:name="_Toc28774"/>
      <w:bookmarkStart w:id="595" w:name="_Toc331536251"/>
      <w:bookmarkStart w:id="596" w:name="_Toc329784224"/>
      <w:bookmarkStart w:id="597" w:name="_Toc23992"/>
      <w:bookmarkStart w:id="598" w:name="_Toc3538807"/>
      <w:bookmarkStart w:id="599" w:name="_Toc307847903"/>
      <w:r>
        <w:t>废气处理措施可行性分析</w:t>
      </w:r>
      <w:bookmarkEnd w:id="594"/>
      <w:bookmarkEnd w:id="595"/>
      <w:bookmarkEnd w:id="596"/>
      <w:bookmarkEnd w:id="597"/>
      <w:bookmarkEnd w:id="598"/>
      <w:bookmarkEnd w:id="599"/>
    </w:p>
    <w:p>
      <w:pPr>
        <w:ind w:firstLine="480"/>
      </w:pPr>
      <w:r>
        <w:rPr>
          <w:rFonts w:hint="eastAsia"/>
        </w:rPr>
        <w:t>由污染源分析可知，项目生产过程中产生的废气主要为</w:t>
      </w:r>
      <w:r>
        <w:rPr>
          <w:rStyle w:val="63"/>
          <w:rFonts w:hint="eastAsia"/>
          <w:color w:val="auto"/>
        </w:rPr>
        <w:t>配料及投料粉尘、密炼废气（含粉尘）</w:t>
      </w:r>
      <w:r>
        <w:rPr>
          <w:rFonts w:hint="eastAsia"/>
        </w:rPr>
        <w:t>、开炼废气、硫化废气、抛丸废气、粘胶废气和污水站臭气。</w:t>
      </w:r>
    </w:p>
    <w:p>
      <w:pPr>
        <w:ind w:firstLine="480"/>
      </w:pPr>
      <w:r>
        <w:rPr>
          <w:rFonts w:hint="eastAsia"/>
        </w:rPr>
        <w:t>本报告根据《挥发性有机物（VOCs）污染防治技术政策》（环保部公告 2013年 第31号）、《大气污染治理工程技术导则》（HJ</w:t>
      </w:r>
      <w:r>
        <w:t xml:space="preserve"> </w:t>
      </w:r>
      <w:r>
        <w:rPr>
          <w:rFonts w:hint="eastAsia"/>
        </w:rPr>
        <w:t>2000-2010）、《吸附法工业有机废气治理工程技术规范》（</w:t>
      </w:r>
      <w:r>
        <w:t>HJ 2026—2013</w:t>
      </w:r>
      <w:r>
        <w:rPr>
          <w:rFonts w:hint="eastAsia"/>
        </w:rPr>
        <w:t>）等相关文件对项目大气污染防治措施进行可行性分析。</w:t>
      </w:r>
    </w:p>
    <w:p>
      <w:pPr>
        <w:pStyle w:val="5"/>
      </w:pPr>
      <w:bookmarkStart w:id="600" w:name="_Toc331536253"/>
      <w:r>
        <w:t>有机废气治理</w:t>
      </w:r>
      <w:r>
        <w:rPr>
          <w:rFonts w:hint="eastAsia"/>
        </w:rPr>
        <w:t>措施的多方案比选</w:t>
      </w:r>
    </w:p>
    <w:p>
      <w:pPr>
        <w:ind w:firstLine="480"/>
        <w:rPr>
          <w:rFonts w:eastAsiaTheme="minorEastAsia"/>
          <w:lang w:val="zh-CN"/>
        </w:rPr>
      </w:pPr>
      <w:r>
        <w:rPr>
          <w:rFonts w:hint="eastAsia" w:eastAsiaTheme="minorEastAsia"/>
          <w:lang w:val="zh-CN"/>
        </w:rPr>
        <w:t>参考《大气污染治理工程技术导则》（HJ</w:t>
      </w:r>
      <w:r>
        <w:rPr>
          <w:rFonts w:eastAsiaTheme="minorEastAsia"/>
          <w:lang w:val="zh-CN"/>
        </w:rPr>
        <w:t xml:space="preserve"> </w:t>
      </w:r>
      <w:r>
        <w:rPr>
          <w:rFonts w:hint="eastAsia" w:eastAsiaTheme="minorEastAsia"/>
          <w:lang w:val="zh-CN"/>
        </w:rPr>
        <w:t>2000-2010）内容，挥发性有机化合物的基本处理方法包括回收类方法和消除类方法，回收类方法包括吸附法、吸收法、冷凝法、和膜分离法；消除类方法包括燃烧法、生物法、低温等离子法和催化氧化法等。各种方法的适用范围和特点见</w:t>
      </w:r>
      <w:r>
        <w:rPr>
          <w:rFonts w:eastAsiaTheme="minorEastAsia"/>
          <w:lang w:val="zh-CN"/>
        </w:rPr>
        <w:fldChar w:fldCharType="begin"/>
      </w:r>
      <w:r>
        <w:rPr>
          <w:rFonts w:eastAsiaTheme="minorEastAsia"/>
          <w:lang w:val="zh-CN"/>
        </w:rPr>
        <w:instrText xml:space="preserve"> </w:instrText>
      </w:r>
      <w:r>
        <w:rPr>
          <w:rFonts w:hint="eastAsia" w:eastAsiaTheme="minorEastAsia"/>
          <w:lang w:val="zh-CN"/>
        </w:rPr>
        <w:instrText xml:space="preserve">REF _Ref528939349 \h</w:instrText>
      </w:r>
      <w:r>
        <w:rPr>
          <w:rFonts w:eastAsiaTheme="minorEastAsia"/>
          <w:lang w:val="zh-CN"/>
        </w:rPr>
        <w:instrText xml:space="preserve">  \* MERGEFORMAT </w:instrText>
      </w:r>
      <w:r>
        <w:rPr>
          <w:rFonts w:eastAsiaTheme="minorEastAsia"/>
          <w:lang w:val="zh-CN"/>
        </w:rPr>
        <w:fldChar w:fldCharType="separate"/>
      </w:r>
      <w:r>
        <w:rPr>
          <w:rFonts w:hint="eastAsia"/>
        </w:rPr>
        <w:t xml:space="preserve">表 </w:t>
      </w:r>
      <w:r>
        <w:t>5.2</w:t>
      </w:r>
      <w:r>
        <w:noBreakHyphen/>
      </w:r>
      <w:r>
        <w:t>1</w:t>
      </w:r>
      <w:r>
        <w:rPr>
          <w:rFonts w:eastAsiaTheme="minorEastAsia"/>
          <w:lang w:val="zh-CN"/>
        </w:rPr>
        <w:fldChar w:fldCharType="end"/>
      </w:r>
      <w:r>
        <w:rPr>
          <w:rFonts w:hint="eastAsia" w:eastAsiaTheme="minorEastAsia"/>
          <w:lang w:val="zh-CN"/>
        </w:rPr>
        <w:t>。</w:t>
      </w:r>
    </w:p>
    <w:p>
      <w:pPr>
        <w:ind w:firstLine="480"/>
        <w:rPr>
          <w:rFonts w:eastAsiaTheme="minorEastAsia"/>
        </w:rPr>
      </w:pPr>
    </w:p>
    <w:p>
      <w:pPr>
        <w:ind w:firstLine="480"/>
        <w:rPr>
          <w:rFonts w:eastAsiaTheme="minorEastAsia"/>
        </w:rPr>
        <w:sectPr>
          <w:pgSz w:w="11906" w:h="16838"/>
          <w:pgMar w:top="1418" w:right="1418" w:bottom="1418" w:left="1418" w:header="851" w:footer="992" w:gutter="0"/>
          <w:cols w:space="0" w:num="1"/>
          <w:docGrid w:type="lines" w:linePitch="336" w:charSpace="0"/>
        </w:sectPr>
      </w:pPr>
    </w:p>
    <w:p>
      <w:pPr>
        <w:pStyle w:val="18"/>
      </w:pPr>
      <w:bookmarkStart w:id="601" w:name="_Ref528939349"/>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bookmarkEnd w:id="601"/>
      <w:r>
        <w:t xml:space="preserve"> </w:t>
      </w:r>
      <w:r>
        <w:rPr>
          <w:rFonts w:hint="eastAsia"/>
        </w:rPr>
        <w:t>有机废气处理工艺方案比选一览表</w:t>
      </w:r>
    </w:p>
    <w:tbl>
      <w:tblPr>
        <w:tblStyle w:val="56"/>
        <w:tblW w:w="14048"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1"/>
        <w:gridCol w:w="2126"/>
        <w:gridCol w:w="1644"/>
        <w:gridCol w:w="1885"/>
        <w:gridCol w:w="2141"/>
        <w:gridCol w:w="1843"/>
        <w:gridCol w:w="1672"/>
        <w:gridCol w:w="188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97" w:hRule="atLeast"/>
          <w:tblHeader/>
        </w:trPr>
        <w:tc>
          <w:tcPr>
            <w:tcW w:w="851" w:type="dxa"/>
            <w:tcBorders>
              <w:left w:val="single" w:color="auto" w:sz="4" w:space="0"/>
              <w:right w:val="single" w:color="auto" w:sz="4" w:space="0"/>
              <w:tl2br w:val="single" w:color="auto" w:sz="4" w:space="0"/>
              <w:tr2bl w:val="nil"/>
            </w:tcBorders>
            <w:shd w:val="clear" w:color="auto" w:fill="auto"/>
            <w:vAlign w:val="center"/>
          </w:tcPr>
          <w:p>
            <w:pPr>
              <w:spacing w:line="240" w:lineRule="auto"/>
              <w:ind w:firstLine="0" w:firstLineChars="0"/>
              <w:jc w:val="right"/>
              <w:rPr>
                <w:rFonts w:cs="Times New Roman" w:eastAsiaTheme="minorEastAsia"/>
                <w:b/>
                <w:bCs/>
                <w:sz w:val="21"/>
                <w:szCs w:val="21"/>
              </w:rPr>
            </w:pPr>
            <w:r>
              <w:rPr>
                <w:rFonts w:hint="eastAsia" w:cs="Times New Roman" w:eastAsiaTheme="minorEastAsia"/>
                <w:b/>
                <w:bCs/>
                <w:sz w:val="21"/>
                <w:szCs w:val="21"/>
              </w:rPr>
              <w:t>方法</w:t>
            </w:r>
          </w:p>
          <w:p>
            <w:pPr>
              <w:spacing w:line="240" w:lineRule="auto"/>
              <w:ind w:firstLine="0" w:firstLineChars="0"/>
              <w:rPr>
                <w:rFonts w:cs="Times New Roman" w:eastAsiaTheme="minorEastAsia"/>
                <w:b/>
                <w:bCs/>
                <w:sz w:val="21"/>
                <w:szCs w:val="21"/>
              </w:rPr>
            </w:pPr>
            <w:r>
              <w:rPr>
                <w:rFonts w:cs="Times New Roman" w:eastAsiaTheme="minorEastAsia"/>
                <w:b/>
                <w:bCs/>
                <w:sz w:val="21"/>
                <w:szCs w:val="21"/>
              </w:rPr>
              <w:t>特点</w:t>
            </w:r>
          </w:p>
        </w:tc>
        <w:tc>
          <w:tcPr>
            <w:tcW w:w="2126" w:type="dxa"/>
            <w:tcBorders>
              <w:left w:val="single" w:color="auto" w:sz="4" w:space="0"/>
              <w:right w:val="single" w:color="auto" w:sz="4" w:space="0"/>
              <w:tl2br w:val="nil"/>
              <w:tr2bl w:val="nil"/>
            </w:tcBorders>
            <w:shd w:val="clear" w:color="auto" w:fill="auto"/>
            <w:vAlign w:val="center"/>
          </w:tcPr>
          <w:p>
            <w:pPr>
              <w:spacing w:line="240" w:lineRule="auto"/>
              <w:ind w:firstLine="0" w:firstLineChars="0"/>
              <w:jc w:val="center"/>
              <w:rPr>
                <w:rFonts w:cs="Times New Roman" w:eastAsiaTheme="minorEastAsia"/>
                <w:b/>
                <w:bCs/>
                <w:sz w:val="21"/>
                <w:szCs w:val="21"/>
              </w:rPr>
            </w:pPr>
            <w:r>
              <w:rPr>
                <w:rFonts w:cs="Times New Roman" w:eastAsiaTheme="minorEastAsia"/>
                <w:b/>
                <w:bCs/>
                <w:sz w:val="21"/>
                <w:szCs w:val="21"/>
              </w:rPr>
              <w:t>吸附浓缩+催化氧化法</w:t>
            </w:r>
          </w:p>
        </w:tc>
        <w:tc>
          <w:tcPr>
            <w:tcW w:w="1644" w:type="dxa"/>
            <w:tcBorders>
              <w:left w:val="single" w:color="auto" w:sz="4" w:space="0"/>
              <w:right w:val="single" w:color="auto" w:sz="4" w:space="0"/>
              <w:tl2br w:val="nil"/>
              <w:tr2bl w:val="nil"/>
            </w:tcBorders>
            <w:shd w:val="clear" w:color="auto" w:fill="auto"/>
            <w:vAlign w:val="center"/>
          </w:tcPr>
          <w:p>
            <w:pPr>
              <w:spacing w:line="240" w:lineRule="auto"/>
              <w:ind w:firstLine="0" w:firstLineChars="0"/>
              <w:jc w:val="center"/>
              <w:rPr>
                <w:rFonts w:cs="Times New Roman" w:eastAsiaTheme="minorEastAsia"/>
                <w:b/>
                <w:bCs/>
                <w:sz w:val="21"/>
                <w:szCs w:val="21"/>
              </w:rPr>
            </w:pPr>
            <w:r>
              <w:rPr>
                <w:rFonts w:cs="Times New Roman" w:eastAsiaTheme="minorEastAsia"/>
                <w:b/>
                <w:bCs/>
                <w:sz w:val="21"/>
                <w:szCs w:val="21"/>
              </w:rPr>
              <w:t>UV高效光解净化法</w:t>
            </w:r>
          </w:p>
        </w:tc>
        <w:tc>
          <w:tcPr>
            <w:tcW w:w="1885" w:type="dxa"/>
            <w:tcBorders>
              <w:left w:val="single" w:color="auto" w:sz="4" w:space="0"/>
              <w:right w:val="single" w:color="auto" w:sz="4" w:space="0"/>
              <w:tl2br w:val="nil"/>
              <w:tr2bl w:val="nil"/>
            </w:tcBorders>
            <w:shd w:val="clear" w:color="auto" w:fill="auto"/>
            <w:vAlign w:val="center"/>
          </w:tcPr>
          <w:p>
            <w:pPr>
              <w:spacing w:line="240" w:lineRule="auto"/>
              <w:ind w:firstLine="0" w:firstLineChars="0"/>
              <w:jc w:val="center"/>
              <w:rPr>
                <w:rFonts w:cs="Times New Roman" w:eastAsiaTheme="minorEastAsia"/>
                <w:b/>
                <w:bCs/>
                <w:sz w:val="21"/>
                <w:szCs w:val="21"/>
              </w:rPr>
            </w:pPr>
            <w:r>
              <w:rPr>
                <w:rFonts w:cs="Times New Roman" w:eastAsiaTheme="minorEastAsia"/>
                <w:b/>
                <w:bCs/>
                <w:sz w:val="21"/>
                <w:szCs w:val="21"/>
              </w:rPr>
              <w:t>活性炭吸附法</w:t>
            </w:r>
          </w:p>
        </w:tc>
        <w:tc>
          <w:tcPr>
            <w:tcW w:w="2141" w:type="dxa"/>
            <w:tcBorders>
              <w:left w:val="single" w:color="auto" w:sz="4" w:space="0"/>
              <w:right w:val="single" w:color="auto" w:sz="4" w:space="0"/>
              <w:tl2br w:val="nil"/>
              <w:tr2bl w:val="nil"/>
            </w:tcBorders>
            <w:shd w:val="clear" w:color="auto" w:fill="auto"/>
            <w:vAlign w:val="center"/>
          </w:tcPr>
          <w:p>
            <w:pPr>
              <w:spacing w:line="240" w:lineRule="auto"/>
              <w:ind w:firstLine="0" w:firstLineChars="0"/>
              <w:jc w:val="center"/>
              <w:rPr>
                <w:rFonts w:cs="Times New Roman" w:eastAsiaTheme="minorEastAsia"/>
                <w:b/>
                <w:bCs/>
                <w:sz w:val="21"/>
                <w:szCs w:val="21"/>
              </w:rPr>
            </w:pPr>
            <w:r>
              <w:rPr>
                <w:rFonts w:cs="Times New Roman" w:eastAsiaTheme="minorEastAsia"/>
                <w:b/>
                <w:bCs/>
                <w:sz w:val="21"/>
                <w:szCs w:val="21"/>
              </w:rPr>
              <w:t>催化氧化法（或RCO）</w:t>
            </w:r>
          </w:p>
        </w:tc>
        <w:tc>
          <w:tcPr>
            <w:tcW w:w="1843" w:type="dxa"/>
            <w:tcBorders>
              <w:left w:val="single" w:color="auto" w:sz="4" w:space="0"/>
              <w:right w:val="single" w:color="auto" w:sz="4" w:space="0"/>
              <w:tl2br w:val="nil"/>
              <w:tr2bl w:val="nil"/>
            </w:tcBorders>
            <w:shd w:val="clear" w:color="auto" w:fill="auto"/>
            <w:vAlign w:val="center"/>
          </w:tcPr>
          <w:p>
            <w:pPr>
              <w:spacing w:line="240" w:lineRule="auto"/>
              <w:ind w:firstLine="0" w:firstLineChars="0"/>
              <w:jc w:val="center"/>
              <w:rPr>
                <w:rFonts w:cs="Times New Roman" w:eastAsiaTheme="minorEastAsia"/>
                <w:b/>
                <w:bCs/>
                <w:sz w:val="21"/>
                <w:szCs w:val="21"/>
              </w:rPr>
            </w:pPr>
            <w:r>
              <w:rPr>
                <w:rFonts w:cs="Times New Roman" w:eastAsiaTheme="minorEastAsia"/>
                <w:b/>
                <w:bCs/>
                <w:sz w:val="21"/>
                <w:szCs w:val="21"/>
              </w:rPr>
              <w:t>直接燃烧法（或RTO）</w:t>
            </w:r>
          </w:p>
        </w:tc>
        <w:tc>
          <w:tcPr>
            <w:tcW w:w="1672" w:type="dxa"/>
            <w:tcBorders>
              <w:left w:val="single" w:color="auto" w:sz="4" w:space="0"/>
              <w:right w:val="single" w:color="auto" w:sz="4" w:space="0"/>
              <w:tl2br w:val="nil"/>
              <w:tr2bl w:val="nil"/>
            </w:tcBorders>
            <w:shd w:val="clear" w:color="auto" w:fill="auto"/>
            <w:vAlign w:val="center"/>
          </w:tcPr>
          <w:p>
            <w:pPr>
              <w:spacing w:line="240" w:lineRule="auto"/>
              <w:ind w:firstLine="0" w:firstLineChars="0"/>
              <w:jc w:val="center"/>
              <w:rPr>
                <w:rFonts w:cs="Times New Roman" w:eastAsiaTheme="minorEastAsia"/>
                <w:b/>
                <w:bCs/>
                <w:sz w:val="21"/>
                <w:szCs w:val="21"/>
              </w:rPr>
            </w:pPr>
            <w:r>
              <w:rPr>
                <w:rFonts w:cs="Times New Roman" w:eastAsiaTheme="minorEastAsia"/>
                <w:b/>
                <w:bCs/>
                <w:sz w:val="21"/>
                <w:szCs w:val="21"/>
              </w:rPr>
              <w:t>生物分解法</w:t>
            </w:r>
          </w:p>
        </w:tc>
        <w:tc>
          <w:tcPr>
            <w:tcW w:w="1886" w:type="dxa"/>
            <w:tcBorders>
              <w:left w:val="single" w:color="auto" w:sz="4" w:space="0"/>
              <w:right w:val="single" w:color="auto" w:sz="4" w:space="0"/>
              <w:tl2br w:val="nil"/>
              <w:tr2bl w:val="nil"/>
            </w:tcBorders>
            <w:shd w:val="clear" w:color="auto" w:fill="auto"/>
            <w:vAlign w:val="center"/>
          </w:tcPr>
          <w:p>
            <w:pPr>
              <w:spacing w:line="240" w:lineRule="auto"/>
              <w:ind w:firstLine="0" w:firstLineChars="0"/>
              <w:jc w:val="center"/>
              <w:rPr>
                <w:rFonts w:cs="Times New Roman" w:eastAsiaTheme="minorEastAsia"/>
                <w:b/>
                <w:bCs/>
                <w:sz w:val="21"/>
                <w:szCs w:val="21"/>
              </w:rPr>
            </w:pPr>
            <w:r>
              <w:rPr>
                <w:rFonts w:cs="Times New Roman" w:eastAsiaTheme="minorEastAsia"/>
                <w:b/>
                <w:bCs/>
                <w:sz w:val="21"/>
                <w:szCs w:val="21"/>
              </w:rPr>
              <w:t>等离子</w:t>
            </w:r>
            <w:r>
              <w:rPr>
                <w:rFonts w:hint="eastAsia" w:cs="Times New Roman" w:eastAsiaTheme="minorEastAsia"/>
                <w:b/>
                <w:bCs/>
                <w:sz w:val="21"/>
                <w:szCs w:val="21"/>
              </w:rPr>
              <w:t>净化</w:t>
            </w:r>
            <w:r>
              <w:rPr>
                <w:rFonts w:cs="Times New Roman" w:eastAsiaTheme="minorEastAsia"/>
                <w:b/>
                <w:bCs/>
                <w:sz w:val="21"/>
                <w:szCs w:val="21"/>
              </w:rPr>
              <w:t>法</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28" w:hRule="atLeast"/>
        </w:trPr>
        <w:tc>
          <w:tcPr>
            <w:tcW w:w="851" w:type="dxa"/>
            <w:tcBorders>
              <w:left w:val="single" w:color="auto" w:sz="4" w:space="0"/>
              <w:tl2br w:val="nil"/>
              <w:tr2bl w:val="nil"/>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净化技术原理</w:t>
            </w:r>
          </w:p>
        </w:tc>
        <w:tc>
          <w:tcPr>
            <w:tcW w:w="2126"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有机的结合了活性炭吸附法和催化氧化法的各自优势，达到节能、降耗、环保、经济等目的。</w:t>
            </w:r>
          </w:p>
        </w:tc>
        <w:tc>
          <w:tcPr>
            <w:tcW w:w="1644"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利用高能UV紫外线的光能裂解和氧化有机物质分子链，改变物质结构的原理。</w:t>
            </w:r>
          </w:p>
        </w:tc>
        <w:tc>
          <w:tcPr>
            <w:tcW w:w="1885"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利用活性炭内部孔隙结构发达，比表面积大，对各种有机物具有高效吸附能力原理。</w:t>
            </w:r>
          </w:p>
        </w:tc>
        <w:tc>
          <w:tcPr>
            <w:tcW w:w="2141"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利用催化剂的催化作用来降低有机物的化学氧化反应的温度条件，从而实现节能、安全的目的。</w:t>
            </w:r>
          </w:p>
        </w:tc>
        <w:tc>
          <w:tcPr>
            <w:tcW w:w="1843"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利用有机物在高温条件下的可燃性将其通过化学氧化反应进行净化的方法。</w:t>
            </w:r>
          </w:p>
        </w:tc>
        <w:tc>
          <w:tcPr>
            <w:tcW w:w="1672"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利用有机物作为微生物的营养物质，通过其代谢作用将有机物分解和利用的过程。</w:t>
            </w:r>
          </w:p>
        </w:tc>
        <w:tc>
          <w:tcPr>
            <w:tcW w:w="1886" w:type="dxa"/>
            <w:tcBorders>
              <w:right w:val="single" w:color="auto" w:sz="4" w:space="0"/>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利用高压电极发射的等离子及电子，裂解和氧化有机物分子结构，生成无害化的物质。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64" w:hRule="atLeast"/>
        </w:trPr>
        <w:tc>
          <w:tcPr>
            <w:tcW w:w="851" w:type="dxa"/>
            <w:tcBorders>
              <w:left w:val="single" w:color="auto" w:sz="4" w:space="0"/>
              <w:tl2br w:val="nil"/>
              <w:tr2bl w:val="nil"/>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适宜净化的气体</w:t>
            </w:r>
          </w:p>
        </w:tc>
        <w:tc>
          <w:tcPr>
            <w:tcW w:w="2126"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大风量</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低浓度</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不含尘</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干燥的</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高温废气</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例如：涂装、化工、电子等生产废气</w:t>
            </w:r>
          </w:p>
        </w:tc>
        <w:tc>
          <w:tcPr>
            <w:tcW w:w="1644"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小风量</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低浓度</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不含尘</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常温废气</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例如：化工、油烟等。</w:t>
            </w:r>
          </w:p>
        </w:tc>
        <w:tc>
          <w:tcPr>
            <w:tcW w:w="1885"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小风量</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低浓度</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不含尘</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常温废气</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例如：涂装、洁净室通风换气。</w:t>
            </w:r>
          </w:p>
        </w:tc>
        <w:tc>
          <w:tcPr>
            <w:tcW w:w="2141"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小风量</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高浓度</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不含尘</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高温或常温废气如：烤漆、晾干、各种烤炉产生废气。</w:t>
            </w:r>
          </w:p>
        </w:tc>
        <w:tc>
          <w:tcPr>
            <w:tcW w:w="1843"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大风量</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中高度</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含催化剂</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有毒物质废气</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例如：光电、印刷、制药等产生废气。</w:t>
            </w:r>
          </w:p>
        </w:tc>
        <w:tc>
          <w:tcPr>
            <w:tcW w:w="1672"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大风量</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低浓度</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常温气体</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如：污水处理厂等产生废气。</w:t>
            </w:r>
          </w:p>
        </w:tc>
        <w:tc>
          <w:tcPr>
            <w:tcW w:w="1886" w:type="dxa"/>
            <w:tcBorders>
              <w:right w:val="single" w:color="auto" w:sz="4" w:space="0"/>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小风量</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低浓度</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不含尘</w:t>
            </w:r>
          </w:p>
          <w:p>
            <w:pPr>
              <w:spacing w:line="240" w:lineRule="auto"/>
              <w:ind w:firstLine="0" w:firstLineChars="0"/>
              <w:jc w:val="center"/>
              <w:rPr>
                <w:rFonts w:cs="Times New Roman" w:eastAsiaTheme="minorEastAsia"/>
                <w:sz w:val="21"/>
                <w:szCs w:val="21"/>
              </w:rPr>
            </w:pPr>
            <w:r>
              <w:rPr>
                <w:rFonts w:cs="Times New Roman" w:eastAsiaTheme="minorEastAsia"/>
                <w:sz w:val="21"/>
                <w:szCs w:val="21"/>
              </w:rPr>
              <w:t>干燥的常温废气如：焊接烟气等。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87" w:hRule="atLeast"/>
        </w:trPr>
        <w:tc>
          <w:tcPr>
            <w:tcW w:w="851" w:type="dxa"/>
            <w:tcBorders>
              <w:left w:val="single" w:color="auto" w:sz="4" w:space="0"/>
              <w:tl2br w:val="nil"/>
              <w:tr2bl w:val="nil"/>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净化效率</w:t>
            </w:r>
          </w:p>
        </w:tc>
        <w:tc>
          <w:tcPr>
            <w:tcW w:w="2126"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可稳定保持在80%以上。</w:t>
            </w:r>
          </w:p>
        </w:tc>
        <w:tc>
          <w:tcPr>
            <w:tcW w:w="1644"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正常运行情况下净化效率可达80%左右。</w:t>
            </w:r>
          </w:p>
        </w:tc>
        <w:tc>
          <w:tcPr>
            <w:tcW w:w="1885"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初期净化效率可达90%，需要经常更换。</w:t>
            </w:r>
          </w:p>
        </w:tc>
        <w:tc>
          <w:tcPr>
            <w:tcW w:w="2141"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可长期保持95%以上。</w:t>
            </w:r>
          </w:p>
        </w:tc>
        <w:tc>
          <w:tcPr>
            <w:tcW w:w="1843"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可长期保持95%以上。</w:t>
            </w:r>
          </w:p>
        </w:tc>
        <w:tc>
          <w:tcPr>
            <w:tcW w:w="1672"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微生物活性好时净化效率可达70%，净化效果极不稳定。</w:t>
            </w:r>
          </w:p>
        </w:tc>
        <w:tc>
          <w:tcPr>
            <w:tcW w:w="1886" w:type="dxa"/>
            <w:tcBorders>
              <w:right w:val="single" w:color="auto" w:sz="4" w:space="0"/>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正常运行情况下净化效率可达60%左右。</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44" w:hRule="atLeast"/>
        </w:trPr>
        <w:tc>
          <w:tcPr>
            <w:tcW w:w="851" w:type="dxa"/>
            <w:tcBorders>
              <w:left w:val="single" w:color="auto" w:sz="4" w:space="0"/>
              <w:tl2br w:val="nil"/>
              <w:tr2bl w:val="nil"/>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使用寿命</w:t>
            </w:r>
          </w:p>
        </w:tc>
        <w:tc>
          <w:tcPr>
            <w:tcW w:w="2126"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催化剂和活性炭1年以上，设备正常工作达5年以上。</w:t>
            </w:r>
          </w:p>
        </w:tc>
        <w:tc>
          <w:tcPr>
            <w:tcW w:w="1644"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高能紫外灯管寿命三年以上。设备寿命十年以上。</w:t>
            </w:r>
          </w:p>
        </w:tc>
        <w:tc>
          <w:tcPr>
            <w:tcW w:w="1885"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活性炭每个月需更换。设备正常工作达10年以上。</w:t>
            </w:r>
          </w:p>
        </w:tc>
        <w:tc>
          <w:tcPr>
            <w:tcW w:w="2141"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催化剂4年以上，设备正常工作达10年以上。</w:t>
            </w:r>
          </w:p>
        </w:tc>
        <w:tc>
          <w:tcPr>
            <w:tcW w:w="1843"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设备正常工作达10年以上。</w:t>
            </w:r>
          </w:p>
        </w:tc>
        <w:tc>
          <w:tcPr>
            <w:tcW w:w="1672"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养护困难，需频繁添加药剂、控制PH值、温度。</w:t>
            </w:r>
          </w:p>
        </w:tc>
        <w:tc>
          <w:tcPr>
            <w:tcW w:w="1886" w:type="dxa"/>
            <w:tcBorders>
              <w:right w:val="single" w:color="auto" w:sz="4" w:space="0"/>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废气浓度及湿度较低情况下，可长期正常工作。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5" w:hRule="atLeast"/>
        </w:trPr>
        <w:tc>
          <w:tcPr>
            <w:tcW w:w="851" w:type="dxa"/>
            <w:tcBorders>
              <w:left w:val="single" w:color="auto" w:sz="4" w:space="0"/>
              <w:tl2br w:val="nil"/>
              <w:tr2bl w:val="nil"/>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投资费用</w:t>
            </w:r>
          </w:p>
        </w:tc>
        <w:tc>
          <w:tcPr>
            <w:tcW w:w="2126"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高投资费用</w:t>
            </w:r>
          </w:p>
        </w:tc>
        <w:tc>
          <w:tcPr>
            <w:tcW w:w="1644"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中低等投资费用</w:t>
            </w:r>
          </w:p>
        </w:tc>
        <w:tc>
          <w:tcPr>
            <w:tcW w:w="1885"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低投资费用</w:t>
            </w:r>
          </w:p>
        </w:tc>
        <w:tc>
          <w:tcPr>
            <w:tcW w:w="2141"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中高等投资费用</w:t>
            </w:r>
          </w:p>
        </w:tc>
        <w:tc>
          <w:tcPr>
            <w:tcW w:w="1843"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较高的投资费用</w:t>
            </w:r>
          </w:p>
        </w:tc>
        <w:tc>
          <w:tcPr>
            <w:tcW w:w="1672"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非常高的投资费用</w:t>
            </w:r>
          </w:p>
        </w:tc>
        <w:tc>
          <w:tcPr>
            <w:tcW w:w="1886" w:type="dxa"/>
            <w:tcBorders>
              <w:right w:val="single" w:color="auto" w:sz="4" w:space="0"/>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中高等投资费用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67" w:hRule="atLeast"/>
        </w:trPr>
        <w:tc>
          <w:tcPr>
            <w:tcW w:w="851" w:type="dxa"/>
            <w:tcBorders>
              <w:left w:val="single" w:color="auto" w:sz="4" w:space="0"/>
              <w:tl2br w:val="nil"/>
              <w:tr2bl w:val="nil"/>
            </w:tcBorders>
            <w:vAlign w:val="center"/>
          </w:tcPr>
          <w:p>
            <w:pPr>
              <w:spacing w:line="240" w:lineRule="auto"/>
              <w:ind w:firstLine="0" w:firstLineChars="0"/>
              <w:jc w:val="center"/>
              <w:rPr>
                <w:rFonts w:cs="Times New Roman" w:eastAsiaTheme="minorEastAsia"/>
                <w:b/>
                <w:sz w:val="21"/>
                <w:szCs w:val="21"/>
              </w:rPr>
            </w:pPr>
            <w:r>
              <w:rPr>
                <w:rFonts w:hint="eastAsia" w:cs="Times New Roman" w:eastAsiaTheme="minorEastAsia"/>
                <w:b/>
                <w:sz w:val="21"/>
                <w:szCs w:val="21"/>
              </w:rPr>
              <w:t>运营管理</w:t>
            </w:r>
          </w:p>
        </w:tc>
        <w:tc>
          <w:tcPr>
            <w:tcW w:w="2126"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所使用的活性炭必须经常更换，能耗高、运行维护成本很高</w:t>
            </w:r>
          </w:p>
        </w:tc>
        <w:tc>
          <w:tcPr>
            <w:tcW w:w="1644"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系统用电量较小，能耗低，维护运营成本较低</w:t>
            </w:r>
          </w:p>
        </w:tc>
        <w:tc>
          <w:tcPr>
            <w:tcW w:w="1885"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所使用的活性炭必须经常更换，运行维护成本很高</w:t>
            </w:r>
          </w:p>
        </w:tc>
        <w:tc>
          <w:tcPr>
            <w:tcW w:w="2141"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除风机能耗外，其他运行费用较低</w:t>
            </w:r>
          </w:p>
        </w:tc>
        <w:tc>
          <w:tcPr>
            <w:tcW w:w="1843"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需不间断的提供燃料维持燃烧，运行维护费用最高</w:t>
            </w:r>
          </w:p>
        </w:tc>
        <w:tc>
          <w:tcPr>
            <w:tcW w:w="1672"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运行维护费用较高，需经常投放药剂，以保持微生物活性</w:t>
            </w:r>
          </w:p>
        </w:tc>
        <w:tc>
          <w:tcPr>
            <w:tcW w:w="1886" w:type="dxa"/>
            <w:tcBorders>
              <w:right w:val="single" w:color="auto" w:sz="4" w:space="0"/>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系统用电量大，且还需要清灰，运行维护成本高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56" w:hRule="atLeast"/>
        </w:trPr>
        <w:tc>
          <w:tcPr>
            <w:tcW w:w="851" w:type="dxa"/>
            <w:tcBorders>
              <w:left w:val="single" w:color="auto" w:sz="4" w:space="0"/>
              <w:tl2br w:val="nil"/>
              <w:tr2bl w:val="nil"/>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污染</w:t>
            </w:r>
          </w:p>
        </w:tc>
        <w:tc>
          <w:tcPr>
            <w:tcW w:w="2126"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会造成环境二次污染</w:t>
            </w:r>
          </w:p>
        </w:tc>
        <w:tc>
          <w:tcPr>
            <w:tcW w:w="1644"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会造成环境二次污染</w:t>
            </w:r>
          </w:p>
        </w:tc>
        <w:tc>
          <w:tcPr>
            <w:tcW w:w="1885"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会造成环境二次污染</w:t>
            </w:r>
          </w:p>
        </w:tc>
        <w:tc>
          <w:tcPr>
            <w:tcW w:w="2141"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无二次污染</w:t>
            </w:r>
          </w:p>
        </w:tc>
        <w:tc>
          <w:tcPr>
            <w:tcW w:w="1843"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无二次污染</w:t>
            </w:r>
          </w:p>
        </w:tc>
        <w:tc>
          <w:tcPr>
            <w:tcW w:w="1672"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易产生污泥、污水</w:t>
            </w:r>
          </w:p>
        </w:tc>
        <w:tc>
          <w:tcPr>
            <w:tcW w:w="1886" w:type="dxa"/>
            <w:tcBorders>
              <w:right w:val="single" w:color="auto" w:sz="4" w:space="0"/>
              <w:tl2br w:val="nil"/>
              <w:tr2bl w:val="nil"/>
            </w:tcBorders>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无二次污染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00" w:hRule="atLeast"/>
        </w:trPr>
        <w:tc>
          <w:tcPr>
            <w:tcW w:w="851" w:type="dxa"/>
            <w:tcBorders>
              <w:left w:val="single" w:color="auto" w:sz="4" w:space="0"/>
              <w:tl2br w:val="nil"/>
              <w:tr2bl w:val="nil"/>
            </w:tcBorders>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其他</w:t>
            </w:r>
          </w:p>
        </w:tc>
        <w:tc>
          <w:tcPr>
            <w:tcW w:w="2126"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hint="eastAsia" w:eastAsiaTheme="minorEastAsia"/>
                <w:sz w:val="21"/>
                <w:szCs w:val="21"/>
              </w:rPr>
              <w:t>①</w:t>
            </w:r>
            <w:r>
              <w:rPr>
                <w:rFonts w:cs="Times New Roman" w:eastAsiaTheme="minorEastAsia"/>
                <w:sz w:val="21"/>
                <w:szCs w:val="21"/>
              </w:rPr>
              <w:t>较为成熟工艺；</w:t>
            </w:r>
            <w:r>
              <w:rPr>
                <w:rFonts w:hint="eastAsia" w:eastAsiaTheme="minorEastAsia"/>
                <w:sz w:val="21"/>
                <w:szCs w:val="21"/>
              </w:rPr>
              <w:t>②</w:t>
            </w:r>
            <w:r>
              <w:rPr>
                <w:rFonts w:cs="Times New Roman" w:eastAsiaTheme="minorEastAsia"/>
                <w:sz w:val="21"/>
                <w:szCs w:val="21"/>
              </w:rPr>
              <w:t>废气温度需要稳定在250</w:t>
            </w:r>
            <w:r>
              <w:rPr>
                <w:rFonts w:hint="eastAsia" w:cs="微软雅黑" w:eastAsiaTheme="minorEastAsia"/>
                <w:sz w:val="21"/>
                <w:szCs w:val="21"/>
              </w:rPr>
              <w:t>℃</w:t>
            </w:r>
            <w:r>
              <w:rPr>
                <w:rFonts w:cs="Times New Roman" w:eastAsiaTheme="minorEastAsia"/>
                <w:sz w:val="21"/>
                <w:szCs w:val="21"/>
              </w:rPr>
              <w:t>，能耗大；</w:t>
            </w:r>
            <w:r>
              <w:rPr>
                <w:rFonts w:hint="eastAsia" w:eastAsiaTheme="minorEastAsia"/>
                <w:sz w:val="21"/>
                <w:szCs w:val="21"/>
              </w:rPr>
              <w:t>③</w:t>
            </w:r>
            <w:r>
              <w:rPr>
                <w:rFonts w:cs="Times New Roman" w:eastAsiaTheme="minorEastAsia"/>
                <w:sz w:val="21"/>
                <w:szCs w:val="21"/>
              </w:rPr>
              <w:t>被处理废气浓度不高于1000mg/m³。</w:t>
            </w:r>
          </w:p>
        </w:tc>
        <w:tc>
          <w:tcPr>
            <w:tcW w:w="1644"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hint="eastAsia" w:eastAsiaTheme="minorEastAsia"/>
                <w:sz w:val="21"/>
                <w:szCs w:val="21"/>
              </w:rPr>
              <w:t>①</w:t>
            </w:r>
            <w:r>
              <w:rPr>
                <w:rFonts w:cs="Times New Roman" w:eastAsiaTheme="minorEastAsia"/>
                <w:sz w:val="21"/>
                <w:szCs w:val="21"/>
              </w:rPr>
              <w:t>较为成熟工艺；</w:t>
            </w:r>
            <w:r>
              <w:rPr>
                <w:rFonts w:hint="eastAsia" w:eastAsiaTheme="minorEastAsia"/>
                <w:sz w:val="21"/>
                <w:szCs w:val="21"/>
              </w:rPr>
              <w:t>②</w:t>
            </w:r>
            <w:r>
              <w:rPr>
                <w:rFonts w:cs="Times New Roman" w:eastAsiaTheme="minorEastAsia"/>
                <w:sz w:val="21"/>
                <w:szCs w:val="21"/>
              </w:rPr>
              <w:t>废气温度不宜超过40</w:t>
            </w:r>
            <w:r>
              <w:rPr>
                <w:rFonts w:hint="eastAsia" w:cs="微软雅黑" w:eastAsiaTheme="minorEastAsia"/>
                <w:sz w:val="21"/>
                <w:szCs w:val="21"/>
              </w:rPr>
              <w:t>℃</w:t>
            </w:r>
            <w:r>
              <w:rPr>
                <w:rFonts w:cs="Times New Roman" w:eastAsiaTheme="minorEastAsia"/>
                <w:sz w:val="21"/>
                <w:szCs w:val="21"/>
              </w:rPr>
              <w:t>；</w:t>
            </w:r>
            <w:r>
              <w:rPr>
                <w:rFonts w:hint="eastAsia" w:eastAsiaTheme="minorEastAsia"/>
                <w:sz w:val="21"/>
                <w:szCs w:val="21"/>
              </w:rPr>
              <w:t>③</w:t>
            </w:r>
            <w:r>
              <w:rPr>
                <w:rFonts w:cs="Times New Roman" w:eastAsiaTheme="minorEastAsia"/>
                <w:sz w:val="21"/>
                <w:szCs w:val="21"/>
              </w:rPr>
              <w:t>被处理废气浓度不高于1000mg/m³</w:t>
            </w:r>
          </w:p>
        </w:tc>
        <w:tc>
          <w:tcPr>
            <w:tcW w:w="1885"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hint="eastAsia" w:eastAsiaTheme="minorEastAsia"/>
                <w:sz w:val="21"/>
                <w:szCs w:val="21"/>
              </w:rPr>
              <w:t>①</w:t>
            </w:r>
            <w:r>
              <w:rPr>
                <w:rFonts w:cs="Times New Roman" w:eastAsiaTheme="minorEastAsia"/>
                <w:sz w:val="21"/>
                <w:szCs w:val="21"/>
              </w:rPr>
              <w:t>较为成熟工艺；</w:t>
            </w:r>
            <w:r>
              <w:rPr>
                <w:rFonts w:hint="eastAsia" w:eastAsiaTheme="minorEastAsia"/>
                <w:sz w:val="21"/>
                <w:szCs w:val="21"/>
              </w:rPr>
              <w:t>②</w:t>
            </w:r>
            <w:r>
              <w:rPr>
                <w:rFonts w:cs="Times New Roman" w:eastAsiaTheme="minorEastAsia"/>
                <w:sz w:val="21"/>
                <w:szCs w:val="21"/>
              </w:rPr>
              <w:t>废气温度不宜超过40</w:t>
            </w:r>
            <w:r>
              <w:rPr>
                <w:rFonts w:hint="eastAsia" w:cs="微软雅黑" w:eastAsiaTheme="minorEastAsia"/>
                <w:sz w:val="21"/>
                <w:szCs w:val="21"/>
              </w:rPr>
              <w:t>℃</w:t>
            </w:r>
            <w:r>
              <w:rPr>
                <w:rFonts w:cs="Times New Roman" w:eastAsiaTheme="minorEastAsia"/>
                <w:sz w:val="21"/>
                <w:szCs w:val="21"/>
              </w:rPr>
              <w:t>；</w:t>
            </w:r>
            <w:r>
              <w:rPr>
                <w:rFonts w:hint="eastAsia" w:eastAsiaTheme="minorEastAsia"/>
                <w:sz w:val="21"/>
                <w:szCs w:val="21"/>
              </w:rPr>
              <w:t>③</w:t>
            </w:r>
            <w:r>
              <w:rPr>
                <w:rFonts w:cs="Times New Roman" w:eastAsiaTheme="minorEastAsia"/>
                <w:sz w:val="21"/>
                <w:szCs w:val="21"/>
              </w:rPr>
              <w:t>被处理废气浓度不高于1000mg/m³</w:t>
            </w:r>
            <w:r>
              <w:rPr>
                <w:rFonts w:hint="eastAsia" w:eastAsiaTheme="minorEastAsia"/>
                <w:sz w:val="21"/>
                <w:szCs w:val="21"/>
              </w:rPr>
              <w:t>④</w:t>
            </w:r>
            <w:r>
              <w:rPr>
                <w:rFonts w:cs="Times New Roman" w:eastAsiaTheme="minorEastAsia"/>
                <w:sz w:val="21"/>
                <w:szCs w:val="21"/>
              </w:rPr>
              <w:t>活性炭需定期更换</w:t>
            </w:r>
          </w:p>
        </w:tc>
        <w:tc>
          <w:tcPr>
            <w:tcW w:w="2141"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hint="eastAsia" w:eastAsiaTheme="minorEastAsia"/>
                <w:sz w:val="21"/>
                <w:szCs w:val="21"/>
              </w:rPr>
              <w:t>①</w:t>
            </w:r>
            <w:r>
              <w:rPr>
                <w:rFonts w:cs="Times New Roman" w:eastAsiaTheme="minorEastAsia"/>
                <w:sz w:val="21"/>
                <w:szCs w:val="21"/>
              </w:rPr>
              <w:t>较为成熟工艺；</w:t>
            </w:r>
            <w:r>
              <w:rPr>
                <w:rFonts w:hint="eastAsia" w:eastAsiaTheme="minorEastAsia"/>
                <w:sz w:val="21"/>
                <w:szCs w:val="21"/>
              </w:rPr>
              <w:t>②</w:t>
            </w:r>
            <w:r>
              <w:rPr>
                <w:rFonts w:cs="Times New Roman" w:eastAsiaTheme="minorEastAsia"/>
                <w:sz w:val="21"/>
                <w:szCs w:val="21"/>
              </w:rPr>
              <w:t>废气浓度不高于10000mg/m³</w:t>
            </w:r>
            <w:r>
              <w:rPr>
                <w:rFonts w:hint="eastAsia" w:eastAsiaTheme="minorEastAsia"/>
                <w:sz w:val="21"/>
                <w:szCs w:val="21"/>
              </w:rPr>
              <w:t>③</w:t>
            </w:r>
            <w:r>
              <w:rPr>
                <w:rFonts w:cs="Times New Roman" w:eastAsiaTheme="minorEastAsia"/>
                <w:sz w:val="21"/>
                <w:szCs w:val="21"/>
              </w:rPr>
              <w:t>废气浓度较低时运行废气较高（耗电量）</w:t>
            </w:r>
          </w:p>
        </w:tc>
        <w:tc>
          <w:tcPr>
            <w:tcW w:w="1843"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hint="eastAsia" w:eastAsiaTheme="minorEastAsia"/>
                <w:sz w:val="21"/>
                <w:szCs w:val="21"/>
              </w:rPr>
              <w:t>①</w:t>
            </w:r>
            <w:r>
              <w:rPr>
                <w:rFonts w:cs="Times New Roman" w:eastAsiaTheme="minorEastAsia"/>
                <w:sz w:val="21"/>
                <w:szCs w:val="21"/>
              </w:rPr>
              <w:t>较为成熟工艺；</w:t>
            </w:r>
            <w:r>
              <w:rPr>
                <w:rFonts w:hint="eastAsia" w:eastAsiaTheme="minorEastAsia"/>
                <w:sz w:val="21"/>
                <w:szCs w:val="21"/>
              </w:rPr>
              <w:t>②</w:t>
            </w:r>
            <w:r>
              <w:rPr>
                <w:rFonts w:cs="Times New Roman" w:eastAsiaTheme="minorEastAsia"/>
                <w:sz w:val="21"/>
                <w:szCs w:val="21"/>
              </w:rPr>
              <w:t>废气浓度不高于4000mg/m³</w:t>
            </w:r>
            <w:r>
              <w:rPr>
                <w:rFonts w:hint="eastAsia" w:eastAsiaTheme="minorEastAsia"/>
                <w:sz w:val="21"/>
                <w:szCs w:val="21"/>
              </w:rPr>
              <w:t>③</w:t>
            </w:r>
            <w:r>
              <w:rPr>
                <w:rFonts w:cs="Times New Roman" w:eastAsiaTheme="minorEastAsia"/>
                <w:sz w:val="21"/>
                <w:szCs w:val="21"/>
              </w:rPr>
              <w:t>废气浓度较低时运行废气较高（耗气量）</w:t>
            </w:r>
          </w:p>
        </w:tc>
        <w:tc>
          <w:tcPr>
            <w:tcW w:w="1672" w:type="dxa"/>
            <w:tcBorders>
              <w:tl2br w:val="nil"/>
              <w:tr2bl w:val="nil"/>
            </w:tcBorders>
            <w:vAlign w:val="center"/>
          </w:tcPr>
          <w:p>
            <w:pPr>
              <w:spacing w:line="240" w:lineRule="auto"/>
              <w:ind w:firstLine="0" w:firstLineChars="0"/>
              <w:jc w:val="center"/>
              <w:rPr>
                <w:rFonts w:cs="Times New Roman" w:eastAsiaTheme="minorEastAsia"/>
                <w:sz w:val="21"/>
                <w:szCs w:val="21"/>
              </w:rPr>
            </w:pPr>
            <w:r>
              <w:rPr>
                <w:rFonts w:hint="eastAsia" w:eastAsiaTheme="minorEastAsia"/>
                <w:sz w:val="21"/>
                <w:szCs w:val="21"/>
              </w:rPr>
              <w:t>①</w:t>
            </w:r>
            <w:r>
              <w:rPr>
                <w:rFonts w:cs="Times New Roman" w:eastAsiaTheme="minorEastAsia"/>
                <w:sz w:val="21"/>
                <w:szCs w:val="21"/>
              </w:rPr>
              <w:t>较为成熟工艺；</w:t>
            </w:r>
            <w:r>
              <w:rPr>
                <w:rFonts w:hint="eastAsia" w:eastAsiaTheme="minorEastAsia"/>
                <w:sz w:val="21"/>
                <w:szCs w:val="21"/>
              </w:rPr>
              <w:t>②</w:t>
            </w:r>
            <w:r>
              <w:rPr>
                <w:rFonts w:cs="Times New Roman" w:eastAsiaTheme="minorEastAsia"/>
                <w:sz w:val="21"/>
                <w:szCs w:val="21"/>
              </w:rPr>
              <w:t>微生物培养周期较长，并且需要定期加入营养液；</w:t>
            </w:r>
            <w:r>
              <w:rPr>
                <w:rFonts w:hint="eastAsia" w:eastAsiaTheme="minorEastAsia"/>
                <w:sz w:val="21"/>
                <w:szCs w:val="21"/>
              </w:rPr>
              <w:t>③</w:t>
            </w:r>
            <w:r>
              <w:rPr>
                <w:rFonts w:cs="Times New Roman" w:eastAsiaTheme="minorEastAsia"/>
                <w:sz w:val="21"/>
                <w:szCs w:val="21"/>
              </w:rPr>
              <w:t>容易产生污泥</w:t>
            </w:r>
          </w:p>
        </w:tc>
        <w:tc>
          <w:tcPr>
            <w:tcW w:w="1886" w:type="dxa"/>
            <w:tcBorders>
              <w:right w:val="single" w:color="auto" w:sz="4" w:space="0"/>
              <w:tl2br w:val="nil"/>
              <w:tr2bl w:val="nil"/>
            </w:tcBorders>
            <w:vAlign w:val="center"/>
          </w:tcPr>
          <w:p>
            <w:pPr>
              <w:spacing w:line="240" w:lineRule="auto"/>
              <w:ind w:firstLine="0" w:firstLineChars="0"/>
              <w:jc w:val="center"/>
              <w:rPr>
                <w:rFonts w:cs="Times New Roman" w:eastAsiaTheme="minorEastAsia"/>
                <w:sz w:val="21"/>
                <w:szCs w:val="21"/>
              </w:rPr>
            </w:pPr>
            <w:r>
              <w:rPr>
                <w:rFonts w:hint="eastAsia" w:eastAsiaTheme="minorEastAsia"/>
                <w:sz w:val="21"/>
                <w:szCs w:val="21"/>
              </w:rPr>
              <w:t>①</w:t>
            </w:r>
            <w:r>
              <w:rPr>
                <w:rFonts w:cs="Times New Roman" w:eastAsiaTheme="minorEastAsia"/>
                <w:sz w:val="21"/>
                <w:szCs w:val="21"/>
              </w:rPr>
              <w:t>目前还处在研究开发阶段，性能的可靠性和稳定性有待进一步考察</w:t>
            </w:r>
          </w:p>
          <w:p>
            <w:pPr>
              <w:spacing w:line="240" w:lineRule="auto"/>
              <w:ind w:firstLine="0" w:firstLineChars="0"/>
              <w:jc w:val="center"/>
              <w:rPr>
                <w:rFonts w:cs="Times New Roman" w:eastAsiaTheme="minorEastAsia"/>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00" w:hRule="atLeast"/>
        </w:trPr>
        <w:tc>
          <w:tcPr>
            <w:tcW w:w="851" w:type="dxa"/>
            <w:tcBorders>
              <w:left w:val="single" w:color="auto" w:sz="4" w:space="0"/>
              <w:tl2br w:val="nil"/>
              <w:tr2bl w:val="nil"/>
            </w:tcBorders>
            <w:vAlign w:val="center"/>
          </w:tcPr>
          <w:p>
            <w:pPr>
              <w:spacing w:line="240" w:lineRule="auto"/>
              <w:ind w:firstLine="0" w:firstLineChars="0"/>
              <w:jc w:val="center"/>
              <w:rPr>
                <w:rFonts w:cs="Times New Roman" w:eastAsiaTheme="minorEastAsia"/>
                <w:b/>
                <w:sz w:val="21"/>
                <w:szCs w:val="21"/>
              </w:rPr>
            </w:pPr>
            <w:r>
              <w:rPr>
                <w:rFonts w:hint="eastAsia" w:cs="Times New Roman" w:eastAsiaTheme="minorEastAsia"/>
                <w:b/>
                <w:sz w:val="21"/>
                <w:szCs w:val="21"/>
              </w:rPr>
              <w:t>对本项目的适用性</w:t>
            </w:r>
          </w:p>
        </w:tc>
        <w:tc>
          <w:tcPr>
            <w:tcW w:w="2126" w:type="dxa"/>
            <w:tcBorders>
              <w:tl2br w:val="nil"/>
              <w:tr2bl w:val="nil"/>
            </w:tcBorders>
            <w:vAlign w:val="center"/>
          </w:tcPr>
          <w:p>
            <w:pPr>
              <w:spacing w:line="240" w:lineRule="auto"/>
              <w:ind w:firstLine="0" w:firstLineChars="0"/>
              <w:jc w:val="center"/>
              <w:rPr>
                <w:rFonts w:eastAsiaTheme="minorEastAsia"/>
                <w:sz w:val="21"/>
                <w:szCs w:val="21"/>
              </w:rPr>
            </w:pPr>
            <w:r>
              <w:rPr>
                <w:rFonts w:hint="eastAsia" w:eastAsiaTheme="minorEastAsia"/>
                <w:sz w:val="21"/>
                <w:szCs w:val="21"/>
              </w:rPr>
              <w:t>不适用，产生的废活性炭属于危险废物，加大运营的管理难度</w:t>
            </w:r>
          </w:p>
        </w:tc>
        <w:tc>
          <w:tcPr>
            <w:tcW w:w="1644" w:type="dxa"/>
            <w:tcBorders>
              <w:tl2br w:val="nil"/>
              <w:tr2bl w:val="nil"/>
            </w:tcBorders>
            <w:vAlign w:val="center"/>
          </w:tcPr>
          <w:p>
            <w:pPr>
              <w:spacing w:line="240" w:lineRule="auto"/>
              <w:ind w:firstLine="0" w:firstLineChars="0"/>
              <w:jc w:val="center"/>
              <w:rPr>
                <w:rFonts w:eastAsiaTheme="minorEastAsia"/>
                <w:sz w:val="21"/>
                <w:szCs w:val="21"/>
              </w:rPr>
            </w:pPr>
            <w:r>
              <w:rPr>
                <w:rFonts w:hint="eastAsia" w:eastAsiaTheme="minorEastAsia"/>
                <w:sz w:val="21"/>
                <w:szCs w:val="21"/>
              </w:rPr>
              <w:t>适用</w:t>
            </w:r>
          </w:p>
        </w:tc>
        <w:tc>
          <w:tcPr>
            <w:tcW w:w="1885" w:type="dxa"/>
            <w:tcBorders>
              <w:tl2br w:val="nil"/>
              <w:tr2bl w:val="nil"/>
            </w:tcBorders>
            <w:vAlign w:val="center"/>
          </w:tcPr>
          <w:p>
            <w:pPr>
              <w:spacing w:line="240" w:lineRule="auto"/>
              <w:ind w:firstLine="0" w:firstLineChars="0"/>
              <w:jc w:val="center"/>
              <w:rPr>
                <w:rFonts w:eastAsiaTheme="minorEastAsia"/>
                <w:sz w:val="21"/>
                <w:szCs w:val="21"/>
              </w:rPr>
            </w:pPr>
            <w:r>
              <w:rPr>
                <w:rFonts w:hint="eastAsia" w:eastAsiaTheme="minorEastAsia"/>
                <w:sz w:val="21"/>
                <w:szCs w:val="21"/>
              </w:rPr>
              <w:t>适用，但产生的废活性炭属于危险废物，加大运营的管理难度</w:t>
            </w:r>
          </w:p>
        </w:tc>
        <w:tc>
          <w:tcPr>
            <w:tcW w:w="2141" w:type="dxa"/>
            <w:tcBorders>
              <w:tl2br w:val="nil"/>
              <w:tr2bl w:val="nil"/>
            </w:tcBorders>
            <w:vAlign w:val="center"/>
          </w:tcPr>
          <w:p>
            <w:pPr>
              <w:spacing w:line="240" w:lineRule="auto"/>
              <w:ind w:firstLine="0" w:firstLineChars="0"/>
              <w:jc w:val="center"/>
              <w:rPr>
                <w:rFonts w:eastAsiaTheme="minorEastAsia"/>
                <w:sz w:val="21"/>
                <w:szCs w:val="21"/>
              </w:rPr>
            </w:pPr>
            <w:r>
              <w:rPr>
                <w:rFonts w:hint="eastAsia" w:eastAsiaTheme="minorEastAsia"/>
                <w:sz w:val="21"/>
                <w:szCs w:val="21"/>
              </w:rPr>
              <w:t>不适用，项目废气浓度较低，而且存在防火安全问题</w:t>
            </w:r>
          </w:p>
        </w:tc>
        <w:tc>
          <w:tcPr>
            <w:tcW w:w="1843" w:type="dxa"/>
            <w:tcBorders>
              <w:tl2br w:val="nil"/>
              <w:tr2bl w:val="nil"/>
            </w:tcBorders>
            <w:vAlign w:val="center"/>
          </w:tcPr>
          <w:p>
            <w:pPr>
              <w:spacing w:line="240" w:lineRule="auto"/>
              <w:ind w:firstLine="0" w:firstLineChars="0"/>
              <w:jc w:val="center"/>
              <w:rPr>
                <w:rFonts w:eastAsiaTheme="minorEastAsia"/>
                <w:sz w:val="21"/>
                <w:szCs w:val="21"/>
              </w:rPr>
            </w:pPr>
            <w:r>
              <w:rPr>
                <w:rFonts w:hint="eastAsia" w:eastAsiaTheme="minorEastAsia"/>
                <w:sz w:val="21"/>
                <w:szCs w:val="21"/>
              </w:rPr>
              <w:t>不适用，项目废气浓度较低，而且存在防火安全问题</w:t>
            </w:r>
          </w:p>
        </w:tc>
        <w:tc>
          <w:tcPr>
            <w:tcW w:w="1672" w:type="dxa"/>
            <w:tcBorders>
              <w:tl2br w:val="nil"/>
              <w:tr2bl w:val="nil"/>
            </w:tcBorders>
            <w:vAlign w:val="center"/>
          </w:tcPr>
          <w:p>
            <w:pPr>
              <w:spacing w:line="240" w:lineRule="auto"/>
              <w:ind w:firstLine="0" w:firstLineChars="0"/>
              <w:jc w:val="center"/>
              <w:rPr>
                <w:rFonts w:eastAsiaTheme="minorEastAsia"/>
                <w:sz w:val="21"/>
                <w:szCs w:val="21"/>
              </w:rPr>
            </w:pPr>
            <w:r>
              <w:rPr>
                <w:rFonts w:hint="eastAsia" w:eastAsiaTheme="minorEastAsia"/>
                <w:sz w:val="21"/>
                <w:szCs w:val="21"/>
              </w:rPr>
              <w:t>不适用，生物降解速率有限，占地庞大，处理效率不高</w:t>
            </w:r>
          </w:p>
        </w:tc>
        <w:tc>
          <w:tcPr>
            <w:tcW w:w="1886" w:type="dxa"/>
            <w:tcBorders>
              <w:right w:val="single" w:color="auto" w:sz="4" w:space="0"/>
              <w:tl2br w:val="nil"/>
              <w:tr2bl w:val="nil"/>
            </w:tcBorders>
            <w:vAlign w:val="center"/>
          </w:tcPr>
          <w:p>
            <w:pPr>
              <w:spacing w:line="240" w:lineRule="auto"/>
              <w:ind w:firstLine="0" w:firstLineChars="0"/>
              <w:jc w:val="center"/>
              <w:rPr>
                <w:rFonts w:eastAsiaTheme="minorEastAsia"/>
                <w:sz w:val="21"/>
                <w:szCs w:val="21"/>
              </w:rPr>
            </w:pPr>
            <w:r>
              <w:rPr>
                <w:rFonts w:hint="eastAsia" w:eastAsiaTheme="minorEastAsia"/>
                <w:sz w:val="21"/>
                <w:szCs w:val="21"/>
              </w:rPr>
              <w:t>不适用，处理效率不稳定，技术不成熟</w:t>
            </w:r>
          </w:p>
        </w:tc>
      </w:tr>
    </w:tbl>
    <w:p>
      <w:pPr>
        <w:ind w:firstLine="480"/>
      </w:pPr>
    </w:p>
    <w:p>
      <w:pPr>
        <w:ind w:firstLine="0" w:firstLineChars="0"/>
        <w:rPr>
          <w:rFonts w:eastAsiaTheme="minorEastAsia"/>
        </w:rPr>
      </w:pPr>
    </w:p>
    <w:p>
      <w:pPr>
        <w:ind w:firstLine="480"/>
        <w:rPr>
          <w:rFonts w:eastAsiaTheme="minorEastAsia"/>
        </w:rPr>
        <w:sectPr>
          <w:pgSz w:w="16838" w:h="11906" w:orient="landscape"/>
          <w:pgMar w:top="1418" w:right="1418" w:bottom="1418" w:left="1418" w:header="851" w:footer="992" w:gutter="0"/>
          <w:cols w:space="0" w:num="1"/>
          <w:docGrid w:type="lines" w:linePitch="336" w:charSpace="0"/>
        </w:sectPr>
      </w:pPr>
    </w:p>
    <w:p>
      <w:pPr>
        <w:ind w:firstLine="480"/>
      </w:pPr>
      <w:r>
        <w:rPr>
          <w:rFonts w:hint="eastAsia"/>
        </w:rPr>
        <w:t>由上表可知，几种方法各有优缺点，适用于不同情况。由于活性炭吸附技术相对简单、有效，使其成为回收有机气体的首选技术。根据工程分析，本项目产生的有机废气的浓度较低，不宜被生物降解，燃烧效率差，因此不宜采用生物法和燃烧法处理。低温等离子法会产生安全隐患。结合工程的实际情况，考虑去除效率、运行费用等，建议项目采用“UV光解+活性炭吸附”工艺处理有机废气。</w:t>
      </w:r>
    </w:p>
    <w:p>
      <w:pPr>
        <w:ind w:firstLine="480"/>
      </w:pPr>
      <w:r>
        <w:rPr>
          <w:rFonts w:hint="eastAsia" w:eastAsiaTheme="minorEastAsia"/>
        </w:rPr>
        <w:t>若仅采用一种处理方法，不能稳定确保废气的达标排放。因此，本项目拟设计采用的有机废气治理措施以U</w:t>
      </w:r>
      <w:r>
        <w:rPr>
          <w:rFonts w:eastAsiaTheme="minorEastAsia"/>
        </w:rPr>
        <w:t>V</w:t>
      </w:r>
      <w:r>
        <w:rPr>
          <w:rFonts w:hint="eastAsia" w:eastAsiaTheme="minorEastAsia"/>
        </w:rPr>
        <w:t>光解为主，以活性炭吸附装置为辅。活性炭吸附装置主要用于吸附UV光解未完全处理的微量有机废气，进一步减少有机废气的排放，同时可以作为UV光解吸附装置设备故障的一个保证措施。</w:t>
      </w:r>
    </w:p>
    <w:p>
      <w:pPr>
        <w:ind w:firstLine="480"/>
        <w:rPr>
          <w:rStyle w:val="63"/>
        </w:rPr>
      </w:pPr>
      <w:r>
        <w:rPr>
          <w:rFonts w:hint="eastAsia"/>
        </w:rPr>
        <w:t>根据工艺流程分析可知，生产过程的工艺废气主要来源于</w:t>
      </w:r>
      <w:r>
        <w:rPr>
          <w:rStyle w:val="63"/>
          <w:rFonts w:hint="eastAsia"/>
          <w:color w:val="auto"/>
        </w:rPr>
        <w:t>配料、投料工序产生的颗粒物；</w:t>
      </w:r>
      <w:r>
        <w:rPr>
          <w:rFonts w:hint="eastAsia"/>
        </w:rPr>
        <w:t>密炼工序产生的非甲烷总烃、颗粒物、硫化氢；开炼工序产生的非甲烷总烃、硫化氢；硫化成型工序产生的非甲烷总烃和硫化氢</w:t>
      </w:r>
      <w:r>
        <w:rPr>
          <w:rStyle w:val="63"/>
          <w:rFonts w:hint="eastAsia"/>
        </w:rPr>
        <w:t>。</w:t>
      </w:r>
    </w:p>
    <w:p>
      <w:pPr>
        <w:ind w:firstLine="480"/>
      </w:pPr>
      <w:r>
        <w:rPr>
          <w:rFonts w:hint="eastAsia"/>
        </w:rPr>
        <w:t>根据对各种废气处理方法分析，结合本项目废气的特点及现有废气处理措施，</w:t>
      </w:r>
      <w:r>
        <w:rPr>
          <w:rStyle w:val="63"/>
          <w:rFonts w:hint="eastAsia"/>
          <w:color w:val="auto"/>
        </w:rPr>
        <w:t>确定项目密炼围蔽区废气（含配料及投料粉尘、密炼废气）、开炼废气、硫化废气均采用“UV 光解+活性炭吸附”工艺进行处理，同时由于密炼围蔽区域产生的废气既含有颗粒物又含有有机废气，可通过袋式除尘器处理后再并入废气总管与其他工序有机废气一同处理。考虑到项目粉尘产生量较多，可能影响后续废气处理工艺，采取水喷淋装置对有机废气进行预处理。</w:t>
      </w:r>
      <w:r>
        <w:rPr>
          <w:rFonts w:hint="eastAsia"/>
        </w:rPr>
        <w:t>本项目拟采取的废气工艺如</w:t>
      </w:r>
      <w:r>
        <w:fldChar w:fldCharType="begin"/>
      </w:r>
      <w:r>
        <w:instrText xml:space="preserve"> </w:instrText>
      </w:r>
      <w:r>
        <w:rPr>
          <w:rFonts w:hint="eastAsia"/>
        </w:rPr>
        <w:instrText xml:space="preserve">REF _Ref3421608 \h</w:instrText>
      </w:r>
      <w:r>
        <w:instrText xml:space="preserve"> </w:instrText>
      </w:r>
      <w:r>
        <w:fldChar w:fldCharType="separate"/>
      </w:r>
      <w:r>
        <w:rPr>
          <w:rStyle w:val="63"/>
          <w:rFonts w:hint="eastAsia"/>
          <w:color w:val="auto"/>
        </w:rPr>
        <w:t xml:space="preserve">图 </w:t>
      </w:r>
      <w:r>
        <w:rPr>
          <w:rStyle w:val="63"/>
          <w:color w:val="auto"/>
        </w:rPr>
        <w:t>5.2</w:t>
      </w:r>
      <w:r>
        <w:rPr>
          <w:rStyle w:val="63"/>
          <w:color w:val="auto"/>
        </w:rPr>
        <w:noBreakHyphen/>
      </w:r>
      <w:r>
        <w:rPr>
          <w:rStyle w:val="63"/>
          <w:color w:val="auto"/>
        </w:rPr>
        <w:t>1</w:t>
      </w:r>
      <w:r>
        <w:fldChar w:fldCharType="end"/>
      </w:r>
      <w:r>
        <w:rPr>
          <w:rFonts w:hint="eastAsia"/>
        </w:rPr>
        <w:t>所示。</w:t>
      </w:r>
    </w:p>
    <w:p>
      <w:pPr>
        <w:pStyle w:val="107"/>
        <w:keepNext/>
      </w:pPr>
      <w:r>
        <w:drawing>
          <wp:inline distT="0" distB="0" distL="0" distR="0">
            <wp:extent cx="5494655" cy="3917950"/>
            <wp:effectExtent l="0" t="0" r="0" b="635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93"/>
                    <a:stretch>
                      <a:fillRect/>
                    </a:stretch>
                  </pic:blipFill>
                  <pic:spPr>
                    <a:xfrm>
                      <a:off x="0" y="0"/>
                      <a:ext cx="5499083" cy="3920901"/>
                    </a:xfrm>
                    <a:prstGeom prst="rect">
                      <a:avLst/>
                    </a:prstGeom>
                  </pic:spPr>
                </pic:pic>
              </a:graphicData>
            </a:graphic>
          </wp:inline>
        </w:drawing>
      </w:r>
    </w:p>
    <w:p>
      <w:pPr>
        <w:pStyle w:val="107"/>
        <w:keepNext/>
      </w:pPr>
    </w:p>
    <w:p>
      <w:pPr>
        <w:pStyle w:val="18"/>
        <w:rPr>
          <w:rStyle w:val="63"/>
          <w:color w:val="000000" w:themeColor="text1"/>
          <w14:textFill>
            <w14:solidFill>
              <w14:schemeClr w14:val="tx1"/>
            </w14:solidFill>
          </w14:textFill>
        </w:rPr>
      </w:pPr>
      <w:bookmarkStart w:id="602" w:name="_Ref3421608"/>
      <w:r>
        <w:rPr>
          <w:rStyle w:val="63"/>
          <w:rFonts w:hint="eastAsia"/>
          <w:color w:val="000000" w:themeColor="text1"/>
          <w14:textFill>
            <w14:solidFill>
              <w14:schemeClr w14:val="tx1"/>
            </w14:solidFill>
          </w14:textFill>
        </w:rPr>
        <w:t xml:space="preserve">图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5.2</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图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1</w:t>
      </w:r>
      <w:r>
        <w:rPr>
          <w:rStyle w:val="63"/>
          <w:color w:val="000000" w:themeColor="text1"/>
          <w14:textFill>
            <w14:solidFill>
              <w14:schemeClr w14:val="tx1"/>
            </w14:solidFill>
          </w14:textFill>
        </w:rPr>
        <w:fldChar w:fldCharType="end"/>
      </w:r>
      <w:bookmarkEnd w:id="602"/>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本项目拟采取的废气治理工艺</w:t>
      </w:r>
    </w:p>
    <w:p>
      <w:pPr>
        <w:ind w:firstLine="480"/>
      </w:pPr>
    </w:p>
    <w:p>
      <w:pPr>
        <w:pStyle w:val="5"/>
      </w:pPr>
      <w:bookmarkStart w:id="603" w:name="_Hlk3527217"/>
      <w:r>
        <w:rPr>
          <w:rFonts w:hint="eastAsia"/>
        </w:rPr>
        <w:t>废气处理措施技术可行性分析</w:t>
      </w:r>
    </w:p>
    <w:bookmarkEnd w:id="603"/>
    <w:p>
      <w:pPr>
        <w:pStyle w:val="126"/>
        <w:numPr>
          <w:ilvl w:val="0"/>
          <w:numId w:val="0"/>
        </w:numPr>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（1）废气收集技术可行性分析</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本项目主要采用集气罩收集的方式对配料及投料粉尘废气、密炼废气、开炼废气、硫化废气进行收集，总设计风量为</w:t>
      </w: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000m</w:t>
      </w:r>
      <w:r>
        <w:rPr>
          <w:rStyle w:val="63"/>
          <w:rFonts w:hint="eastAsia"/>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/h。集气罩设置在废气产生的工位、设备上方等位置，采用伞型集气罩，可有效收集废气。</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建设单位拟将配料工序移至密炼机旁进行，对配料、密炼工序进行局部围蔽处理，解包、配料操作区上方设移动式集气罩，密炼机为密闭式的设备，密炼室内设有抽风系统经顶部排气管捕集密炼过程中产生的密炼废气，密炼机进、出料口设集气罩局部抽风，并对围蔽的空间进行整体负压抽风收集，总收集效率为9</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%左右。围蔽空间长约1</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m，宽约1</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m，高约</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m，生产时闭合门窗，形成一个相对独立的空间。收集后的废气通过袋式除尘器除尘处理后，再与开炼废气、硫化废气一同引至同一套“喷淋塔+</w:t>
      </w:r>
      <w:r>
        <w:rPr>
          <w:rStyle w:val="63"/>
          <w:color w:val="000000" w:themeColor="text1"/>
          <w14:textFill>
            <w14:solidFill>
              <w14:schemeClr w14:val="tx1"/>
            </w14:solidFill>
          </w14:textFill>
        </w:rPr>
        <w:t>UV</w:t>
      </w:r>
      <w:r>
        <w:rPr>
          <w:rStyle w:val="63"/>
          <w:rFonts w:hint="eastAsia"/>
          <w:color w:val="000000" w:themeColor="text1"/>
          <w14:textFill>
            <w14:solidFill>
              <w14:schemeClr w14:val="tx1"/>
            </w14:solidFill>
          </w14:textFill>
        </w:rPr>
        <w:t>光解+活性炭吸附”净化装置处理，最终由1</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m高的排气筒（P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）排放。</w:t>
      </w:r>
    </w:p>
    <w:p>
      <w:pPr>
        <w:pStyle w:val="162"/>
        <w:numPr>
          <w:ilvl w:val="0"/>
          <w:numId w:val="0"/>
        </w:numPr>
        <w:jc w:val="both"/>
        <w:rPr>
          <w:rStyle w:val="63"/>
          <w:color w:val="000000" w:themeColor="text1"/>
          <w14:textFill>
            <w14:solidFill>
              <w14:schemeClr w14:val="tx1"/>
            </w14:solidFill>
          </w14:textFill>
        </w:rPr>
      </w:pPr>
      <w:r>
        <w:rPr>
          <w:rStyle w:val="63"/>
          <w:rFonts w:hint="eastAsia" w:ascii="宋体" w:hAnsi="宋体"/>
          <w:color w:val="000000" w:themeColor="text1"/>
          <w14:textFill>
            <w14:solidFill>
              <w14:schemeClr w14:val="tx1"/>
            </w14:solidFill>
          </w14:textFill>
        </w:rPr>
        <w:t>①</w:t>
      </w:r>
      <w:r>
        <w:rPr>
          <w:rStyle w:val="63"/>
          <w:rFonts w:hint="eastAsia"/>
          <w:color w:val="000000" w:themeColor="text1"/>
          <w14:textFill>
            <w14:solidFill>
              <w14:schemeClr w14:val="tx1"/>
            </w14:solidFill>
          </w14:textFill>
        </w:rPr>
        <w:t>配料、投料、密炼废气收集措施</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项目在配料、投料过程中会产生粉尘，密炼过程会产生一定的粉尘和炼胶废气，采取“局部收集+整体负压抽风”的方式，具体的收集措施如下：</w:t>
      </w:r>
    </w:p>
    <w:p>
      <w:pPr>
        <w:pStyle w:val="127"/>
        <w:numPr>
          <w:ilvl w:val="0"/>
          <w:numId w:val="65"/>
        </w:numPr>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局部收集：针对污染源收集，项目密炼机工作时为封闭结构，只有在投卸料时才会打开进料口、卸料口，目前项目密炼机顶部排气管设置收集管，密炼室内的废气经管道收集，抽排气系统直接与废气抽吸管道相连，无缝连接，可达负压抽吸出气口设置了收集管，收集效率8</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，同时拟在配料操作区、密炼机投料口及卸料口上方设置伞形集气罩，集气罩的形式见下图。</w:t>
      </w:r>
    </w:p>
    <w:p>
      <w:pPr>
        <w:pStyle w:val="107"/>
        <w:keepNext/>
        <w:rPr>
          <w:rStyle w:val="63"/>
        </w:rPr>
      </w:pPr>
      <w:r>
        <w:rPr>
          <w:rStyle w:val="63"/>
        </w:rPr>
        <w:drawing>
          <wp:inline distT="0" distB="0" distL="0" distR="0">
            <wp:extent cx="2295525" cy="2038350"/>
            <wp:effectExtent l="0" t="0" r="9525" b="0"/>
            <wp:docPr id="8" name="图片 8" descr="集气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集气罩"/>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2295525" cy="2038350"/>
                    </a:xfrm>
                    <a:prstGeom prst="rect">
                      <a:avLst/>
                    </a:prstGeom>
                    <a:noFill/>
                    <a:ln>
                      <a:noFill/>
                    </a:ln>
                  </pic:spPr>
                </pic:pic>
              </a:graphicData>
            </a:graphic>
          </wp:inline>
        </w:drawing>
      </w:r>
    </w:p>
    <w:p>
      <w:pPr>
        <w:pStyle w:val="18"/>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图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5.2</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图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w:t>
      </w:r>
      <w:r>
        <w:rPr>
          <w:rStyle w:val="63"/>
          <w:color w:val="000000" w:themeColor="text1"/>
          <w14:textFill>
            <w14:solidFill>
              <w14:schemeClr w14:val="tx1"/>
            </w14:solidFill>
          </w14:textFill>
        </w:rPr>
        <w:fldChar w:fldCharType="end"/>
      </w:r>
      <w:r>
        <w:rPr>
          <w:rStyle w:val="63"/>
          <w:rFonts w:hint="eastAsia"/>
          <w:color w:val="000000" w:themeColor="text1"/>
          <w14:textFill>
            <w14:solidFill>
              <w14:schemeClr w14:val="tx1"/>
            </w14:solidFill>
          </w14:textFill>
        </w:rPr>
        <w:t xml:space="preserve"> 上部伞形集气罩示意图</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本项目集气罩均采用上部伞形集气罩，且两侧设有围挡，根据《废气处理工程技术手册》（化学工业出版社），两侧设有围挡时集气罩的排气量计算如下：</w:t>
      </w:r>
    </w:p>
    <w:p>
      <w:pPr>
        <w:ind w:firstLine="480"/>
        <w:jc w:val="center"/>
        <w:rPr>
          <w:rStyle w:val="63"/>
          <w:color w:val="000000" w:themeColor="text1"/>
          <w14:textFill>
            <w14:solidFill>
              <w14:schemeClr w14:val="tx1"/>
            </w14:solidFill>
          </w14:textFill>
        </w:rPr>
      </w:pPr>
      <w:r>
        <w:rPr>
          <w:rStyle w:val="63"/>
          <w:color w:val="000000" w:themeColor="text1"/>
          <w14:textFill>
            <w14:solidFill>
              <w14:schemeClr w14:val="tx1"/>
            </w14:solidFill>
          </w14:textFill>
        </w:rPr>
        <w:t>Q=</w:t>
      </w:r>
      <w:r>
        <w:rPr>
          <w:rStyle w:val="63"/>
          <w:rFonts w:hint="eastAsia"/>
          <w:color w:val="000000" w:themeColor="text1"/>
          <w14:textFill>
            <w14:solidFill>
              <w14:schemeClr w14:val="tx1"/>
            </w14:solidFill>
          </w14:textFill>
        </w:rPr>
        <w:t>（</w:t>
      </w:r>
      <w:r>
        <w:rPr>
          <w:rStyle w:val="63"/>
          <w:color w:val="000000" w:themeColor="text1"/>
          <w14:textFill>
            <w14:solidFill>
              <w14:schemeClr w14:val="tx1"/>
            </w14:solidFill>
          </w14:textFill>
        </w:rPr>
        <w:t>W+B</w:t>
      </w:r>
      <w:r>
        <w:rPr>
          <w:rStyle w:val="63"/>
          <w:rFonts w:hint="eastAsia"/>
          <w:color w:val="000000" w:themeColor="text1"/>
          <w14:textFill>
            <w14:solidFill>
              <w14:schemeClr w14:val="tx1"/>
            </w14:solidFill>
          </w14:textFill>
        </w:rPr>
        <w:t>）</w:t>
      </w:r>
      <w:r>
        <w:rPr>
          <w:rStyle w:val="63"/>
          <w:color w:val="000000" w:themeColor="text1"/>
          <w14:textFill>
            <w14:solidFill>
              <w14:schemeClr w14:val="tx1"/>
            </w14:solidFill>
          </w14:textFill>
        </w:rPr>
        <w:t>HVx</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式中</w:t>
      </w:r>
      <w:r>
        <w:rPr>
          <w:rStyle w:val="63"/>
          <w:color w:val="000000" w:themeColor="text1"/>
          <w14:textFill>
            <w14:solidFill>
              <w14:schemeClr w14:val="tx1"/>
            </w14:solidFill>
          </w14:textFill>
        </w:rPr>
        <w:t>Q</w:t>
      </w:r>
      <w:r>
        <w:rPr>
          <w:rStyle w:val="63"/>
          <w:rFonts w:hint="eastAsia"/>
          <w:color w:val="000000" w:themeColor="text1"/>
          <w14:textFill>
            <w14:solidFill>
              <w14:schemeClr w14:val="tx1"/>
            </w14:solidFill>
          </w14:textFill>
        </w:rPr>
        <w:t>为排气量，</w:t>
      </w:r>
      <w:r>
        <w:rPr>
          <w:rStyle w:val="63"/>
          <w:color w:val="000000" w:themeColor="text1"/>
          <w14:textFill>
            <w14:solidFill>
              <w14:schemeClr w14:val="tx1"/>
            </w14:solidFill>
          </w14:textFill>
        </w:rPr>
        <w:t>m</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/s</w:t>
      </w:r>
      <w:r>
        <w:rPr>
          <w:rStyle w:val="63"/>
          <w:rFonts w:hint="eastAsia"/>
          <w:color w:val="000000" w:themeColor="text1"/>
          <w14:textFill>
            <w14:solidFill>
              <w14:schemeClr w14:val="tx1"/>
            </w14:solidFill>
          </w14:textFill>
        </w:rPr>
        <w:t>；</w:t>
      </w:r>
      <w:r>
        <w:rPr>
          <w:rStyle w:val="63"/>
          <w:color w:val="000000" w:themeColor="text1"/>
          <w14:textFill>
            <w14:solidFill>
              <w14:schemeClr w14:val="tx1"/>
            </w14:solidFill>
          </w14:textFill>
        </w:rPr>
        <w:t>W</w:t>
      </w:r>
      <w:r>
        <w:rPr>
          <w:rStyle w:val="63"/>
          <w:rFonts w:hint="eastAsia"/>
          <w:color w:val="000000" w:themeColor="text1"/>
          <w14:textFill>
            <w14:solidFill>
              <w14:schemeClr w14:val="tx1"/>
            </w14:solidFill>
          </w14:textFill>
        </w:rPr>
        <w:t>为罩口长度，</w:t>
      </w:r>
      <w:r>
        <w:rPr>
          <w:rStyle w:val="63"/>
          <w:color w:val="000000" w:themeColor="text1"/>
          <w14:textFill>
            <w14:solidFill>
              <w14:schemeClr w14:val="tx1"/>
            </w14:solidFill>
          </w14:textFill>
        </w:rPr>
        <w:t>m</w:t>
      </w:r>
      <w:r>
        <w:rPr>
          <w:rStyle w:val="63"/>
          <w:rFonts w:hint="eastAsia"/>
          <w:color w:val="000000" w:themeColor="text1"/>
          <w14:textFill>
            <w14:solidFill>
              <w14:schemeClr w14:val="tx1"/>
            </w14:solidFill>
          </w14:textFill>
        </w:rPr>
        <w:t>；</w:t>
      </w:r>
      <w:r>
        <w:rPr>
          <w:rStyle w:val="63"/>
          <w:color w:val="000000" w:themeColor="text1"/>
          <w14:textFill>
            <w14:solidFill>
              <w14:schemeClr w14:val="tx1"/>
            </w14:solidFill>
          </w14:textFill>
        </w:rPr>
        <w:t>B</w:t>
      </w:r>
      <w:r>
        <w:rPr>
          <w:rStyle w:val="63"/>
          <w:rFonts w:hint="eastAsia"/>
          <w:color w:val="000000" w:themeColor="text1"/>
          <w14:textFill>
            <w14:solidFill>
              <w14:schemeClr w14:val="tx1"/>
            </w14:solidFill>
          </w14:textFill>
        </w:rPr>
        <w:t>为罩口宽度，</w:t>
      </w:r>
      <w:r>
        <w:rPr>
          <w:rStyle w:val="63"/>
          <w:color w:val="000000" w:themeColor="text1"/>
          <w14:textFill>
            <w14:solidFill>
              <w14:schemeClr w14:val="tx1"/>
            </w14:solidFill>
          </w14:textFill>
        </w:rPr>
        <w:t>m</w:t>
      </w:r>
      <w:r>
        <w:rPr>
          <w:rStyle w:val="63"/>
          <w:rFonts w:hint="eastAsia"/>
          <w:color w:val="000000" w:themeColor="text1"/>
          <w14:textFill>
            <w14:solidFill>
              <w14:schemeClr w14:val="tx1"/>
            </w14:solidFill>
          </w14:textFill>
        </w:rPr>
        <w:t>；</w:t>
      </w:r>
      <w:r>
        <w:rPr>
          <w:rStyle w:val="63"/>
          <w:color w:val="000000" w:themeColor="text1"/>
          <w14:textFill>
            <w14:solidFill>
              <w14:schemeClr w14:val="tx1"/>
            </w14:solidFill>
          </w14:textFill>
        </w:rPr>
        <w:t>H</w:t>
      </w:r>
      <w:r>
        <w:rPr>
          <w:rStyle w:val="63"/>
          <w:rFonts w:hint="eastAsia"/>
          <w:color w:val="000000" w:themeColor="text1"/>
          <w14:textFill>
            <w14:solidFill>
              <w14:schemeClr w14:val="tx1"/>
            </w14:solidFill>
          </w14:textFill>
        </w:rPr>
        <w:t>为罩口距污染源的距离，</w:t>
      </w:r>
      <w:r>
        <w:rPr>
          <w:rStyle w:val="63"/>
          <w:color w:val="000000" w:themeColor="text1"/>
          <w14:textFill>
            <w14:solidFill>
              <w14:schemeClr w14:val="tx1"/>
            </w14:solidFill>
          </w14:textFill>
        </w:rPr>
        <w:t>m</w:t>
      </w:r>
      <w:r>
        <w:rPr>
          <w:rStyle w:val="63"/>
          <w:rFonts w:hint="eastAsia"/>
          <w:color w:val="000000" w:themeColor="text1"/>
          <w14:textFill>
            <w14:solidFill>
              <w14:schemeClr w14:val="tx1"/>
            </w14:solidFill>
          </w14:textFill>
        </w:rPr>
        <w:t>；</w:t>
      </w:r>
      <w:r>
        <w:rPr>
          <w:rStyle w:val="63"/>
          <w:color w:val="000000" w:themeColor="text1"/>
          <w14:textFill>
            <w14:solidFill>
              <w14:schemeClr w14:val="tx1"/>
            </w14:solidFill>
          </w14:textFill>
        </w:rPr>
        <w:t>Vx</w:t>
      </w:r>
      <w:r>
        <w:rPr>
          <w:rStyle w:val="63"/>
          <w:rFonts w:hint="eastAsia"/>
          <w:color w:val="000000" w:themeColor="text1"/>
          <w14:textFill>
            <w14:solidFill>
              <w14:schemeClr w14:val="tx1"/>
            </w14:solidFill>
          </w14:textFill>
        </w:rPr>
        <w:t>为吸入速度，</w:t>
      </w:r>
      <w:r>
        <w:rPr>
          <w:rStyle w:val="63"/>
          <w:color w:val="000000" w:themeColor="text1"/>
          <w14:textFill>
            <w14:solidFill>
              <w14:schemeClr w14:val="tx1"/>
            </w14:solidFill>
          </w14:textFill>
        </w:rPr>
        <w:t>m/s</w:t>
      </w:r>
      <w:r>
        <w:rPr>
          <w:rStyle w:val="63"/>
          <w:rFonts w:hint="eastAsia"/>
          <w:color w:val="000000" w:themeColor="text1"/>
          <w14:textFill>
            <w14:solidFill>
              <w14:schemeClr w14:val="tx1"/>
            </w14:solidFill>
          </w14:textFill>
        </w:rPr>
        <w:t>。</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为了有效收集配料和密炼过程中的有机废气，项目集气罩面积要大于敞露面积，同时集气罩的收集风速要大于0.5m/s，这样才能保证收集效率在90%以上。项目配料操作区、密炼机上方集气罩尺寸、收集风量及集气罩的收集风速情况见下表所示。</w:t>
      </w:r>
    </w:p>
    <w:p>
      <w:pPr>
        <w:pStyle w:val="18"/>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5.2</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2</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配料、密炼局部收集风量</w:t>
      </w:r>
    </w:p>
    <w:tbl>
      <w:tblPr>
        <w:tblStyle w:val="56"/>
        <w:tblW w:w="9008" w:type="dxa"/>
        <w:tblInd w:w="113" w:type="dxa"/>
        <w:tblLayout w:type="fixed"/>
        <w:tblCellMar>
          <w:top w:w="0" w:type="dxa"/>
          <w:left w:w="108" w:type="dxa"/>
          <w:bottom w:w="0" w:type="dxa"/>
          <w:right w:w="108" w:type="dxa"/>
        </w:tblCellMar>
      </w:tblPr>
      <w:tblGrid>
        <w:gridCol w:w="1271"/>
        <w:gridCol w:w="991"/>
        <w:gridCol w:w="993"/>
        <w:gridCol w:w="993"/>
        <w:gridCol w:w="1843"/>
        <w:gridCol w:w="1559"/>
        <w:gridCol w:w="1342"/>
        <w:gridCol w:w="16"/>
      </w:tblGrid>
      <w:tr>
        <w:tblPrEx>
          <w:tblLayout w:type="fixed"/>
          <w:tblCellMar>
            <w:top w:w="0" w:type="dxa"/>
            <w:left w:w="108" w:type="dxa"/>
            <w:bottom w:w="0" w:type="dxa"/>
            <w:right w:w="108" w:type="dxa"/>
          </w:tblCellMar>
        </w:tblPrEx>
        <w:trPr>
          <w:gridAfter w:val="1"/>
          <w:wAfter w:w="16" w:type="dxa"/>
          <w:trHeight w:val="330" w:hRule="atLeast"/>
        </w:trPr>
        <w:tc>
          <w:tcPr>
            <w:tcW w:w="127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设备名称</w:t>
            </w:r>
          </w:p>
        </w:tc>
        <w:tc>
          <w:tcPr>
            <w:tcW w:w="991"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数量(台)</w:t>
            </w:r>
          </w:p>
        </w:tc>
        <w:tc>
          <w:tcPr>
            <w:tcW w:w="993"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长度</w:t>
            </w:r>
            <w:r>
              <w:rPr>
                <w:rStyle w:val="63"/>
                <w:color w:val="000000" w:themeColor="text1"/>
                <w14:textFill>
                  <w14:solidFill>
                    <w14:schemeClr w14:val="tx1"/>
                  </w14:solidFill>
                </w14:textFill>
              </w:rPr>
              <w:t>(m)</w:t>
            </w:r>
          </w:p>
        </w:tc>
        <w:tc>
          <w:tcPr>
            <w:tcW w:w="993"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宽度</w:t>
            </w:r>
            <w:r>
              <w:rPr>
                <w:rStyle w:val="63"/>
                <w:color w:val="000000" w:themeColor="text1"/>
                <w14:textFill>
                  <w14:solidFill>
                    <w14:schemeClr w14:val="tx1"/>
                  </w14:solidFill>
                </w14:textFill>
              </w:rPr>
              <w:t>(m)</w:t>
            </w:r>
          </w:p>
        </w:tc>
        <w:tc>
          <w:tcPr>
            <w:tcW w:w="1843"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与污染源距离</w:t>
            </w:r>
            <w:r>
              <w:rPr>
                <w:rStyle w:val="63"/>
                <w:color w:val="000000" w:themeColor="text1"/>
                <w14:textFill>
                  <w14:solidFill>
                    <w14:schemeClr w14:val="tx1"/>
                  </w14:solidFill>
                </w14:textFill>
              </w:rPr>
              <w:t>(m)</w:t>
            </w:r>
          </w:p>
        </w:tc>
        <w:tc>
          <w:tcPr>
            <w:tcW w:w="1559"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吸入速度</w:t>
            </w:r>
            <w:r>
              <w:rPr>
                <w:rStyle w:val="63"/>
                <w:color w:val="000000" w:themeColor="text1"/>
                <w14:textFill>
                  <w14:solidFill>
                    <w14:schemeClr w14:val="tx1"/>
                  </w14:solidFill>
                </w14:textFill>
              </w:rPr>
              <w:t>(m/s)</w:t>
            </w:r>
          </w:p>
        </w:tc>
        <w:tc>
          <w:tcPr>
            <w:tcW w:w="1342" w:type="dxa"/>
            <w:tcBorders>
              <w:top w:val="single" w:color="auto" w:sz="4" w:space="0"/>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计算风量</w:t>
            </w:r>
            <w:r>
              <w:rPr>
                <w:rStyle w:val="63"/>
                <w:color w:val="000000" w:themeColor="text1"/>
                <w14:textFill>
                  <w14:solidFill>
                    <w14:schemeClr w14:val="tx1"/>
                  </w14:solidFill>
                </w14:textFill>
              </w:rPr>
              <w:t>(m</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/h)</w:t>
            </w:r>
          </w:p>
        </w:tc>
      </w:tr>
      <w:tr>
        <w:tblPrEx>
          <w:tblLayout w:type="fixed"/>
          <w:tblCellMar>
            <w:top w:w="0" w:type="dxa"/>
            <w:left w:w="108" w:type="dxa"/>
            <w:bottom w:w="0" w:type="dxa"/>
            <w:right w:w="108" w:type="dxa"/>
          </w:tblCellMar>
        </w:tblPrEx>
        <w:trPr>
          <w:gridAfter w:val="1"/>
          <w:wAfter w:w="16" w:type="dxa"/>
          <w:trHeight w:val="285" w:hRule="atLeast"/>
        </w:trPr>
        <w:tc>
          <w:tcPr>
            <w:tcW w:w="1271"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配料操作台</w:t>
            </w:r>
          </w:p>
        </w:tc>
        <w:tc>
          <w:tcPr>
            <w:tcW w:w="99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p>
        </w:tc>
        <w:tc>
          <w:tcPr>
            <w:tcW w:w="99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0.5</w:t>
            </w:r>
          </w:p>
        </w:tc>
        <w:tc>
          <w:tcPr>
            <w:tcW w:w="99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0.6</w:t>
            </w:r>
          </w:p>
        </w:tc>
        <w:tc>
          <w:tcPr>
            <w:tcW w:w="18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0.5</w:t>
            </w:r>
          </w:p>
        </w:tc>
        <w:tc>
          <w:tcPr>
            <w:tcW w:w="15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0.4</w:t>
            </w:r>
          </w:p>
        </w:tc>
        <w:tc>
          <w:tcPr>
            <w:tcW w:w="1342"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1440</w:t>
            </w:r>
          </w:p>
        </w:tc>
      </w:tr>
      <w:tr>
        <w:tblPrEx>
          <w:tblLayout w:type="fixed"/>
          <w:tblCellMar>
            <w:top w:w="0" w:type="dxa"/>
            <w:left w:w="108" w:type="dxa"/>
            <w:bottom w:w="0" w:type="dxa"/>
            <w:right w:w="108" w:type="dxa"/>
          </w:tblCellMar>
        </w:tblPrEx>
        <w:trPr>
          <w:gridAfter w:val="1"/>
          <w:wAfter w:w="16" w:type="dxa"/>
          <w:trHeight w:val="285" w:hRule="atLeast"/>
        </w:trPr>
        <w:tc>
          <w:tcPr>
            <w:tcW w:w="1271" w:type="dxa"/>
            <w:tcBorders>
              <w:top w:val="nil"/>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密炼机</w:t>
            </w:r>
          </w:p>
        </w:tc>
        <w:tc>
          <w:tcPr>
            <w:tcW w:w="991"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w:t>
            </w:r>
          </w:p>
        </w:tc>
        <w:tc>
          <w:tcPr>
            <w:tcW w:w="99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w:t>
            </w:r>
          </w:p>
        </w:tc>
        <w:tc>
          <w:tcPr>
            <w:tcW w:w="99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0.5</w:t>
            </w:r>
          </w:p>
        </w:tc>
        <w:tc>
          <w:tcPr>
            <w:tcW w:w="1843"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0.5</w:t>
            </w:r>
          </w:p>
        </w:tc>
        <w:tc>
          <w:tcPr>
            <w:tcW w:w="1559"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0.4</w:t>
            </w:r>
          </w:p>
        </w:tc>
        <w:tc>
          <w:tcPr>
            <w:tcW w:w="1342" w:type="dxa"/>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2025</w:t>
            </w:r>
          </w:p>
        </w:tc>
      </w:tr>
      <w:tr>
        <w:tblPrEx>
          <w:tblLayout w:type="fixed"/>
          <w:tblCellMar>
            <w:top w:w="0" w:type="dxa"/>
            <w:left w:w="108" w:type="dxa"/>
            <w:bottom w:w="0" w:type="dxa"/>
            <w:right w:w="108" w:type="dxa"/>
          </w:tblCellMar>
        </w:tblPrEx>
        <w:trPr>
          <w:trHeight w:val="285" w:hRule="atLeast"/>
        </w:trPr>
        <w:tc>
          <w:tcPr>
            <w:tcW w:w="7650" w:type="dxa"/>
            <w:gridSpan w:val="6"/>
            <w:tcBorders>
              <w:top w:val="single" w:color="auto" w:sz="4" w:space="0"/>
              <w:left w:val="single" w:color="auto" w:sz="4" w:space="0"/>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合计风量</w:t>
            </w:r>
          </w:p>
        </w:tc>
        <w:tc>
          <w:tcPr>
            <w:tcW w:w="1358" w:type="dxa"/>
            <w:gridSpan w:val="2"/>
            <w:tcBorders>
              <w:top w:val="nil"/>
              <w:left w:val="nil"/>
              <w:bottom w:val="single" w:color="auto" w:sz="4" w:space="0"/>
              <w:right w:val="single" w:color="auto" w:sz="4" w:space="0"/>
            </w:tcBorders>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3465</w:t>
            </w:r>
          </w:p>
        </w:tc>
      </w:tr>
    </w:tbl>
    <w:p>
      <w:pPr>
        <w:pStyle w:val="127"/>
        <w:numPr>
          <w:ilvl w:val="0"/>
          <w:numId w:val="0"/>
        </w:numPr>
        <w:ind w:firstLine="480" w:firstLineChars="20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区域密闭负压抽风收集：对密炼区域进行围蔽设置，仅硫操作人员及物料出入口，在出入口处设置塑胶门帘及气帘门。为了保证封闭区域空气流通，且污染物得到有效的收集，因此在上述区域需设置送风系统和抽风系统。本项目抽风设计风量为4</w:t>
      </w:r>
      <w:r>
        <w:rPr>
          <w:rStyle w:val="63"/>
          <w:color w:val="000000" w:themeColor="text1"/>
          <w14:textFill>
            <w14:solidFill>
              <w14:schemeClr w14:val="tx1"/>
            </w14:solidFill>
          </w14:textFill>
        </w:rPr>
        <w:t>000 m</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/h</w:t>
      </w:r>
      <w:r>
        <w:rPr>
          <w:rStyle w:val="63"/>
          <w:rFonts w:hint="eastAsia"/>
          <w:color w:val="000000" w:themeColor="text1"/>
          <w14:textFill>
            <w14:solidFill>
              <w14:schemeClr w14:val="tx1"/>
            </w14:solidFill>
          </w14:textFill>
        </w:rPr>
        <w:t>，在抽风量大于送风量的情况下，生产区域可达到负压状态。</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因此本项目密炼围蔽区废气的设计风量为</w:t>
      </w:r>
      <w:r>
        <w:rPr>
          <w:rStyle w:val="63"/>
          <w:color w:val="000000" w:themeColor="text1"/>
          <w14:textFill>
            <w14:solidFill>
              <w14:schemeClr w14:val="tx1"/>
            </w14:solidFill>
          </w14:textFill>
        </w:rPr>
        <w:t>7</w:t>
      </w:r>
      <w:r>
        <w:rPr>
          <w:rStyle w:val="63"/>
          <w:rFonts w:hint="eastAsia"/>
          <w:color w:val="000000" w:themeColor="text1"/>
          <w14:textFill>
            <w14:solidFill>
              <w14:schemeClr w14:val="tx1"/>
            </w14:solidFill>
          </w14:textFill>
        </w:rPr>
        <w:t>000 m</w:t>
      </w:r>
      <w:r>
        <w:rPr>
          <w:rStyle w:val="63"/>
          <w:rFonts w:hint="eastAsia"/>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h是比较合适的。本项目密炼机为密闭式的设备，密炼室内设有抽风系统捕集密炼过程中产生的密炼废气，同时在投料口设置集气罩捕集投料时产生的密炼废气（粉尘），密炼废气中主要污染物颗粒物收集效率约为95%，非甲烷总烃和硫化氢在密炼室内产生，仅在打开密炼机时有部分散逸。</w:t>
      </w:r>
    </w:p>
    <w:p>
      <w:pPr>
        <w:pStyle w:val="162"/>
        <w:numPr>
          <w:ilvl w:val="0"/>
          <w:numId w:val="0"/>
        </w:numPr>
        <w:rPr>
          <w:rStyle w:val="63"/>
          <w:color w:val="000000" w:themeColor="text1"/>
          <w14:textFill>
            <w14:solidFill>
              <w14:schemeClr w14:val="tx1"/>
            </w14:solidFill>
          </w14:textFill>
        </w:rPr>
      </w:pPr>
      <w:r>
        <w:rPr>
          <w:rStyle w:val="63"/>
          <w:rFonts w:hint="eastAsia" w:ascii="宋体" w:hAnsi="宋体"/>
          <w:color w:val="000000" w:themeColor="text1"/>
          <w14:textFill>
            <w14:solidFill>
              <w14:schemeClr w14:val="tx1"/>
            </w14:solidFill>
          </w14:textFill>
        </w:rPr>
        <w:t>②</w:t>
      </w:r>
      <w:r>
        <w:rPr>
          <w:rStyle w:val="63"/>
          <w:rFonts w:hint="eastAsia"/>
          <w:color w:val="000000" w:themeColor="text1"/>
          <w14:textFill>
            <w14:solidFill>
              <w14:schemeClr w14:val="tx1"/>
            </w14:solidFill>
          </w14:textFill>
        </w:rPr>
        <w:t>开炼、硫化废气收集措施</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对于开炼工序产生的废气，在每台开炼机上方加装吸气式集气罩；硫化成型机数量较多，车间内部空间较为宽敞，若整体密闭抽风，容易造成漏风，废气的收集效率将大大降低，考虑到模压硫化操作平台区域尺寸&lt;500×500mm，故采用顶部集气罩收集废气。</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为确保开炼、硫化废气捕集率，应采取以下措施加以控制：①针对不同产污设备设计规格尺寸不一的集气罩（罩口尺寸应大于产气源的1.2-1.5倍）；②集气罩置于产污源（工作台）正上方，为避免横向气流干扰，罩口距产气源的距离(高度)小于0.3倍的罩口长边尺寸；③集气罩四周加装软帘材料进行局部围合；④集气罩上方加装负压吸风设备。</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采用吸气式集气罩+局部围合抽气，具体以下优势：</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1）可有效将污染源包围起来，使污染源的扩散限制在最小的范围内，便于捕集和</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控制；2）可防止横向气流的干扰，大大减少排气量；3）吸气气流不经过工人的呼吸区再进入罩内；4）集气罩结构简单，造价相对低，便于制作安装和拆卸维修。</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为了有效收集开炼和硫化过程中的有机废气，项目集气罩面积要大于敞露面积，同时集气罩的收集风速要大于0.5m/s，这样才能保证收集效率在90%以上。项目各设备数量、集气罩尺寸、收集风量及集气罩的收集风速情况见下表所示。</w:t>
      </w:r>
    </w:p>
    <w:p>
      <w:pPr>
        <w:pStyle w:val="18"/>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STYLEREF 2 \s</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5.2</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fldChar w:fldCharType="begin"/>
      </w:r>
      <w:r>
        <w:rPr>
          <w:rStyle w:val="63"/>
          <w:color w:val="000000" w:themeColor="text1"/>
          <w14:textFill>
            <w14:solidFill>
              <w14:schemeClr w14:val="tx1"/>
            </w14:solidFill>
          </w14:textFill>
        </w:rPr>
        <w:instrText xml:space="preserve"> </w:instrText>
      </w:r>
      <w:r>
        <w:rPr>
          <w:rStyle w:val="63"/>
          <w:rFonts w:hint="eastAsia"/>
          <w:color w:val="000000" w:themeColor="text1"/>
          <w14:textFill>
            <w14:solidFill>
              <w14:schemeClr w14:val="tx1"/>
            </w14:solidFill>
          </w14:textFill>
        </w:rPr>
        <w:instrText xml:space="preserve">SEQ 表 \* ARABIC \s 2</w:instrText>
      </w:r>
      <w:r>
        <w:rPr>
          <w:rStyle w:val="63"/>
          <w:color w:val="000000" w:themeColor="text1"/>
          <w14:textFill>
            <w14:solidFill>
              <w14:schemeClr w14:val="tx1"/>
            </w14:solidFill>
          </w14:textFill>
        </w:rPr>
        <w:instrText xml:space="preserve"> </w:instrText>
      </w:r>
      <w:r>
        <w:rPr>
          <w:rStyle w:val="63"/>
          <w:color w:val="000000" w:themeColor="text1"/>
          <w14:textFill>
            <w14:solidFill>
              <w14:schemeClr w14:val="tx1"/>
            </w14:solidFill>
          </w14:textFill>
        </w:rPr>
        <w:fldChar w:fldCharType="separate"/>
      </w:r>
      <w:r>
        <w:rPr>
          <w:rStyle w:val="63"/>
          <w:color w:val="000000" w:themeColor="text1"/>
          <w14:textFill>
            <w14:solidFill>
              <w14:schemeClr w14:val="tx1"/>
            </w14:solidFill>
          </w14:textFill>
        </w:rPr>
        <w:t>3</w:t>
      </w:r>
      <w:r>
        <w:rPr>
          <w:rStyle w:val="63"/>
          <w:color w:val="000000" w:themeColor="text1"/>
          <w14:textFill>
            <w14:solidFill>
              <w14:schemeClr w14:val="tx1"/>
            </w14:solidFill>
          </w14:textFill>
        </w:rPr>
        <w:fldChar w:fldCharType="end"/>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开炼和硫化设备风量情况</w:t>
      </w:r>
    </w:p>
    <w:tbl>
      <w:tblPr>
        <w:tblStyle w:val="56"/>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986"/>
        <w:gridCol w:w="940"/>
        <w:gridCol w:w="1197"/>
        <w:gridCol w:w="1780"/>
        <w:gridCol w:w="1500"/>
        <w:gridCol w:w="15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0" w:hRule="atLeast"/>
        </w:trPr>
        <w:tc>
          <w:tcPr>
            <w:tcW w:w="10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设备名称</w:t>
            </w:r>
          </w:p>
        </w:tc>
        <w:tc>
          <w:tcPr>
            <w:tcW w:w="986" w:type="dxa"/>
            <w:shd w:val="clear" w:color="auto" w:fill="auto"/>
            <w:noWrap/>
            <w:vAlign w:val="bottom"/>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数量(台)</w:t>
            </w:r>
          </w:p>
        </w:tc>
        <w:tc>
          <w:tcPr>
            <w:tcW w:w="94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长度</w:t>
            </w:r>
            <w:r>
              <w:rPr>
                <w:rStyle w:val="63"/>
                <w:color w:val="000000" w:themeColor="text1"/>
                <w14:textFill>
                  <w14:solidFill>
                    <w14:schemeClr w14:val="tx1"/>
                  </w14:solidFill>
                </w14:textFill>
              </w:rPr>
              <w:t>(m)</w:t>
            </w:r>
          </w:p>
        </w:tc>
        <w:tc>
          <w:tcPr>
            <w:tcW w:w="119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宽度</w:t>
            </w:r>
            <w:r>
              <w:rPr>
                <w:rStyle w:val="63"/>
                <w:color w:val="000000" w:themeColor="text1"/>
                <w14:textFill>
                  <w14:solidFill>
                    <w14:schemeClr w14:val="tx1"/>
                  </w14:solidFill>
                </w14:textFill>
              </w:rPr>
              <w:t>(m)</w:t>
            </w:r>
          </w:p>
        </w:tc>
        <w:tc>
          <w:tcPr>
            <w:tcW w:w="178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与污染源距离</w:t>
            </w:r>
            <w:r>
              <w:rPr>
                <w:rStyle w:val="63"/>
                <w:color w:val="000000" w:themeColor="text1"/>
                <w14:textFill>
                  <w14:solidFill>
                    <w14:schemeClr w14:val="tx1"/>
                  </w14:solidFill>
                </w14:textFill>
              </w:rPr>
              <w:t>(m)</w:t>
            </w:r>
          </w:p>
        </w:tc>
        <w:tc>
          <w:tcPr>
            <w:tcW w:w="150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吸入速度</w:t>
            </w:r>
            <w:r>
              <w:rPr>
                <w:rStyle w:val="63"/>
                <w:color w:val="000000" w:themeColor="text1"/>
                <w14:textFill>
                  <w14:solidFill>
                    <w14:schemeClr w14:val="tx1"/>
                  </w14:solidFill>
                </w14:textFill>
              </w:rPr>
              <w:t>(m/s)</w:t>
            </w:r>
          </w:p>
        </w:tc>
        <w:tc>
          <w:tcPr>
            <w:tcW w:w="1593"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计算风量</w:t>
            </w:r>
            <w:r>
              <w:rPr>
                <w:rStyle w:val="63"/>
                <w:color w:val="000000" w:themeColor="text1"/>
                <w14:textFill>
                  <w14:solidFill>
                    <w14:schemeClr w14:val="tx1"/>
                  </w14:solidFill>
                </w14:textFill>
              </w:rPr>
              <w:t>(m</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开炼机</w:t>
            </w:r>
          </w:p>
        </w:tc>
        <w:tc>
          <w:tcPr>
            <w:tcW w:w="986"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w:t>
            </w:r>
          </w:p>
        </w:tc>
        <w:tc>
          <w:tcPr>
            <w:tcW w:w="940"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p>
        </w:tc>
        <w:tc>
          <w:tcPr>
            <w:tcW w:w="1197"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p>
        </w:tc>
        <w:tc>
          <w:tcPr>
            <w:tcW w:w="1780"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0.5</w:t>
            </w:r>
          </w:p>
        </w:tc>
        <w:tc>
          <w:tcPr>
            <w:tcW w:w="1500"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0.4</w:t>
            </w:r>
          </w:p>
        </w:tc>
        <w:tc>
          <w:tcPr>
            <w:tcW w:w="1593"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2880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064" w:type="dxa"/>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硫化机</w:t>
            </w:r>
          </w:p>
        </w:tc>
        <w:tc>
          <w:tcPr>
            <w:tcW w:w="986"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0</w:t>
            </w:r>
          </w:p>
        </w:tc>
        <w:tc>
          <w:tcPr>
            <w:tcW w:w="940"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w:t>
            </w:r>
          </w:p>
        </w:tc>
        <w:tc>
          <w:tcPr>
            <w:tcW w:w="1197"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0.6</w:t>
            </w:r>
          </w:p>
        </w:tc>
        <w:tc>
          <w:tcPr>
            <w:tcW w:w="1780"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0.5</w:t>
            </w:r>
          </w:p>
        </w:tc>
        <w:tc>
          <w:tcPr>
            <w:tcW w:w="1500"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0.4</w:t>
            </w:r>
          </w:p>
        </w:tc>
        <w:tc>
          <w:tcPr>
            <w:tcW w:w="1593"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11520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7467" w:type="dxa"/>
            <w:gridSpan w:val="6"/>
            <w:shd w:val="clear" w:color="auto" w:fill="auto"/>
            <w:noWrap/>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合计风量</w:t>
            </w:r>
          </w:p>
        </w:tc>
        <w:tc>
          <w:tcPr>
            <w:tcW w:w="1593" w:type="dxa"/>
            <w:shd w:val="clear" w:color="auto" w:fill="auto"/>
            <w:noWrap/>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144</w:t>
            </w:r>
            <w:r>
              <w:rPr>
                <w:rStyle w:val="63"/>
                <w:rFonts w:hint="eastAsia"/>
                <w:color w:val="000000" w:themeColor="text1"/>
                <w14:textFill>
                  <w14:solidFill>
                    <w14:schemeClr w14:val="tx1"/>
                  </w14:solidFill>
                </w14:textFill>
              </w:rPr>
              <w:t>00</w:t>
            </w:r>
          </w:p>
        </w:tc>
      </w:tr>
    </w:tbl>
    <w:p>
      <w:pPr>
        <w:ind w:firstLine="480"/>
        <w:rPr>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开炼、硫化废气收集后，与经过布袋除尘器去除颗粒物后的密炼围蔽区废气一起引入同一套“喷淋塔+</w:t>
      </w:r>
      <w:r>
        <w:rPr>
          <w:rStyle w:val="63"/>
          <w:color w:val="000000" w:themeColor="text1"/>
          <w14:textFill>
            <w14:solidFill>
              <w14:schemeClr w14:val="tx1"/>
            </w14:solidFill>
          </w14:textFill>
        </w:rPr>
        <w:t>UV</w:t>
      </w:r>
      <w:r>
        <w:rPr>
          <w:rStyle w:val="63"/>
          <w:rFonts w:hint="eastAsia"/>
          <w:color w:val="000000" w:themeColor="text1"/>
          <w14:textFill>
            <w14:solidFill>
              <w14:schemeClr w14:val="tx1"/>
            </w14:solidFill>
          </w14:textFill>
        </w:rPr>
        <w:t>光解+活性炭吸附”处理系统净化，最终由1</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m高的排气筒（P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）排放。总处理风量为</w:t>
      </w: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w:t>
      </w:r>
      <w:r>
        <w:rPr>
          <w:rStyle w:val="63"/>
          <w:color w:val="000000" w:themeColor="text1"/>
          <w14:textFill>
            <w14:solidFill>
              <w14:schemeClr w14:val="tx1"/>
            </w14:solidFill>
          </w14:textFill>
        </w:rPr>
        <w:t xml:space="preserve"> m³/h</w:t>
      </w:r>
      <w:r>
        <w:rPr>
          <w:rStyle w:val="63"/>
          <w:rFonts w:hint="eastAsia"/>
          <w:color w:val="000000" w:themeColor="text1"/>
          <w14:textFill>
            <w14:solidFill>
              <w14:schemeClr w14:val="tx1"/>
            </w14:solidFill>
          </w14:textFill>
        </w:rPr>
        <w:t xml:space="preserve"> 。</w:t>
      </w:r>
    </w:p>
    <w:p>
      <w:pPr>
        <w:pStyle w:val="126"/>
        <w:numPr>
          <w:ilvl w:val="0"/>
          <w:numId w:val="0"/>
        </w:numPr>
      </w:pPr>
      <w:r>
        <w:rPr>
          <w:rFonts w:hint="eastAsia"/>
        </w:rPr>
        <w:t>（2）废气处理工艺参数</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项目原配备的</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台布袋除尘器，1台活性炭吸附装置可保留。</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喷淋塔建议采用双层喷淋，内附填料，洗涤塔最上一层为除水层，用于去除洗涤后气体中夹带的水雾，减少喷淋水损失；除水层下面为喷水层，喷嘴为PP螺旋喷嘴；再下层为填充层，气液在填充层充分接触吸收；最下层为循环水层，根据循环水储量，定期补加新鲜水。</w:t>
      </w:r>
    </w:p>
    <w:p>
      <w:pPr>
        <w:ind w:firstLine="480"/>
        <w:rPr>
          <w:rStyle w:val="63"/>
          <w:color w:val="000000" w:themeColor="text1"/>
          <w:lang w:val="zh-CN"/>
          <w14:textFill>
            <w14:solidFill>
              <w14:schemeClr w14:val="tx1"/>
            </w14:solidFill>
          </w14:textFill>
        </w:rPr>
      </w:pPr>
      <w:r>
        <w:rPr>
          <w:rStyle w:val="63"/>
          <w:color w:val="000000" w:themeColor="text1"/>
          <w14:textFill>
            <w14:solidFill>
              <w14:schemeClr w14:val="tx1"/>
            </w14:solidFill>
          </w14:textFill>
        </w:rPr>
        <w:t>建议</w:t>
      </w:r>
      <w:r>
        <w:rPr>
          <w:rStyle w:val="63"/>
          <w:rFonts w:hint="eastAsia"/>
          <w:color w:val="000000" w:themeColor="text1"/>
          <w14:textFill>
            <w14:solidFill>
              <w14:schemeClr w14:val="tx1"/>
            </w14:solidFill>
          </w14:textFill>
        </w:rPr>
        <w:t>项目U</w:t>
      </w:r>
      <w:r>
        <w:rPr>
          <w:rStyle w:val="63"/>
          <w:color w:val="000000" w:themeColor="text1"/>
          <w14:textFill>
            <w14:solidFill>
              <w14:schemeClr w14:val="tx1"/>
            </w14:solidFill>
          </w14:textFill>
        </w:rPr>
        <w:t>V光解设备</w:t>
      </w:r>
      <w:r>
        <w:rPr>
          <w:rStyle w:val="63"/>
          <w:rFonts w:hint="eastAsia"/>
          <w:color w:val="000000" w:themeColor="text1"/>
          <w14:textFill>
            <w14:solidFill>
              <w14:schemeClr w14:val="tx1"/>
            </w14:solidFill>
          </w14:textFill>
        </w:rPr>
        <w:t>紫外灯波长应选择在185-375nm之间，</w:t>
      </w:r>
      <w:r>
        <w:rPr>
          <w:rStyle w:val="63"/>
          <w:color w:val="000000" w:themeColor="text1"/>
          <w14:textFill>
            <w14:solidFill>
              <w14:schemeClr w14:val="tx1"/>
            </w14:solidFill>
          </w14:textFill>
        </w:rPr>
        <w:t>风速</w:t>
      </w:r>
      <w:r>
        <w:rPr>
          <w:rStyle w:val="63"/>
          <w:rFonts w:hint="eastAsia"/>
          <w:color w:val="000000" w:themeColor="text1"/>
          <w14:textFill>
            <w14:solidFill>
              <w14:schemeClr w14:val="tx1"/>
            </w14:solidFill>
          </w14:textFill>
        </w:rPr>
        <w:t>0</w:t>
      </w:r>
      <w:r>
        <w:rPr>
          <w:rStyle w:val="63"/>
          <w:color w:val="000000" w:themeColor="text1"/>
          <w14:textFill>
            <w14:solidFill>
              <w14:schemeClr w14:val="tx1"/>
            </w14:solidFill>
          </w14:textFill>
        </w:rPr>
        <w:t>.6m/s</w:t>
      </w:r>
      <w:r>
        <w:rPr>
          <w:rStyle w:val="63"/>
          <w:rFonts w:hint="eastAsia"/>
          <w:color w:val="000000" w:themeColor="text1"/>
          <w14:textFill>
            <w14:solidFill>
              <w14:schemeClr w14:val="tx1"/>
            </w14:solidFill>
          </w14:textFill>
        </w:rPr>
        <w:t>以下，气体停留时间在0.</w:t>
      </w:r>
      <w:r>
        <w:rPr>
          <w:rStyle w:val="63"/>
          <w:color w:val="000000" w:themeColor="text1"/>
          <w14:textFill>
            <w14:solidFill>
              <w14:schemeClr w14:val="tx1"/>
            </w14:solidFill>
          </w14:textFill>
        </w:rPr>
        <w:t>5</w:t>
      </w:r>
      <w:r>
        <w:rPr>
          <w:rStyle w:val="63"/>
          <w:rFonts w:hint="eastAsia"/>
          <w:color w:val="000000" w:themeColor="text1"/>
          <w14:textFill>
            <w14:solidFill>
              <w14:schemeClr w14:val="tx1"/>
            </w14:solidFill>
          </w14:textFill>
        </w:rPr>
        <w:t>s以上，温度控制在20-65℃、湿度控制在20-80%之间。</w:t>
      </w:r>
    </w:p>
    <w:p>
      <w:pPr>
        <w:pStyle w:val="126"/>
        <w:numPr>
          <w:ilvl w:val="0"/>
          <w:numId w:val="0"/>
        </w:numPr>
      </w:pPr>
      <w:r>
        <w:rPr>
          <w:rFonts w:hint="eastAsia"/>
        </w:rPr>
        <w:t>（</w:t>
      </w:r>
      <w:r>
        <w:t>3</w:t>
      </w:r>
      <w:r>
        <w:rPr>
          <w:rFonts w:hint="eastAsia"/>
        </w:rPr>
        <w:t>）工作原理及技术可行性分析</w:t>
      </w:r>
    </w:p>
    <w:p>
      <w:pPr>
        <w:adjustRightInd w:val="0"/>
        <w:snapToGrid w:val="0"/>
        <w:ind w:firstLine="480"/>
        <w:jc w:val="both"/>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综合以上分析，项目经收集的密炼围蔽区废气采用一台布袋除尘器处理后，再与开炼废气及硫化废气一起引入同一套“喷淋塔+UV光解+活性炭吸附装置”进行处理。各串联工艺原理及简介具体如下。</w:t>
      </w:r>
    </w:p>
    <w:p>
      <w:pPr>
        <w:pStyle w:val="127"/>
        <w:numPr>
          <w:ilvl w:val="0"/>
          <w:numId w:val="66"/>
        </w:numPr>
        <w:rPr>
          <w:snapToGrid w:val="0"/>
        </w:rPr>
      </w:pPr>
      <w:r>
        <w:rPr>
          <w:rFonts w:hint="eastAsia"/>
          <w:snapToGrid w:val="0"/>
        </w:rPr>
        <w:t>布袋除尘器</w:t>
      </w:r>
    </w:p>
    <w:p>
      <w:pPr>
        <w:adjustRightInd w:val="0"/>
        <w:snapToGrid w:val="0"/>
        <w:ind w:firstLine="480"/>
        <w:jc w:val="both"/>
        <w:rPr>
          <w:rFonts w:cs="Times New Roman" w:eastAsiaTheme="minorEastAsia"/>
          <w:bCs/>
          <w:snapToGrid w:val="0"/>
        </w:rPr>
      </w:pPr>
      <w:r>
        <w:rPr>
          <w:rFonts w:cs="Times New Roman" w:eastAsiaTheme="minorEastAsia"/>
          <w:bCs/>
          <w:snapToGrid w:val="0"/>
        </w:rPr>
        <w:t>根据《环境空气细颗粒物污染综合防治技术政策》（环保部公告2013年第59号）要求工业污染源有组织排放的颗粒物，宜采取布袋除尘、电袋除尘等高效除尘技术。</w:t>
      </w:r>
    </w:p>
    <w:p>
      <w:pPr>
        <w:adjustRightInd w:val="0"/>
        <w:snapToGrid w:val="0"/>
        <w:ind w:firstLine="480"/>
        <w:jc w:val="both"/>
        <w:rPr>
          <w:rFonts w:cs="Times New Roman" w:eastAsiaTheme="minorEastAsia"/>
          <w:bCs/>
          <w:snapToGrid w:val="0"/>
        </w:rPr>
      </w:pPr>
      <w:r>
        <w:rPr>
          <w:rFonts w:hint="eastAsia" w:cs="Times New Roman" w:eastAsiaTheme="minorEastAsia"/>
          <w:szCs w:val="22"/>
        </w:rPr>
        <w:t>本项</w:t>
      </w:r>
      <w:r>
        <w:rPr>
          <w:rFonts w:hint="eastAsia" w:cs="Times New Roman" w:eastAsiaTheme="minorEastAsia"/>
          <w:color w:val="000000" w:themeColor="text1"/>
          <w:szCs w:val="22"/>
          <w14:textFill>
            <w14:solidFill>
              <w14:schemeClr w14:val="tx1"/>
            </w14:solidFill>
          </w14:textFill>
        </w:rPr>
        <w:t>目</w:t>
      </w:r>
      <w:r>
        <w:rPr>
          <w:rStyle w:val="63"/>
          <w:rFonts w:hint="eastAsia"/>
          <w:color w:val="000000" w:themeColor="text1"/>
          <w14:textFill>
            <w14:solidFill>
              <w14:schemeClr w14:val="tx1"/>
            </w14:solidFill>
          </w14:textFill>
        </w:rPr>
        <w:t>配料、投料、密炼粉尘</w:t>
      </w:r>
      <w:r>
        <w:rPr>
          <w:rFonts w:hint="eastAsia" w:cs="Times New Roman" w:eastAsiaTheme="minorEastAsia"/>
          <w:szCs w:val="22"/>
        </w:rPr>
        <w:t>配套的除尘系统采用布袋除尘器。</w:t>
      </w:r>
    </w:p>
    <w:p>
      <w:pPr>
        <w:ind w:firstLine="480"/>
        <w:rPr>
          <w:rFonts w:cs="Times New Roman" w:eastAsiaTheme="minorEastAsia"/>
        </w:rPr>
      </w:pPr>
      <w:r>
        <w:rPr>
          <w:rFonts w:hint="eastAsia" w:cs="Times New Roman" w:eastAsiaTheme="minorEastAsia"/>
        </w:rPr>
        <w:t>布袋除尘器的优点如下：①对净化含微米或亚微米数量级的粉尘粒子的气体效率较高，可达99%。②可以捕集多种干式粉尘，特别是高比电阻粉尘，采用布袋除尘器净化要比用电除尘器的净化效率高很多。③含尘气体浓度在相当大范围内变化对布袋除尘器的除尘效率和阻力影响不大。④灵活的袋式除尘器特点适用于分散尘源的除尘，机器运行性能稳定可靠，没有污泥处理和腐蚀等问题，操作维护简单。</w:t>
      </w:r>
    </w:p>
    <w:p>
      <w:pPr>
        <w:ind w:firstLine="480"/>
        <w:rPr>
          <w:rFonts w:cs="Times New Roman" w:eastAsiaTheme="minorEastAsia"/>
        </w:rPr>
      </w:pPr>
      <w:r>
        <w:rPr>
          <w:rFonts w:hint="eastAsia" w:cs="Times New Roman" w:eastAsiaTheme="minorEastAsia"/>
        </w:rPr>
        <w:t>当含尘烟气进入布袋除尘器时，颗粒大、比重大的粉尘，首先在重力作用下沉降下来。其余的粉尘颗粒在通过布袋时由于直径较滤料纤维间的空隙大，粉尘就在气流通过时被阻留下来，当滤料上积存粉尘增多时，这种作用就比较显著。而质轻体小的粉尘(1</w:t>
      </w:r>
      <w:r>
        <w:rPr>
          <w:rFonts w:eastAsiaTheme="minorEastAsia" w:cstheme="minorHAnsi"/>
        </w:rPr>
        <w:t>μ</w:t>
      </w:r>
      <w:r>
        <w:rPr>
          <w:rFonts w:hint="eastAsia" w:cs="Times New Roman" w:eastAsiaTheme="minorEastAsia"/>
        </w:rPr>
        <w:t>m以下)，随气流运动，非常接近于气流流线，能绕过纤维。但它们在受到做热运动的气体分子碰撞之后，便会改变原来的运动方向，这就增加了粉尘与纤维的接触机会，使粉尘能够被捕获。当滤料纤维直径越细，空隙率越小、其捕获率就越高，越有利于除尘，除尘效率能达到99%以上，袋式除尘器具有除尘效率高，性能稳定可靠，投资少，维护、维修简单的优点。布袋除尘工艺在国内已有大量的应用实例，处理技术已相当成熟，不存在技术上的难题。密炼机配套的布袋除尘器能够确保粉尘废气稳定达标，技术上可行。</w:t>
      </w:r>
      <w:r>
        <w:rPr>
          <w:rStyle w:val="63"/>
          <w:rFonts w:hint="eastAsia"/>
          <w:color w:val="000000" w:themeColor="text1"/>
          <w14:textFill>
            <w14:solidFill>
              <w14:schemeClr w14:val="tx1"/>
            </w14:solidFill>
          </w14:textFill>
        </w:rPr>
        <w:t>此外，作为有机废气预处理的水喷淋对颗粒物也有一定的去除，本次评价中布袋除尘和水喷淋的综合除尘效率按9</w:t>
      </w:r>
      <w:r>
        <w:rPr>
          <w:rStyle w:val="63"/>
          <w:color w:val="000000" w:themeColor="text1"/>
          <w14:textFill>
            <w14:solidFill>
              <w14:schemeClr w14:val="tx1"/>
            </w14:solidFill>
          </w14:textFill>
        </w:rPr>
        <w:t>9</w:t>
      </w:r>
      <w:r>
        <w:rPr>
          <w:rStyle w:val="63"/>
          <w:rFonts w:hint="eastAsia"/>
          <w:color w:val="000000" w:themeColor="text1"/>
          <w14:textFill>
            <w14:solidFill>
              <w14:schemeClr w14:val="tx1"/>
            </w14:solidFill>
          </w14:textFill>
        </w:rPr>
        <w:t>%考虑。</w:t>
      </w:r>
    </w:p>
    <w:p>
      <w:pPr>
        <w:ind w:firstLine="480"/>
        <w:rPr>
          <w:rFonts w:cs="Times New Roman" w:eastAsiaTheme="minorEastAsia"/>
          <w:color w:val="000000" w:themeColor="text1"/>
          <w14:textFill>
            <w14:solidFill>
              <w14:schemeClr w14:val="tx1"/>
            </w14:solidFill>
          </w14:textFill>
        </w:rPr>
      </w:pPr>
      <w:r>
        <w:rPr>
          <w:rFonts w:hint="eastAsia" w:cs="Times New Roman" w:eastAsiaTheme="minorEastAsia"/>
        </w:rPr>
        <w:t>在采取上述集尘措施及废气设施处理后</w:t>
      </w:r>
      <w:r>
        <w:rPr>
          <w:rFonts w:hint="eastAsia" w:cs="Times New Roman" w:eastAsiaTheme="minorEastAsia"/>
          <w:color w:val="000000" w:themeColor="text1"/>
          <w14:textFill>
            <w14:solidFill>
              <w14:schemeClr w14:val="tx1"/>
            </w14:solidFill>
          </w14:textFill>
        </w:rPr>
        <w:t>，</w:t>
      </w:r>
      <w:r>
        <w:rPr>
          <w:rStyle w:val="63"/>
          <w:rFonts w:hint="eastAsia"/>
          <w:color w:val="000000" w:themeColor="text1"/>
          <w14:textFill>
            <w14:solidFill>
              <w14:schemeClr w14:val="tx1"/>
            </w14:solidFill>
          </w14:textFill>
        </w:rPr>
        <w:t>配料、投料、密炼粉尘</w:t>
      </w:r>
      <w:r>
        <w:rPr>
          <w:rFonts w:hint="eastAsia" w:cs="Times New Roman" w:eastAsiaTheme="minorEastAsia"/>
        </w:rPr>
        <w:t>的排放浓度可满足《橡胶制品工业污染物排放标准》（GB</w:t>
      </w:r>
      <w:r>
        <w:rPr>
          <w:rFonts w:cs="Times New Roman" w:eastAsiaTheme="minorEastAsia"/>
        </w:rPr>
        <w:t xml:space="preserve"> </w:t>
      </w:r>
      <w:r>
        <w:rPr>
          <w:rFonts w:hint="eastAsia" w:cs="Times New Roman" w:eastAsiaTheme="minorEastAsia"/>
        </w:rPr>
        <w:t>27632-2011）表5中的“轮胎企业及其他制品企业炼胶装置”的排放限值要求（颗粒物≤12mg/m</w:t>
      </w:r>
      <w:r>
        <w:rPr>
          <w:rFonts w:hint="eastAsia" w:cs="Times New Roman" w:eastAsiaTheme="minorEastAsia"/>
          <w:vertAlign w:val="superscript"/>
        </w:rPr>
        <w:t>3</w:t>
      </w:r>
      <w:r>
        <w:rPr>
          <w:rFonts w:hint="eastAsia" w:cs="Times New Roman"/>
        </w:rPr>
        <w:t>，基准排气量：</w:t>
      </w:r>
      <w:r>
        <w:rPr>
          <w:rFonts w:cs="Times New Roman"/>
        </w:rPr>
        <w:t>2000</w:t>
      </w:r>
      <w:r>
        <w:rPr>
          <w:b/>
          <w:sz w:val="21"/>
          <w:szCs w:val="21"/>
        </w:rPr>
        <w:t xml:space="preserve"> </w:t>
      </w:r>
      <w:r>
        <w:t>m</w:t>
      </w:r>
      <w:r>
        <w:rPr>
          <w:vertAlign w:val="superscript"/>
        </w:rPr>
        <w:t>3</w:t>
      </w:r>
      <w:r>
        <w:t>/t胶</w:t>
      </w:r>
      <w:r>
        <w:rPr>
          <w:rFonts w:hint="eastAsia" w:cs="Times New Roman" w:eastAsiaTheme="minorEastAsia"/>
        </w:rPr>
        <w:t>）要求。综上所述，本项目</w:t>
      </w:r>
      <w:r>
        <w:rPr>
          <w:rStyle w:val="63"/>
          <w:rFonts w:hint="eastAsia"/>
          <w:color w:val="000000" w:themeColor="text1"/>
          <w14:textFill>
            <w14:solidFill>
              <w14:schemeClr w14:val="tx1"/>
            </w14:solidFill>
          </w14:textFill>
        </w:rPr>
        <w:t>配料、投料、密炼粉尘</w:t>
      </w:r>
      <w:r>
        <w:rPr>
          <w:rFonts w:hint="eastAsia" w:cs="Times New Roman" w:eastAsiaTheme="minorEastAsia"/>
          <w:color w:val="000000" w:themeColor="text1"/>
          <w14:textFill>
            <w14:solidFill>
              <w14:schemeClr w14:val="tx1"/>
            </w14:solidFill>
          </w14:textFill>
        </w:rPr>
        <w:t>采取的污染防治措施可行。</w:t>
      </w:r>
    </w:p>
    <w:p>
      <w:pPr>
        <w:pStyle w:val="127"/>
        <w:numPr>
          <w:ilvl w:val="0"/>
          <w:numId w:val="66"/>
        </w:numPr>
        <w:rPr>
          <w:rStyle w:val="63"/>
          <w:color w:val="000000" w:themeColor="text1"/>
          <w:lang w:val="zh-CN"/>
          <w14:textFill>
            <w14:solidFill>
              <w14:schemeClr w14:val="tx1"/>
            </w14:solidFill>
          </w14:textFill>
        </w:rPr>
      </w:pPr>
      <w:r>
        <w:rPr>
          <w:rStyle w:val="63"/>
          <w:rFonts w:hint="eastAsia"/>
          <w:color w:val="000000" w:themeColor="text1"/>
          <w:lang w:val="zh-CN"/>
          <w14:textFill>
            <w14:solidFill>
              <w14:schemeClr w14:val="tx1"/>
            </w14:solidFill>
          </w14:textFill>
        </w:rPr>
        <w:t>水喷淋吸收塔</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喷淋塔拟采用双层喷淋，内附填料，洗涤塔最上一层为除水层，用于去除洗涤后气体中夹带的水雾，减少喷淋水损失；除水层下面为喷水层，喷嘴为PP螺旋喷嘴（规格为φ4分）；再下层为填充层，气液在填充层充分接触吸收；最下层为循环水层，根据循环水储量，定期补加新鲜水。废气从喷淋塔底部进入，利用气体与液体的接触，将气体中的污染物传递至液体中，从而达到去除污染物的目的。废气自洗涤塔底部进入向上流动，洗涤液自上方以雾状喷洒而下，气液在填料层充分接触，废气中的有害成分被液体吸收，处理后的洁净气体经除水层后进入下一处理工艺。</w:t>
      </w:r>
    </w:p>
    <w:p>
      <w:pPr>
        <w:ind w:firstLine="480"/>
        <w:rPr>
          <w:rStyle w:val="63"/>
          <w:color w:val="000000" w:themeColor="text1"/>
          <w14:textFill>
            <w14:solidFill>
              <w14:schemeClr w14:val="tx1"/>
            </w14:solidFill>
          </w14:textFill>
        </w:rPr>
      </w:pPr>
      <w:r>
        <w:rPr>
          <w:rStyle w:val="63"/>
          <w:color w:val="000000" w:themeColor="text1"/>
          <w14:textFill>
            <w14:solidFill>
              <w14:schemeClr w14:val="tx1"/>
            </w14:solidFill>
          </w14:textFill>
        </w:rPr>
        <w:t>水喷淋处理有机废气的原理是在一定的温度和压力下，</w:t>
      </w:r>
      <w:r>
        <w:rPr>
          <w:rStyle w:val="63"/>
          <w:rFonts w:hint="eastAsia"/>
          <w:color w:val="000000" w:themeColor="text1"/>
          <w14:textFill>
            <w14:solidFill>
              <w14:schemeClr w14:val="tx1"/>
            </w14:solidFill>
          </w14:textFill>
        </w:rPr>
        <w:t>当吸收剂（水）与有机废气接触时，有机废气中可溶解组分溶解于液体（水），</w:t>
      </w:r>
      <w:r>
        <w:rPr>
          <w:rStyle w:val="63"/>
          <w:color w:val="000000" w:themeColor="text1"/>
          <w14:textFill>
            <w14:solidFill>
              <w14:schemeClr w14:val="tx1"/>
            </w14:solidFill>
          </w14:textFill>
        </w:rPr>
        <w:t>不可溶解的颗粒被水雾捕集。水喷淋利用雾化器将液体充分细化，大大提高气液接触面积，将废气中的水溶性有机物或颗粒物成分沉降下来，达到污染物与洁净气体分离的目的。在水喷淋塔的塔顶安装除雾器，以减少进入活性炭吸附装置中的水</w:t>
      </w:r>
      <w:r>
        <w:rPr>
          <w:rStyle w:val="63"/>
          <w:rFonts w:hint="eastAsia"/>
          <w:color w:val="000000" w:themeColor="text1"/>
          <w14:textFill>
            <w14:solidFill>
              <w14:schemeClr w14:val="tx1"/>
            </w14:solidFill>
          </w14:textFill>
        </w:rPr>
        <w:t>气</w:t>
      </w:r>
      <w:r>
        <w:rPr>
          <w:rStyle w:val="63"/>
          <w:color w:val="000000" w:themeColor="text1"/>
          <w14:textFill>
            <w14:solidFill>
              <w14:schemeClr w14:val="tx1"/>
            </w14:solidFill>
          </w14:textFill>
        </w:rPr>
        <w:t>量，避免影响活性炭的吸附效果。</w:t>
      </w:r>
      <w:r>
        <w:rPr>
          <w:rStyle w:val="63"/>
          <w:rFonts w:hint="eastAsia"/>
          <w:color w:val="000000" w:themeColor="text1"/>
          <w14:textFill>
            <w14:solidFill>
              <w14:schemeClr w14:val="tx1"/>
            </w14:solidFill>
          </w14:textFill>
        </w:rPr>
        <w:t>本次评价水喷淋工艺对项目有机废气处理效率按2</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%考虑。</w:t>
      </w:r>
    </w:p>
    <w:p>
      <w:pPr>
        <w:pStyle w:val="127"/>
        <w:numPr>
          <w:ilvl w:val="0"/>
          <w:numId w:val="66"/>
        </w:numPr>
      </w:pPr>
      <w:r>
        <w:rPr>
          <w:rFonts w:hint="eastAsia"/>
        </w:rPr>
        <w:t>U</w:t>
      </w:r>
      <w:r>
        <w:t>V</w:t>
      </w:r>
      <w:r>
        <w:rPr>
          <w:rFonts w:hint="eastAsia"/>
        </w:rPr>
        <w:t>光触媒净化器</w:t>
      </w:r>
    </w:p>
    <w:p>
      <w:pPr>
        <w:ind w:firstLine="480"/>
        <w:rPr>
          <w:rFonts w:eastAsiaTheme="minorEastAsia"/>
          <w:lang w:val="zh-CN"/>
        </w:rPr>
      </w:pPr>
      <w:r>
        <w:rPr>
          <w:rFonts w:hint="eastAsia" w:eastAsiaTheme="minorEastAsia"/>
          <w:lang w:val="zh-CN"/>
        </w:rPr>
        <w:t>UV为紫外线，高能紫外线光能将恶臭化学物质，拆解为独立的原子，再通过分解空气中的氧气，产生性质活跃的正负氧离子，继而产生臭氧，同时将拆解为独立原子的化学物质通过臭氧的氧化反应，重新组合成低分子的化合物，如水、二氧化碳等。这是一个协同、连锁复杂的反应过程，在很短的时间内（2~3秒）就可以完成。UV光解净化器利用特质的高能UV紫外线光束照射有机废气，裂解废气中的二甲苯和VOCs，VOCs能在高能紫外线光束照射下，空气中的氧气被离解，激发产生臭氧，臭氧有极强的氧化活性，将有机物氧化成氧气、水等，从而使得有机废气得到净化，该方法无二次污染，对有机废气的净化效率可达</w:t>
      </w:r>
      <w:r>
        <w:rPr>
          <w:rFonts w:eastAsiaTheme="minorEastAsia"/>
          <w:lang w:val="zh-CN"/>
        </w:rPr>
        <w:t>4</w:t>
      </w:r>
      <w:r>
        <w:rPr>
          <w:rFonts w:hint="eastAsia" w:eastAsiaTheme="minorEastAsia"/>
          <w:lang w:val="zh-CN"/>
        </w:rPr>
        <w:t>0%~</w:t>
      </w:r>
      <w:r>
        <w:rPr>
          <w:rFonts w:eastAsiaTheme="minorEastAsia"/>
          <w:lang w:val="zh-CN"/>
        </w:rPr>
        <w:t>6</w:t>
      </w:r>
      <w:r>
        <w:rPr>
          <w:rFonts w:hint="eastAsia" w:eastAsiaTheme="minorEastAsia"/>
          <w:lang w:val="zh-CN"/>
        </w:rPr>
        <w:t>0%（本次评价取</w:t>
      </w:r>
      <w:r>
        <w:rPr>
          <w:rFonts w:eastAsiaTheme="minorEastAsia"/>
          <w:lang w:val="zh-CN"/>
        </w:rPr>
        <w:t>40</w:t>
      </w:r>
      <w:r>
        <w:rPr>
          <w:rFonts w:hint="eastAsia" w:eastAsiaTheme="minorEastAsia"/>
          <w:lang w:val="zh-CN"/>
        </w:rPr>
        <w:t>%）。</w:t>
      </w:r>
    </w:p>
    <w:p>
      <w:pPr>
        <w:pStyle w:val="127"/>
        <w:numPr>
          <w:ilvl w:val="0"/>
          <w:numId w:val="66"/>
        </w:numPr>
        <w:rPr>
          <w:lang w:val="zh-CN"/>
        </w:rPr>
      </w:pPr>
      <w:r>
        <w:rPr>
          <w:rFonts w:hint="eastAsia"/>
          <w:lang w:val="zh-CN"/>
        </w:rPr>
        <w:t>活性炭过滤吸附装置</w:t>
      </w:r>
    </w:p>
    <w:p>
      <w:pPr>
        <w:ind w:firstLine="480"/>
      </w:pPr>
      <w:r>
        <w:rPr>
          <w:rFonts w:hint="eastAsia" w:eastAsiaTheme="minorEastAsia"/>
          <w:lang w:val="zh-CN"/>
        </w:rPr>
        <w:t>废气污染物经UV光解装置处理后，污染物含量已大大降低。而少量未得到处理的污染物则可通过后续的活性炭过滤装置去除。吸附法是用固体吸附剂吸附处理废气中有害气体的一种方法。选择吸附剂的原则是比表面积大，容易吸附和脱附再生，来源容易，价格较低。有机废气适宜采用活性炭作吸附剂。活性炭是一种由含碳材料制成的外观呈黑色，内部孔隙结构发达、比表面积大、吸附能力强的一类微晶质碳素材料。活性炭材料中有大量肉眼看不见的微孔，1g活性炭材料中微孔的总内表面积可高达700～2300m</w:t>
      </w:r>
      <w:r>
        <w:rPr>
          <w:rFonts w:hint="eastAsia" w:eastAsiaTheme="minorEastAsia"/>
          <w:vertAlign w:val="superscript"/>
          <w:lang w:val="zh-CN"/>
        </w:rPr>
        <w:t>2</w:t>
      </w:r>
      <w:r>
        <w:rPr>
          <w:rFonts w:hint="eastAsia" w:eastAsiaTheme="minorEastAsia"/>
          <w:lang w:val="zh-CN"/>
        </w:rPr>
        <w:t>。正是这些微孔使得活性炭能“捕捉”各种有毒有害气体和杂质。由于气相分子和吸附剂表面分子之间的吸引力，使气相分子吸附在吸附剂表面。吸附剂表面面积愈大、单位质量吸附剂吸附物质愈多。活性炭是一种具有非极性表面、疏水性、亲有机物的吸附剂。所以活性炭常常被用来吸附回收空气中的有机溶剂和恶臭物质，它可以根据需要制成不同性状和粒度，如粉末活性炭、颗粒活性炭及柱状活性炭。活性炭是由各种含碳物质（如木材、泥煤、果核、椰壳等原料）在高温下炭化后，再用水蒸气或化学药品（如氯化锌、氯化锰、氯化钙和磷酸等）进行活化处理，然后制成的孔隙十分丰富的吸附剂，其孔径平均为（10～40）×10</w:t>
      </w:r>
      <w:r>
        <w:rPr>
          <w:rFonts w:hint="eastAsia" w:eastAsiaTheme="minorEastAsia"/>
          <w:vertAlign w:val="superscript"/>
          <w:lang w:val="zh-CN"/>
        </w:rPr>
        <w:t>-8</w:t>
      </w:r>
      <w:r>
        <w:rPr>
          <w:rFonts w:hint="eastAsia" w:eastAsiaTheme="minorEastAsia"/>
          <w:lang w:val="zh-CN"/>
        </w:rPr>
        <w:t>cm，比表面积一般在600～1500m</w:t>
      </w:r>
      <w:r>
        <w:rPr>
          <w:rFonts w:hint="eastAsia" w:eastAsiaTheme="minorEastAsia"/>
          <w:vertAlign w:val="superscript"/>
          <w:lang w:val="zh-CN"/>
        </w:rPr>
        <w:t>2</w:t>
      </w:r>
      <w:r>
        <w:rPr>
          <w:rFonts w:hint="eastAsia" w:eastAsiaTheme="minorEastAsia"/>
          <w:lang w:val="zh-CN"/>
        </w:rPr>
        <w:t>/g范围内，具有优良的吸附能力，吸附容量为25wt%。当吸附载体吸附饱和时，可考虑更换。采用活性炭进行有机尾气的净化，其去除效率会因活性炭吸附废气的饱和程度而不同，净化效率约为50%~</w:t>
      </w:r>
      <w:r>
        <w:rPr>
          <w:rFonts w:eastAsiaTheme="minorEastAsia"/>
          <w:lang w:val="zh-CN"/>
        </w:rPr>
        <w:t>95</w:t>
      </w:r>
      <w:r>
        <w:rPr>
          <w:rFonts w:hint="eastAsia" w:eastAsiaTheme="minorEastAsia"/>
          <w:lang w:val="zh-CN"/>
        </w:rPr>
        <w:t>%（本次评价取8</w:t>
      </w:r>
      <w:r>
        <w:rPr>
          <w:rFonts w:eastAsiaTheme="minorEastAsia"/>
          <w:lang w:val="zh-CN"/>
        </w:rPr>
        <w:t>5</w:t>
      </w:r>
      <w:r>
        <w:rPr>
          <w:rFonts w:hint="eastAsia" w:eastAsiaTheme="minorEastAsia"/>
          <w:lang w:val="zh-CN"/>
        </w:rPr>
        <w:t>%）。</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建设单位拟设置1 台</w:t>
      </w:r>
      <w:r>
        <w:rPr>
          <w:rStyle w:val="63"/>
          <w:color w:val="000000" w:themeColor="text1"/>
          <w14:textFill>
            <w14:solidFill>
              <w14:schemeClr w14:val="tx1"/>
            </w14:solidFill>
          </w14:textFill>
        </w:rPr>
        <w:t>7</w:t>
      </w:r>
      <w:r>
        <w:rPr>
          <w:rStyle w:val="63"/>
          <w:rFonts w:hint="eastAsia"/>
          <w:color w:val="000000" w:themeColor="text1"/>
          <w14:textFill>
            <w14:solidFill>
              <w14:schemeClr w14:val="tx1"/>
            </w14:solidFill>
          </w14:textFill>
        </w:rPr>
        <w:t>000m</w:t>
      </w:r>
      <w:r>
        <w:rPr>
          <w:rStyle w:val="63"/>
          <w:rFonts w:hint="eastAsia"/>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/h的布袋除尘器处理密炼围蔽区粉尘（含投配料粉尘、密炼粉尘），同时拟设置1套总处理风量</w:t>
      </w: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000m</w:t>
      </w:r>
      <w:r>
        <w:rPr>
          <w:rStyle w:val="63"/>
          <w:rFonts w:hint="eastAsia"/>
          <w:color w:val="000000" w:themeColor="text1"/>
          <w:vertAlign w:val="superscript"/>
          <w14:textFill>
            <w14:solidFill>
              <w14:schemeClr w14:val="tx1"/>
            </w14:solidFill>
          </w14:textFill>
        </w:rPr>
        <w:t>3</w:t>
      </w:r>
      <w:r>
        <w:rPr>
          <w:rStyle w:val="63"/>
          <w:rFonts w:hint="eastAsia"/>
          <w:color w:val="000000" w:themeColor="text1"/>
          <w14:textFill>
            <w14:solidFill>
              <w14:schemeClr w14:val="tx1"/>
            </w14:solidFill>
          </w14:textFill>
        </w:rPr>
        <w:t>/h的“喷淋塔+UV光解+活性炭吸附”装置以处理项目全部工艺废气。根据同类工程及现有项目的类比分析，以上废气处理工艺对粉尘颗粒物的处理效率可达9</w:t>
      </w:r>
      <w:r>
        <w:rPr>
          <w:rStyle w:val="63"/>
          <w:color w:val="000000" w:themeColor="text1"/>
          <w14:textFill>
            <w14:solidFill>
              <w14:schemeClr w14:val="tx1"/>
            </w14:solidFill>
          </w14:textFill>
        </w:rPr>
        <w:t>9</w:t>
      </w:r>
      <w:r>
        <w:rPr>
          <w:rStyle w:val="63"/>
          <w:rFonts w:hint="eastAsia"/>
          <w:color w:val="000000" w:themeColor="text1"/>
          <w14:textFill>
            <w14:solidFill>
              <w14:schemeClr w14:val="tx1"/>
            </w14:solidFill>
          </w14:textFill>
        </w:rPr>
        <w:t>％以上，对非甲烷总烃、H</w:t>
      </w:r>
      <w:r>
        <w:rPr>
          <w:rStyle w:val="63"/>
          <w:rFonts w:hint="eastAsia"/>
          <w:color w:val="000000" w:themeColor="text1"/>
          <w:vertAlign w:val="subscript"/>
          <w14:textFill>
            <w14:solidFill>
              <w14:schemeClr w14:val="tx1"/>
            </w14:solidFill>
          </w14:textFill>
        </w:rPr>
        <w:t>2</w:t>
      </w:r>
      <w:r>
        <w:rPr>
          <w:rStyle w:val="63"/>
          <w:rFonts w:hint="eastAsia"/>
          <w:color w:val="000000" w:themeColor="text1"/>
          <w14:textFill>
            <w14:solidFill>
              <w14:schemeClr w14:val="tx1"/>
            </w14:solidFill>
          </w14:textFill>
        </w:rPr>
        <w:t>S、的去除效率可达9</w:t>
      </w:r>
      <w:r>
        <w:rPr>
          <w:rStyle w:val="63"/>
          <w:color w:val="000000" w:themeColor="text1"/>
          <w14:textFill>
            <w14:solidFill>
              <w14:schemeClr w14:val="tx1"/>
            </w14:solidFill>
          </w14:textFill>
        </w:rPr>
        <w:t>2</w:t>
      </w:r>
      <w:r>
        <w:rPr>
          <w:rStyle w:val="63"/>
          <w:rFonts w:hint="eastAsia"/>
          <w:color w:val="000000" w:themeColor="text1"/>
          <w14:textFill>
            <w14:solidFill>
              <w14:schemeClr w14:val="tx1"/>
            </w14:solidFill>
          </w14:textFill>
        </w:rPr>
        <w:t>%以上，同时具有一定程度的除臭效果。</w:t>
      </w:r>
    </w:p>
    <w:p>
      <w:pPr>
        <w:ind w:firstLine="480"/>
      </w:pPr>
      <w:r>
        <w:rPr>
          <w:rFonts w:hint="eastAsia"/>
        </w:rPr>
        <w:t>根据同类项目调查和工程分析，项目混炼、硫化工序产生的废气，经上述方法处理后，非甲烷总烃的排放浓度可满足</w:t>
      </w:r>
      <w:r>
        <w:rPr>
          <w:rFonts w:hint="eastAsia" w:cs="Times New Roman"/>
        </w:rPr>
        <w:t>《橡胶制品工业污染物排放标准》（GB</w:t>
      </w:r>
      <w:r>
        <w:rPr>
          <w:rFonts w:cs="Times New Roman"/>
        </w:rPr>
        <w:t xml:space="preserve"> </w:t>
      </w:r>
      <w:r>
        <w:rPr>
          <w:rFonts w:hint="eastAsia" w:cs="Times New Roman"/>
        </w:rPr>
        <w:t>27632-2011）表5中的“轮胎企业及其他制品企业炼胶、硫化装置”</w:t>
      </w:r>
      <w:r>
        <w:rPr>
          <w:rFonts w:hint="eastAsia" w:cs="Times New Roman" w:eastAsiaTheme="minorEastAsia"/>
        </w:rPr>
        <w:t>（非甲烷总烃≤</w:t>
      </w:r>
      <w:r>
        <w:rPr>
          <w:rFonts w:cs="Times New Roman" w:eastAsiaTheme="minorEastAsia"/>
        </w:rPr>
        <w:t>10</w:t>
      </w:r>
      <w:r>
        <w:rPr>
          <w:rFonts w:hint="eastAsia" w:cs="Times New Roman" w:eastAsiaTheme="minorEastAsia"/>
        </w:rPr>
        <w:t>mg/m</w:t>
      </w:r>
      <w:r>
        <w:rPr>
          <w:rFonts w:hint="eastAsia" w:cs="Times New Roman" w:eastAsiaTheme="minorEastAsia"/>
          <w:vertAlign w:val="superscript"/>
        </w:rPr>
        <w:t>3</w:t>
      </w:r>
      <w:r>
        <w:rPr>
          <w:rFonts w:hint="eastAsia" w:cs="Times New Roman"/>
        </w:rPr>
        <w:t>，基准排气量：</w:t>
      </w:r>
      <w:r>
        <w:rPr>
          <w:rFonts w:cs="Times New Roman"/>
        </w:rPr>
        <w:t>2000</w:t>
      </w:r>
      <w:r>
        <w:rPr>
          <w:b/>
          <w:sz w:val="21"/>
          <w:szCs w:val="21"/>
        </w:rPr>
        <w:t xml:space="preserve"> </w:t>
      </w:r>
      <w:r>
        <w:t>m</w:t>
      </w:r>
      <w:r>
        <w:rPr>
          <w:vertAlign w:val="superscript"/>
        </w:rPr>
        <w:t>3</w:t>
      </w:r>
      <w:r>
        <w:t>/t胶</w:t>
      </w:r>
      <w:r>
        <w:rPr>
          <w:rFonts w:hint="eastAsia" w:cs="Times New Roman" w:eastAsiaTheme="minorEastAsia"/>
        </w:rPr>
        <w:t>）</w:t>
      </w:r>
      <w:r>
        <w:rPr>
          <w:rFonts w:hint="eastAsia"/>
        </w:rPr>
        <w:t>要求，H</w:t>
      </w:r>
      <w:r>
        <w:rPr>
          <w:vertAlign w:val="subscript"/>
        </w:rPr>
        <w:t>2</w:t>
      </w:r>
      <w:r>
        <w:t>S</w:t>
      </w:r>
      <w:r>
        <w:rPr>
          <w:rFonts w:hint="eastAsia"/>
        </w:rPr>
        <w:t>排放可满足《恶臭污染物排放标准》（</w:t>
      </w:r>
      <w:r>
        <w:t>GB 14554-93</w:t>
      </w:r>
      <w:r>
        <w:rPr>
          <w:rFonts w:hint="eastAsia"/>
        </w:rPr>
        <w:t>）1</w:t>
      </w:r>
      <w:r>
        <w:t>5</w:t>
      </w:r>
      <w:r>
        <w:rPr>
          <w:rFonts w:hint="eastAsia"/>
        </w:rPr>
        <w:t>m排气筒排放速率限值（H</w:t>
      </w:r>
      <w:r>
        <w:rPr>
          <w:vertAlign w:val="subscript"/>
        </w:rPr>
        <w:t>2</w:t>
      </w:r>
      <w:r>
        <w:t>S</w:t>
      </w:r>
      <w:r>
        <w:rPr>
          <w:rFonts w:hint="eastAsia"/>
        </w:rPr>
        <w:t>≤</w:t>
      </w:r>
      <w:r>
        <w:t>0.33 kg/h</w:t>
      </w:r>
      <w:r>
        <w:rPr>
          <w:rFonts w:hint="eastAsia"/>
        </w:rPr>
        <w:t>）要求。</w:t>
      </w:r>
    </w:p>
    <w:p>
      <w:pPr>
        <w:pStyle w:val="131"/>
        <w:numPr>
          <w:ilvl w:val="0"/>
          <w:numId w:val="61"/>
        </w:numPr>
      </w:pPr>
      <w:r>
        <w:rPr>
          <w:rFonts w:hint="eastAsia" w:hAnsi="宋体"/>
        </w:rPr>
        <w:t>抛丸机自带</w:t>
      </w:r>
      <w:r>
        <w:rPr>
          <w:rFonts w:hint="eastAsia" w:ascii="宋体" w:hAnsi="宋体" w:eastAsia="宋体" w:cs="宋体"/>
          <w:color w:val="000000"/>
        </w:rPr>
        <w:t>除尘装置</w:t>
      </w:r>
    </w:p>
    <w:p>
      <w:pPr>
        <w:pStyle w:val="50"/>
        <w:spacing w:before="0" w:beforeAutospacing="0" w:after="0" w:afterAutospacing="0"/>
        <w:ind w:firstLine="480"/>
        <w:rPr>
          <w:rFonts w:asciiTheme="minorHAnsi" w:hAnsiTheme="minorHAnsi" w:eastAsiaTheme="minorEastAsia"/>
          <w:color w:val="auto"/>
          <w:szCs w:val="24"/>
        </w:rPr>
      </w:pPr>
      <w:r>
        <w:fldChar w:fldCharType="begin"/>
      </w:r>
      <w:r>
        <w:instrText xml:space="preserve"> HYPERLINK "https://www.baidu.com/s?wd=%E6%8A%9B%E4%B8%B8%E6%9C%BA&amp;tn=SE_PcZhidaonwhc_ngpagmjz&amp;rsv_dl=gh_pc_zhidao" \t "_blank" </w:instrText>
      </w:r>
      <w:r>
        <w:fldChar w:fldCharType="separate"/>
      </w:r>
      <w:r>
        <w:rPr>
          <w:rFonts w:asciiTheme="minorHAnsi" w:hAnsiTheme="minorHAnsi" w:eastAsiaTheme="minorEastAsia"/>
          <w:color w:val="auto"/>
          <w:szCs w:val="24"/>
        </w:rPr>
        <w:t>抛丸机</w:t>
      </w:r>
      <w:r>
        <w:rPr>
          <w:rFonts w:asciiTheme="minorHAnsi" w:hAnsiTheme="minorHAnsi" w:eastAsiaTheme="minorEastAsia"/>
          <w:color w:val="auto"/>
          <w:szCs w:val="24"/>
        </w:rPr>
        <w:fldChar w:fldCharType="end"/>
      </w:r>
      <w:r>
        <w:rPr>
          <w:rFonts w:hint="eastAsia" w:asciiTheme="minorHAnsi" w:hAnsiTheme="minorHAnsi" w:eastAsiaTheme="minorEastAsia"/>
          <w:color w:val="auto"/>
          <w:szCs w:val="24"/>
        </w:rPr>
        <w:t>滤筒式除尘器的结构</w:t>
      </w:r>
      <w:r>
        <w:fldChar w:fldCharType="begin"/>
      </w:r>
      <w:r>
        <w:instrText xml:space="preserve"> HYPERLINK "https://www.baidu.com/s?wd=%E6%8A%9B%E4%B8%B8%E6%9C%BA&amp;tn=SE_PcZhidaonwhc_ngpagmjz&amp;rsv_dl=gh_pc_zhidao" \t "_blank" </w:instrText>
      </w:r>
      <w:r>
        <w:fldChar w:fldCharType="separate"/>
      </w:r>
      <w:r>
        <w:rPr>
          <w:rFonts w:asciiTheme="minorHAnsi" w:hAnsiTheme="minorHAnsi" w:eastAsiaTheme="minorEastAsia"/>
          <w:color w:val="auto"/>
          <w:szCs w:val="24"/>
        </w:rPr>
        <w:t>抛丸机</w:t>
      </w:r>
      <w:r>
        <w:rPr>
          <w:rFonts w:asciiTheme="minorHAnsi" w:hAnsiTheme="minorHAnsi" w:eastAsiaTheme="minorEastAsia"/>
          <w:color w:val="auto"/>
          <w:szCs w:val="24"/>
        </w:rPr>
        <w:fldChar w:fldCharType="end"/>
      </w:r>
      <w:r>
        <w:rPr>
          <w:rFonts w:hint="eastAsia" w:asciiTheme="minorHAnsi" w:hAnsiTheme="minorHAnsi" w:eastAsiaTheme="minorEastAsia"/>
          <w:color w:val="auto"/>
          <w:szCs w:val="24"/>
        </w:rPr>
        <w:t>滤筒式除尘器的结构是由进风管、排风管、箱体、灰斗、清灰装置、导流装置、气流分流分布板、滤筒及电控装置组成，类似气箱脉冲袋除尘结构。含尘气体进入除尘器灰斗后，由于气流断面突然扩大及</w:t>
      </w:r>
      <w:r>
        <w:fldChar w:fldCharType="begin"/>
      </w:r>
      <w:r>
        <w:instrText xml:space="preserve"> HYPERLINK "https://www.baidu.com/s?wd=%E6%B0%94%E6%B5%81%E5%88%86%E5%B8%83&amp;tn=SE_PcZhidaonwhc_ngpagmjz&amp;rsv_dl=gh_pc_zhidao" \t "_blank" </w:instrText>
      </w:r>
      <w:r>
        <w:fldChar w:fldCharType="separate"/>
      </w:r>
      <w:r>
        <w:rPr>
          <w:rFonts w:asciiTheme="minorHAnsi" w:hAnsiTheme="minorHAnsi" w:eastAsiaTheme="minorEastAsia"/>
          <w:color w:val="auto"/>
          <w:szCs w:val="24"/>
        </w:rPr>
        <w:t>气流分布</w:t>
      </w:r>
      <w:r>
        <w:rPr>
          <w:rFonts w:asciiTheme="minorHAnsi" w:hAnsiTheme="minorHAnsi" w:eastAsiaTheme="minorEastAsia"/>
          <w:color w:val="auto"/>
          <w:szCs w:val="24"/>
        </w:rPr>
        <w:fldChar w:fldCharType="end"/>
      </w:r>
      <w:r>
        <w:rPr>
          <w:rFonts w:hint="eastAsia" w:asciiTheme="minorHAnsi" w:hAnsiTheme="minorHAnsi" w:eastAsiaTheme="minorEastAsia"/>
          <w:color w:val="auto"/>
          <w:szCs w:val="24"/>
        </w:rPr>
        <w:t>板作用，气流中一部分粗大颗粒在动和</w:t>
      </w:r>
      <w:r>
        <w:fldChar w:fldCharType="begin"/>
      </w:r>
      <w:r>
        <w:instrText xml:space="preserve"> HYPERLINK "https://www.baidu.com/s?wd=%E6%83%AF%E6%80%A7%E5%8A%9B&amp;tn=SE_PcZhidaonwhc_ngpagmjz&amp;rsv_dl=gh_pc_zhidao" \t "_blank" </w:instrText>
      </w:r>
      <w:r>
        <w:fldChar w:fldCharType="separate"/>
      </w:r>
      <w:r>
        <w:rPr>
          <w:rFonts w:asciiTheme="minorHAnsi" w:hAnsiTheme="minorHAnsi" w:eastAsiaTheme="minorEastAsia"/>
          <w:color w:val="auto"/>
          <w:szCs w:val="24"/>
        </w:rPr>
        <w:t>惯性力</w:t>
      </w:r>
      <w:r>
        <w:rPr>
          <w:rFonts w:asciiTheme="minorHAnsi" w:hAnsiTheme="minorHAnsi" w:eastAsiaTheme="minorEastAsia"/>
          <w:color w:val="auto"/>
          <w:szCs w:val="24"/>
        </w:rPr>
        <w:fldChar w:fldCharType="end"/>
      </w:r>
      <w:r>
        <w:rPr>
          <w:rFonts w:hint="eastAsia" w:asciiTheme="minorHAnsi" w:hAnsiTheme="minorHAnsi" w:eastAsiaTheme="minorEastAsia"/>
          <w:color w:val="auto"/>
          <w:szCs w:val="24"/>
        </w:rPr>
        <w:t>作用下沉降在灰斗；</w:t>
      </w:r>
      <w:r>
        <w:fldChar w:fldCharType="begin"/>
      </w:r>
      <w:r>
        <w:instrText xml:space="preserve"> HYPERLINK "https://www.baidu.com/s?wd=%E7%B2%92%E5%BA%A6&amp;tn=SE_PcZhidaonwhc_ngpagmjz&amp;rsv_dl=gh_pc_zhidao" \t "_blank" </w:instrText>
      </w:r>
      <w:r>
        <w:fldChar w:fldCharType="separate"/>
      </w:r>
      <w:r>
        <w:rPr>
          <w:rFonts w:asciiTheme="minorHAnsi" w:hAnsiTheme="minorHAnsi" w:eastAsiaTheme="minorEastAsia"/>
          <w:color w:val="auto"/>
          <w:szCs w:val="24"/>
        </w:rPr>
        <w:t>粒度</w:t>
      </w:r>
      <w:r>
        <w:rPr>
          <w:rFonts w:asciiTheme="minorHAnsi" w:hAnsiTheme="minorHAnsi" w:eastAsiaTheme="minorEastAsia"/>
          <w:color w:val="auto"/>
          <w:szCs w:val="24"/>
        </w:rPr>
        <w:fldChar w:fldCharType="end"/>
      </w:r>
      <w:r>
        <w:rPr>
          <w:rFonts w:hint="eastAsia" w:asciiTheme="minorHAnsi" w:hAnsiTheme="minorHAnsi" w:eastAsiaTheme="minorEastAsia"/>
          <w:color w:val="auto"/>
          <w:szCs w:val="24"/>
        </w:rPr>
        <w:t>细、密度小的尘粒进入滤尘室后，通过</w:t>
      </w:r>
      <w:r>
        <w:fldChar w:fldCharType="begin"/>
      </w:r>
      <w:r>
        <w:instrText xml:space="preserve"> HYPERLINK "https://www.baidu.com/s?wd=%E5%B8%83%E6%9C%97&amp;tn=SE_PcZhidaonwhc_ngpagmjz&amp;rsv_dl=gh_pc_zhidao" \t "_blank" </w:instrText>
      </w:r>
      <w:r>
        <w:fldChar w:fldCharType="separate"/>
      </w:r>
      <w:r>
        <w:rPr>
          <w:rFonts w:asciiTheme="minorHAnsi" w:hAnsiTheme="minorHAnsi" w:eastAsiaTheme="minorEastAsia"/>
          <w:color w:val="auto"/>
          <w:szCs w:val="24"/>
        </w:rPr>
        <w:t>布朗</w:t>
      </w:r>
      <w:r>
        <w:rPr>
          <w:rFonts w:asciiTheme="minorHAnsi" w:hAnsiTheme="minorHAnsi" w:eastAsiaTheme="minorEastAsia"/>
          <w:color w:val="auto"/>
          <w:szCs w:val="24"/>
        </w:rPr>
        <w:fldChar w:fldCharType="end"/>
      </w:r>
      <w:r>
        <w:rPr>
          <w:rFonts w:hint="eastAsia" w:asciiTheme="minorHAnsi" w:hAnsiTheme="minorHAnsi" w:eastAsiaTheme="minorEastAsia"/>
          <w:color w:val="auto"/>
          <w:szCs w:val="24"/>
        </w:rPr>
        <w:t>扩散和筛滤等组合效应，使粉尘沉积在滤料表面上，净化后的气体进入净气室由排气管经风机排出。滤筒式除尘器的阻力随滤料表面粉尘层厚度的增加而增大。阻力达到某一规定值时进行清灰。此时PLC程序控制脉冲阀的启闭，首先一分室提升阀关闭，将过滤气流截断，然后</w:t>
      </w:r>
      <w:r>
        <w:fldChar w:fldCharType="begin"/>
      </w:r>
      <w:r>
        <w:instrText xml:space="preserve"> HYPERLINK "https://www.baidu.com/s?wd=%E7%94%B5%E7%A3%81%E8%84%89%E5%86%B2%E9%98%80&amp;tn=SE_PcZhidaonwhc_ngpagmjz&amp;rsv_dl=gh_pc_zhidao" \t "_blank" </w:instrText>
      </w:r>
      <w:r>
        <w:fldChar w:fldCharType="separate"/>
      </w:r>
      <w:r>
        <w:rPr>
          <w:rFonts w:asciiTheme="minorHAnsi" w:hAnsiTheme="minorHAnsi" w:eastAsiaTheme="minorEastAsia"/>
          <w:color w:val="auto"/>
          <w:szCs w:val="24"/>
        </w:rPr>
        <w:t>电磁脉冲阀</w:t>
      </w:r>
      <w:r>
        <w:rPr>
          <w:rFonts w:asciiTheme="minorHAnsi" w:hAnsiTheme="minorHAnsi" w:eastAsiaTheme="minorEastAsia"/>
          <w:color w:val="auto"/>
          <w:szCs w:val="24"/>
        </w:rPr>
        <w:fldChar w:fldCharType="end"/>
      </w:r>
      <w:r>
        <w:rPr>
          <w:rFonts w:hint="eastAsia" w:asciiTheme="minorHAnsi" w:hAnsiTheme="minorHAnsi" w:eastAsiaTheme="minorEastAsia"/>
          <w:color w:val="auto"/>
          <w:szCs w:val="24"/>
        </w:rPr>
        <w:t>开启，</w:t>
      </w:r>
      <w:r>
        <w:fldChar w:fldCharType="begin"/>
      </w:r>
      <w:r>
        <w:instrText xml:space="preserve"> HYPERLINK "https://www.baidu.com/s?wd=%E5%8E%8B%E7%BC%A9%E7%A9%BA%E6%B0%94&amp;tn=SE_PcZhidaonwhc_ngpagmjz&amp;rsv_dl=gh_pc_zhidao" \t "_blank" </w:instrText>
      </w:r>
      <w:r>
        <w:fldChar w:fldCharType="separate"/>
      </w:r>
      <w:r>
        <w:rPr>
          <w:rFonts w:asciiTheme="minorHAnsi" w:hAnsiTheme="minorHAnsi" w:eastAsiaTheme="minorEastAsia"/>
          <w:color w:val="auto"/>
          <w:szCs w:val="24"/>
        </w:rPr>
        <w:t>压缩空气</w:t>
      </w:r>
      <w:r>
        <w:rPr>
          <w:rFonts w:asciiTheme="minorHAnsi" w:hAnsiTheme="minorHAnsi" w:eastAsiaTheme="minorEastAsia"/>
          <w:color w:val="auto"/>
          <w:szCs w:val="24"/>
        </w:rPr>
        <w:fldChar w:fldCharType="end"/>
      </w:r>
      <w:r>
        <w:rPr>
          <w:rFonts w:hint="eastAsia" w:asciiTheme="minorHAnsi" w:hAnsiTheme="minorHAnsi" w:eastAsiaTheme="minorEastAsia"/>
          <w:color w:val="auto"/>
          <w:szCs w:val="24"/>
        </w:rPr>
        <w:t>以及短的时间在上箱体内迅速膨胀，涌入滤筒，使滤筒膨胀变形产生振动，并在逆向气流冲刷的作用下，附着在滤袋外表面上的粉尘被剥离落入灰斗中。清灰完毕后，</w:t>
      </w:r>
      <w:r>
        <w:fldChar w:fldCharType="begin"/>
      </w:r>
      <w:r>
        <w:instrText xml:space="preserve"> HYPERLINK "https://www.baidu.com/s?wd=%E7%94%B5%E7%A3%81%E8%84%89%E5%86%B2%E9%98%80&amp;tn=SE_PcZhidaonwhc_ngpagmjz&amp;rsv_dl=gh_pc_zhidao" \t "_blank" </w:instrText>
      </w:r>
      <w:r>
        <w:fldChar w:fldCharType="separate"/>
      </w:r>
      <w:r>
        <w:rPr>
          <w:rFonts w:asciiTheme="minorHAnsi" w:hAnsiTheme="minorHAnsi" w:eastAsiaTheme="minorEastAsia"/>
          <w:color w:val="auto"/>
          <w:szCs w:val="24"/>
        </w:rPr>
        <w:t>电磁脉冲阀</w:t>
      </w:r>
      <w:r>
        <w:rPr>
          <w:rFonts w:asciiTheme="minorHAnsi" w:hAnsiTheme="minorHAnsi" w:eastAsiaTheme="minorEastAsia"/>
          <w:color w:val="auto"/>
          <w:szCs w:val="24"/>
        </w:rPr>
        <w:fldChar w:fldCharType="end"/>
      </w:r>
      <w:r>
        <w:rPr>
          <w:rFonts w:hint="eastAsia" w:asciiTheme="minorHAnsi" w:hAnsiTheme="minorHAnsi" w:eastAsiaTheme="minorEastAsia"/>
          <w:color w:val="auto"/>
          <w:szCs w:val="24"/>
        </w:rPr>
        <w:t>关闭，提升阀打开，该室又恢复过滤状态。清灰各室依次进行，从第一室清灰开始至下一次清灰开始为一个清灰周期。脱落的粉尘掉入灰斗内通过缷灰阀排出。</w:t>
      </w:r>
      <w:r>
        <w:rPr>
          <w:rFonts w:asciiTheme="minorHAnsi" w:hAnsiTheme="minorHAnsi" w:eastAsiaTheme="minorEastAsia"/>
          <w:color w:val="auto"/>
          <w:szCs w:val="24"/>
        </w:rPr>
        <w:t>其除尘效率</w:t>
      </w:r>
      <w:r>
        <w:rPr>
          <w:rFonts w:hint="eastAsia" w:asciiTheme="minorHAnsi" w:hAnsiTheme="minorHAnsi" w:eastAsiaTheme="minorEastAsia"/>
          <w:color w:val="auto"/>
          <w:szCs w:val="24"/>
        </w:rPr>
        <w:t>达</w:t>
      </w:r>
      <w:r>
        <w:rPr>
          <w:rFonts w:asciiTheme="minorHAnsi" w:hAnsiTheme="minorHAnsi" w:eastAsiaTheme="minorEastAsia"/>
          <w:color w:val="auto"/>
          <w:szCs w:val="24"/>
        </w:rPr>
        <w:t>90</w:t>
      </w:r>
      <w:r>
        <w:rPr>
          <w:rFonts w:hint="eastAsia" w:asciiTheme="minorHAnsi" w:hAnsiTheme="minorHAnsi" w:eastAsiaTheme="minorEastAsia"/>
          <w:color w:val="auto"/>
          <w:szCs w:val="24"/>
        </w:rPr>
        <w:t>%以上。</w:t>
      </w:r>
    </w:p>
    <w:p>
      <w:pPr>
        <w:pStyle w:val="5"/>
      </w:pPr>
      <w:r>
        <w:rPr>
          <w:rFonts w:hint="eastAsia"/>
        </w:rPr>
        <w:t>废气中恶臭处理可行性分析</w:t>
      </w:r>
    </w:p>
    <w:p>
      <w:pPr>
        <w:ind w:firstLine="480"/>
        <w:rPr>
          <w:rFonts w:eastAsiaTheme="minorEastAsia"/>
        </w:rPr>
      </w:pPr>
      <w:r>
        <w:rPr>
          <w:rFonts w:eastAsiaTheme="minorEastAsia"/>
        </w:rPr>
        <w:t>本项目炼胶</w:t>
      </w:r>
      <w:r>
        <w:rPr>
          <w:rFonts w:hint="eastAsia" w:eastAsiaTheme="minorEastAsia"/>
        </w:rPr>
        <w:t>（密炼、开炼）</w:t>
      </w:r>
      <w:r>
        <w:rPr>
          <w:rFonts w:eastAsiaTheme="minorEastAsia"/>
        </w:rPr>
        <w:t>、硫化工序产生废气因含有非甲烷总烃、微量的硫化氢等，具有一定程度的异味，综合感官表征为恶臭气体。通过废气收集系统引至</w:t>
      </w:r>
      <w:r>
        <w:rPr>
          <w:rFonts w:hint="eastAsia" w:eastAsiaTheme="minorEastAsia"/>
        </w:rPr>
        <w:t>废气</w:t>
      </w:r>
      <w:r>
        <w:rPr>
          <w:rFonts w:eastAsiaTheme="minorEastAsia"/>
        </w:rPr>
        <w:t>处理</w:t>
      </w:r>
      <w:r>
        <w:rPr>
          <w:rFonts w:hint="eastAsia" w:eastAsiaTheme="minorEastAsia"/>
        </w:rPr>
        <w:t>设施集</w:t>
      </w:r>
      <w:r>
        <w:rPr>
          <w:rFonts w:eastAsiaTheme="minorEastAsia"/>
        </w:rPr>
        <w:t>中处理，臭气浓度将明显消减，通过</w:t>
      </w:r>
      <w:r>
        <w:rPr>
          <w:rFonts w:hint="eastAsia" w:eastAsiaTheme="minorEastAsia"/>
        </w:rPr>
        <w:t>15m</w:t>
      </w:r>
      <w:r>
        <w:rPr>
          <w:rFonts w:eastAsiaTheme="minorEastAsia"/>
        </w:rPr>
        <w:t>高的排气筒高空排放，根据前</w:t>
      </w:r>
      <w:r>
        <w:rPr>
          <w:rFonts w:hint="eastAsia" w:eastAsiaTheme="minorEastAsia"/>
        </w:rPr>
        <w:t>文</w:t>
      </w:r>
      <w:r>
        <w:rPr>
          <w:rFonts w:eastAsiaTheme="minorEastAsia"/>
        </w:rPr>
        <w:t>分析结果显示，排放废气中H</w:t>
      </w:r>
      <w:r>
        <w:rPr>
          <w:rFonts w:eastAsiaTheme="minorEastAsia"/>
          <w:vertAlign w:val="subscript"/>
        </w:rPr>
        <w:t>2</w:t>
      </w:r>
      <w:r>
        <w:rPr>
          <w:rFonts w:eastAsiaTheme="minorEastAsia"/>
        </w:rPr>
        <w:t>S等恶臭污染物浓度较低。</w:t>
      </w:r>
    </w:p>
    <w:p>
      <w:pPr>
        <w:snapToGrid w:val="0"/>
        <w:ind w:firstLine="480"/>
        <w:rPr>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根据本项目满负荷运行时项目废气污染物的排气筒有组织排放浓度和厂界无组织排放浓度实际监测结果，炼胶工序、硫化工序处理前臭气浓度均低于500（无量纲），经处理后有组织排放的臭气排放浓度低于</w:t>
      </w:r>
      <w:r>
        <w:rPr>
          <w:rStyle w:val="63"/>
          <w:color w:val="000000" w:themeColor="text1"/>
          <w14:textFill>
            <w14:solidFill>
              <w14:schemeClr w14:val="tx1"/>
            </w14:solidFill>
          </w14:textFill>
        </w:rPr>
        <w:t>100</w:t>
      </w:r>
      <w:r>
        <w:rPr>
          <w:rStyle w:val="63"/>
          <w:rFonts w:hint="eastAsia"/>
          <w:color w:val="000000" w:themeColor="text1"/>
          <w14:textFill>
            <w14:solidFill>
              <w14:schemeClr w14:val="tx1"/>
            </w14:solidFill>
          </w14:textFill>
        </w:rPr>
        <w:t>（无量纲），厂界臭气浓度低于2</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（无量纲），能够满足《恶臭污染物排放标准》（GB 14554-93）中15m排气筒排放浓度及厂界无组织限值。因此采取措施进一步加强废气收集效果和处理效果后，项目排气筒有组织排放和厂界无组织排放的臭气浓度会进一步减小，可达标排放。</w:t>
      </w:r>
    </w:p>
    <w:p>
      <w:pPr>
        <w:pStyle w:val="5"/>
      </w:pPr>
      <w:r>
        <w:rPr>
          <w:rFonts w:hint="eastAsia"/>
        </w:rPr>
        <w:t>污水站臭气处理措施可行性分析</w:t>
      </w:r>
    </w:p>
    <w:p>
      <w:pPr>
        <w:ind w:firstLine="480"/>
      </w:pPr>
      <w:r>
        <w:rPr>
          <w:rFonts w:hint="eastAsia"/>
        </w:rPr>
        <w:t>项目生活污水采用三级化粪池进行预处理，且污水处理构筑物均设密封盖板，排放的臭气较少，可达到《恶臭污染物排放标准》（GB</w:t>
      </w:r>
      <w:r>
        <w:t xml:space="preserve"> </w:t>
      </w:r>
      <w:r>
        <w:rPr>
          <w:rFonts w:hint="eastAsia"/>
        </w:rPr>
        <w:t>14554-93）中新扩改建二级标准值。同时项目污水处理站所在地较空旷，大气扩散条件较好，对周围环境影响较小。</w:t>
      </w:r>
    </w:p>
    <w:p>
      <w:pPr>
        <w:ind w:firstLine="480"/>
      </w:pPr>
      <w:r>
        <w:rPr>
          <w:rFonts w:hint="eastAsia"/>
        </w:rPr>
        <w:t>项目应加强绿化，在污水处理站四周设置绿化隔离带加强绿化。在辅助生产及管理区、职工生活区也应有足够的绿化，在厂区空地和道路两边种植花草树木，以降低恶臭污染的影响。</w:t>
      </w:r>
    </w:p>
    <w:p>
      <w:pPr>
        <w:pStyle w:val="5"/>
      </w:pPr>
      <w:r>
        <w:rPr>
          <w:rFonts w:hint="eastAsia"/>
        </w:rPr>
        <w:t>无组织排放气体综合防治措施</w:t>
      </w:r>
    </w:p>
    <w:p>
      <w:pPr>
        <w:ind w:firstLine="480"/>
      </w:pPr>
      <w:r>
        <w:rPr>
          <w:rFonts w:hint="eastAsia"/>
        </w:rPr>
        <w:t>本项目无组织排放废气主要为未收集的密炼粉尘、密炼废气、开炼废气、硫化废气和粘胶废气等。建设单位拟采取如下措施，以减少无组织排放量与排放浓度：</w:t>
      </w:r>
    </w:p>
    <w:p>
      <w:pPr>
        <w:ind w:firstLine="480"/>
      </w:pPr>
      <w:r>
        <w:rPr>
          <w:rFonts w:hint="eastAsia"/>
        </w:rPr>
        <w:t>（</w:t>
      </w:r>
      <w:r>
        <w:rPr>
          <w:rFonts w:cs="Times New Roman"/>
        </w:rPr>
        <w:t>1</w:t>
      </w:r>
      <w:r>
        <w:rPr>
          <w:rFonts w:hint="eastAsia"/>
        </w:rPr>
        <w:t>）合理布置车间，将无组织废气的产生源布置在远离厂界的地方，以减少无组织废气对厂界周围环境的影响；</w:t>
      </w:r>
    </w:p>
    <w:p>
      <w:pPr>
        <w:ind w:firstLine="480"/>
      </w:pPr>
      <w:r>
        <w:rPr>
          <w:rFonts w:hint="eastAsia"/>
        </w:rPr>
        <w:t>（</w:t>
      </w:r>
      <w:r>
        <w:rPr>
          <w:rFonts w:cs="Times New Roman"/>
        </w:rPr>
        <w:t>2</w:t>
      </w:r>
      <w:r>
        <w:rPr>
          <w:rFonts w:hint="eastAsia"/>
        </w:rPr>
        <w:t>）加强对操作工的培训和管理，确保废气的捕捉率，以减少人为造成的废气无组织排放；</w:t>
      </w:r>
    </w:p>
    <w:p>
      <w:pPr>
        <w:ind w:firstLine="480"/>
      </w:pPr>
      <w:r>
        <w:rPr>
          <w:rFonts w:hint="eastAsia"/>
        </w:rPr>
        <w:t>（</w:t>
      </w:r>
      <w:r>
        <w:rPr>
          <w:rFonts w:cs="Times New Roman"/>
        </w:rPr>
        <w:t>3</w:t>
      </w:r>
      <w:r>
        <w:rPr>
          <w:rFonts w:hint="eastAsia"/>
        </w:rPr>
        <w:t>）在厂区外侧设置绿化带，种植对有机废气具有良好吸附效果的植被以降低无组织排放的影响。</w:t>
      </w:r>
    </w:p>
    <w:p>
      <w:pPr>
        <w:ind w:firstLine="480"/>
      </w:pPr>
      <w:r>
        <w:rPr>
          <w:rFonts w:hint="eastAsia"/>
        </w:rPr>
        <w:t>通过以上措施，可以减少无组织废气的排放，无组织排放的废气能够满足相应的排放标准要求，对周围大气环境的影响。</w:t>
      </w:r>
    </w:p>
    <w:p>
      <w:pPr>
        <w:pStyle w:val="5"/>
      </w:pPr>
      <w:r>
        <w:rPr>
          <w:rFonts w:hint="eastAsia"/>
        </w:rPr>
        <w:t>小结</w:t>
      </w:r>
    </w:p>
    <w:p>
      <w:pPr>
        <w:ind w:firstLine="480"/>
      </w:pPr>
      <w:r>
        <w:rPr>
          <w:rFonts w:hint="eastAsia"/>
        </w:rPr>
        <w:t>项目拟采用的废气污染防治措施均为现有较成熟并应用较多的工艺，处理设备运行稳定可靠；根据工程分析，在采取环评所提出的废气防治措施后，项目各工段排放的非甲烷总烃、恶臭物质等废气排放浓度及排放速率均能满足相关标准要求；建设单位应加强设备运行维护，确保污染物长期稳定达标排放，因此项目废气处理方案基本合理可行。</w:t>
      </w:r>
    </w:p>
    <w:bookmarkEnd w:id="600"/>
    <w:p>
      <w:pPr>
        <w:pStyle w:val="4"/>
      </w:pPr>
      <w:bookmarkStart w:id="604" w:name="_Toc31481"/>
      <w:bookmarkStart w:id="605" w:name="_Toc3538808"/>
      <w:bookmarkStart w:id="606" w:name="_Toc307847904"/>
      <w:bookmarkStart w:id="607" w:name="_Toc331536255"/>
      <w:bookmarkStart w:id="608" w:name="_Toc329784225"/>
      <w:bookmarkStart w:id="609" w:name="_Toc12383"/>
      <w:r>
        <w:t>噪声</w:t>
      </w:r>
      <w:r>
        <w:rPr>
          <w:rFonts w:hint="eastAsia"/>
        </w:rPr>
        <w:t>污染防治</w:t>
      </w:r>
      <w:r>
        <w:t>措施可行性分析</w:t>
      </w:r>
      <w:bookmarkEnd w:id="604"/>
      <w:bookmarkEnd w:id="605"/>
      <w:bookmarkEnd w:id="606"/>
      <w:bookmarkEnd w:id="607"/>
      <w:bookmarkEnd w:id="608"/>
      <w:bookmarkEnd w:id="609"/>
    </w:p>
    <w:p>
      <w:pPr>
        <w:pStyle w:val="5"/>
      </w:pPr>
      <w:bookmarkStart w:id="610" w:name="_Toc147120047"/>
      <w:bookmarkStart w:id="611" w:name="_Toc331536256"/>
      <w:bookmarkStart w:id="612" w:name="_Toc92651447"/>
      <w:r>
        <w:t>噪声</w:t>
      </w:r>
      <w:bookmarkEnd w:id="610"/>
      <w:bookmarkEnd w:id="611"/>
      <w:bookmarkEnd w:id="612"/>
      <w:r>
        <w:rPr>
          <w:rFonts w:hint="eastAsia"/>
        </w:rPr>
        <w:t>防治原则</w:t>
      </w:r>
    </w:p>
    <w:p>
      <w:pPr>
        <w:tabs>
          <w:tab w:val="left" w:pos="525"/>
        </w:tabs>
        <w:autoSpaceDE w:val="0"/>
        <w:autoSpaceDN w:val="0"/>
        <w:adjustRightInd w:val="0"/>
        <w:ind w:firstLine="480"/>
        <w:rPr>
          <w:rFonts w:eastAsiaTheme="minorEastAsia"/>
        </w:rPr>
      </w:pPr>
      <w:r>
        <w:rPr>
          <w:rFonts w:hint="eastAsia" w:eastAsiaTheme="minorEastAsia"/>
        </w:rPr>
        <w:t>噪声属于物理性污染，其污染状况与噪声源、传播途径、接受者均有一定的关系。噪声传播途径包括反射、衍射等等形式的声波行进过程。噪声控制的原理，也就是在噪声到达接受者之前，采用阻尼、隔声、消声器、个人防护和建筑布局等几大措施，尽量减弱或降低声源的振动，或将传播中的声能吸收掉，使声音全部或部分反射出去，减弱噪声对接受者的影响，这样则可达到控制噪声的目的。</w:t>
      </w:r>
    </w:p>
    <w:p>
      <w:pPr>
        <w:pStyle w:val="5"/>
      </w:pPr>
      <w:r>
        <w:rPr>
          <w:rFonts w:hint="eastAsia"/>
        </w:rPr>
        <w:t>拟采取的噪声控制措施</w:t>
      </w:r>
    </w:p>
    <w:p>
      <w:pPr>
        <w:tabs>
          <w:tab w:val="left" w:pos="525"/>
        </w:tabs>
        <w:autoSpaceDE w:val="0"/>
        <w:autoSpaceDN w:val="0"/>
        <w:adjustRightInd w:val="0"/>
        <w:ind w:firstLine="480"/>
        <w:rPr>
          <w:rFonts w:eastAsiaTheme="minorEastAsia"/>
          <w:lang w:val="zh-CN"/>
        </w:rPr>
      </w:pPr>
      <w:r>
        <w:rPr>
          <w:rFonts w:hint="eastAsia" w:cs="Times New Roman" w:eastAsiaTheme="minorEastAsia"/>
        </w:rPr>
        <w:t>本项目营运期噪声源主要包括密炼机、开炼机、硫化机、空压机等设备，生产机械设备运行时产生的噪声声级从</w:t>
      </w:r>
      <w:r>
        <w:rPr>
          <w:rFonts w:hint="eastAsia" w:eastAsiaTheme="minorEastAsia"/>
        </w:rPr>
        <w:t>65-95dB（A）不等，且为连续噪声。</w:t>
      </w:r>
    </w:p>
    <w:p>
      <w:pPr>
        <w:ind w:firstLine="480"/>
      </w:pPr>
      <w:r>
        <w:rPr>
          <w:rFonts w:hint="eastAsia"/>
        </w:rPr>
        <w:t>本项目应通过生产车间厂房的优化设计，有效降低生产噪声影响，使生产噪声达标排放。为了有效降低生产车间的噪声影响，建议采取减振、隔声、吸声、消声等综合治理措施。</w:t>
      </w:r>
    </w:p>
    <w:p>
      <w:pPr>
        <w:tabs>
          <w:tab w:val="left" w:pos="525"/>
        </w:tabs>
        <w:autoSpaceDE w:val="0"/>
        <w:autoSpaceDN w:val="0"/>
        <w:adjustRightInd w:val="0"/>
        <w:ind w:firstLine="480"/>
        <w:rPr>
          <w:rFonts w:eastAsiaTheme="minorEastAsia"/>
          <w:lang w:val="zh-CN"/>
        </w:rPr>
      </w:pPr>
      <w:r>
        <w:rPr>
          <w:rFonts w:hint="eastAsia" w:eastAsiaTheme="minorEastAsia"/>
          <w:lang w:val="zh-CN"/>
        </w:rPr>
        <w:t>（1）设备选型。充分选用先进的低噪设备，如选用低噪的水泵、风机等，以从声源上降低设备本身噪声。</w:t>
      </w:r>
    </w:p>
    <w:p>
      <w:pPr>
        <w:tabs>
          <w:tab w:val="left" w:pos="525"/>
        </w:tabs>
        <w:autoSpaceDE w:val="0"/>
        <w:autoSpaceDN w:val="0"/>
        <w:adjustRightInd w:val="0"/>
        <w:ind w:firstLine="480"/>
        <w:rPr>
          <w:rFonts w:eastAsiaTheme="minorEastAsia"/>
          <w:lang w:val="zh-CN"/>
        </w:rPr>
      </w:pPr>
      <w:r>
        <w:rPr>
          <w:rFonts w:hint="eastAsia" w:eastAsiaTheme="minorEastAsia"/>
          <w:lang w:val="zh-CN"/>
        </w:rPr>
        <w:t>（2）设备隔声。水泵、风机等高噪声设备进行基础减振，安装减震垫；在风机的风管进、出口安装消声器，并采用风管软接头。</w:t>
      </w:r>
    </w:p>
    <w:p>
      <w:pPr>
        <w:tabs>
          <w:tab w:val="left" w:pos="525"/>
        </w:tabs>
        <w:autoSpaceDE w:val="0"/>
        <w:autoSpaceDN w:val="0"/>
        <w:adjustRightInd w:val="0"/>
        <w:ind w:firstLine="480"/>
        <w:rPr>
          <w:rFonts w:eastAsiaTheme="minorEastAsia"/>
          <w:lang w:val="zh-CN"/>
        </w:rPr>
      </w:pPr>
      <w:r>
        <w:rPr>
          <w:rFonts w:hint="eastAsia" w:eastAsiaTheme="minorEastAsia"/>
          <w:lang w:val="zh-CN"/>
        </w:rPr>
        <w:t>（3）总图布置尽量将噪声大的噪声源远离厂界和敏感点，通过距离衰减降噪；</w:t>
      </w:r>
    </w:p>
    <w:p>
      <w:pPr>
        <w:tabs>
          <w:tab w:val="left" w:pos="525"/>
        </w:tabs>
        <w:autoSpaceDE w:val="0"/>
        <w:autoSpaceDN w:val="0"/>
        <w:adjustRightInd w:val="0"/>
        <w:ind w:firstLine="480"/>
        <w:rPr>
          <w:rFonts w:eastAsiaTheme="minorEastAsia"/>
          <w:lang w:val="zh-CN"/>
        </w:rPr>
      </w:pPr>
      <w:r>
        <w:rPr>
          <w:rFonts w:hint="eastAsia" w:eastAsiaTheme="minorEastAsia"/>
          <w:lang w:val="zh-CN"/>
        </w:rPr>
        <w:t>（4）车间隔声。通过生产车间的墙壁、房顶采用吸声材料及隔声结构，喷漆房采用隔声门窗来提高构筑物隔声量。</w:t>
      </w:r>
    </w:p>
    <w:p>
      <w:pPr>
        <w:tabs>
          <w:tab w:val="left" w:pos="525"/>
        </w:tabs>
        <w:autoSpaceDE w:val="0"/>
        <w:autoSpaceDN w:val="0"/>
        <w:adjustRightInd w:val="0"/>
        <w:ind w:firstLine="480"/>
        <w:rPr>
          <w:rFonts w:eastAsiaTheme="minorEastAsia"/>
          <w:lang w:val="zh-CN"/>
        </w:rPr>
      </w:pPr>
      <w:r>
        <w:rPr>
          <w:rFonts w:hint="eastAsia" w:eastAsiaTheme="minorEastAsia"/>
          <w:lang w:val="zh-CN"/>
        </w:rPr>
        <w:t>（5）加强设备的日常维修、更新，确保所有设备尤其是噪声污染设备处于正常工况，防止非正常工况下的高噪声污染现象出现；</w:t>
      </w:r>
    </w:p>
    <w:p>
      <w:pPr>
        <w:tabs>
          <w:tab w:val="left" w:pos="525"/>
        </w:tabs>
        <w:autoSpaceDE w:val="0"/>
        <w:autoSpaceDN w:val="0"/>
        <w:adjustRightInd w:val="0"/>
        <w:ind w:firstLine="480"/>
        <w:rPr>
          <w:rFonts w:eastAsiaTheme="minorEastAsia"/>
          <w:lang w:val="zh-CN"/>
        </w:rPr>
      </w:pPr>
      <w:r>
        <w:rPr>
          <w:rFonts w:hint="eastAsia" w:eastAsiaTheme="minorEastAsia"/>
          <w:lang w:val="zh-CN"/>
        </w:rPr>
        <w:t>（6）加强对进出企业的车辆进行管理，尤其是鸣笛管理，夜间禁止运输。</w:t>
      </w:r>
    </w:p>
    <w:p>
      <w:pPr>
        <w:tabs>
          <w:tab w:val="left" w:pos="525"/>
        </w:tabs>
        <w:autoSpaceDE w:val="0"/>
        <w:autoSpaceDN w:val="0"/>
        <w:adjustRightInd w:val="0"/>
        <w:ind w:firstLine="480"/>
        <w:rPr>
          <w:rFonts w:eastAsiaTheme="minorEastAsia"/>
          <w:lang w:val="zh-CN"/>
        </w:rPr>
      </w:pPr>
      <w:r>
        <w:rPr>
          <w:rFonts w:hint="eastAsia" w:eastAsiaTheme="minorEastAsia"/>
          <w:lang w:val="zh-CN"/>
        </w:rPr>
        <w:t>上述噪声的控制技术都已经较为成熟，可供选择的方法有多种。通过以上噪声控制措施，可有效地降低项目产生噪声对环境的影响，使项目厂界噪声满足《工业企业厂界环境噪声排放标准》（GB</w:t>
      </w:r>
      <w:r>
        <w:rPr>
          <w:rFonts w:eastAsiaTheme="minorEastAsia"/>
          <w:lang w:val="zh-CN"/>
        </w:rPr>
        <w:t xml:space="preserve"> </w:t>
      </w:r>
      <w:r>
        <w:rPr>
          <w:rFonts w:hint="eastAsia" w:eastAsiaTheme="minorEastAsia"/>
          <w:lang w:val="zh-CN"/>
        </w:rPr>
        <w:t>12348-2008）中</w:t>
      </w:r>
      <w:r>
        <w:rPr>
          <w:rFonts w:hint="eastAsia" w:eastAsiaTheme="minorEastAsia"/>
        </w:rPr>
        <w:t>2</w:t>
      </w:r>
      <w:r>
        <w:rPr>
          <w:rFonts w:hint="eastAsia" w:eastAsiaTheme="minorEastAsia"/>
          <w:lang w:val="zh-CN"/>
        </w:rPr>
        <w:t>类区标准。从技术角度上讲，完全可以满足噪声防治的需要。</w:t>
      </w:r>
    </w:p>
    <w:p>
      <w:pPr>
        <w:pStyle w:val="5"/>
      </w:pPr>
      <w:bookmarkStart w:id="613" w:name="_Toc92651448"/>
      <w:bookmarkStart w:id="614" w:name="_Toc331536257"/>
      <w:bookmarkStart w:id="615" w:name="_Toc147120048"/>
      <w:r>
        <w:t>噪声措施可行性分析</w:t>
      </w:r>
      <w:bookmarkEnd w:id="613"/>
      <w:bookmarkEnd w:id="614"/>
      <w:bookmarkEnd w:id="615"/>
    </w:p>
    <w:p>
      <w:pPr>
        <w:tabs>
          <w:tab w:val="left" w:pos="525"/>
        </w:tabs>
        <w:autoSpaceDE w:val="0"/>
        <w:autoSpaceDN w:val="0"/>
        <w:adjustRightInd w:val="0"/>
        <w:ind w:firstLine="480"/>
        <w:rPr>
          <w:rFonts w:eastAsiaTheme="minorEastAsia"/>
          <w:lang w:val="zh-CN"/>
        </w:rPr>
      </w:pPr>
      <w:r>
        <w:rPr>
          <w:rFonts w:hint="eastAsia" w:eastAsiaTheme="minorEastAsia"/>
          <w:lang w:val="zh-CN"/>
        </w:rPr>
        <w:t>通过采取上述各项减振、隔声、吸声、消声等综合治理措施，设备产生的噪声会大大削减，根据预测结果，建设项目建成营运后产生的噪声在厂区边界外1米处能达到相应的区域噪声排放标准要求。隔声减震、选用低噪设备，是在噪声防治中相对比较成熟的做法，技术可行性高，费用也比较低，本评价认为建设单位采取的噪声治理措施在技术和经济上是可接受的。</w:t>
      </w:r>
    </w:p>
    <w:p>
      <w:pPr>
        <w:pStyle w:val="4"/>
      </w:pPr>
      <w:bookmarkStart w:id="616" w:name="_Toc10006"/>
      <w:bookmarkStart w:id="617" w:name="_Toc29676"/>
      <w:bookmarkStart w:id="618" w:name="_Toc331536259"/>
      <w:bookmarkStart w:id="619" w:name="_Toc307847905"/>
      <w:bookmarkStart w:id="620" w:name="_Toc329784226"/>
      <w:bookmarkStart w:id="621" w:name="_Ref3537430"/>
      <w:bookmarkStart w:id="622" w:name="_Toc3538809"/>
      <w:r>
        <w:rPr>
          <w:rFonts w:hint="eastAsia"/>
        </w:rPr>
        <w:t>固体废物污染防治</w:t>
      </w:r>
      <w:r>
        <w:t>措施可行性分析</w:t>
      </w:r>
      <w:bookmarkEnd w:id="616"/>
      <w:bookmarkEnd w:id="617"/>
      <w:bookmarkEnd w:id="618"/>
      <w:bookmarkEnd w:id="619"/>
      <w:bookmarkEnd w:id="620"/>
      <w:bookmarkEnd w:id="621"/>
      <w:bookmarkEnd w:id="622"/>
    </w:p>
    <w:p>
      <w:pPr>
        <w:pStyle w:val="5"/>
      </w:pPr>
      <w:bookmarkStart w:id="623" w:name="_Toc331536260"/>
      <w:r>
        <w:rPr>
          <w:rFonts w:hint="eastAsia"/>
        </w:rPr>
        <w:t>固体</w:t>
      </w:r>
      <w:r>
        <w:t>废物</w:t>
      </w:r>
      <w:bookmarkEnd w:id="623"/>
      <w:r>
        <w:rPr>
          <w:rFonts w:hint="eastAsia"/>
        </w:rPr>
        <w:t>产生及处置情况</w:t>
      </w:r>
    </w:p>
    <w:p>
      <w:pPr>
        <w:pStyle w:val="6"/>
      </w:pPr>
      <w:r>
        <w:rPr>
          <w:rFonts w:hint="eastAsia"/>
        </w:rPr>
        <w:t>固体废物的种类及特性</w:t>
      </w:r>
    </w:p>
    <w:p>
      <w:pPr>
        <w:tabs>
          <w:tab w:val="left" w:pos="525"/>
        </w:tabs>
        <w:autoSpaceDE w:val="0"/>
        <w:autoSpaceDN w:val="0"/>
        <w:adjustRightInd w:val="0"/>
        <w:ind w:firstLine="480"/>
        <w:rPr>
          <w:rFonts w:eastAsiaTheme="minorEastAsia"/>
          <w:lang w:val="zh-CN"/>
        </w:rPr>
      </w:pPr>
      <w:r>
        <w:rPr>
          <w:rFonts w:hint="eastAsia" w:eastAsiaTheme="minorEastAsia"/>
          <w:lang w:val="zh-CN"/>
        </w:rPr>
        <w:t>由污染源分析可知，本项目运营期</w:t>
      </w:r>
      <w:r>
        <w:rPr>
          <w:rFonts w:eastAsiaTheme="minorEastAsia"/>
        </w:rPr>
        <w:t>产生的固体</w:t>
      </w:r>
      <w:r>
        <w:rPr>
          <w:rFonts w:hint="eastAsia" w:eastAsiaTheme="minorEastAsia"/>
        </w:rPr>
        <w:t>废物主要有一般工业固体废物（废包装材料、橡胶边角料、布袋除尘装置收集的除尘灰、不合格产品）、危险废物（有机废气处理产生的废饱和活性炭以及设备维修过程中产生的</w:t>
      </w:r>
      <w:r>
        <w:rPr>
          <w:rFonts w:hint="eastAsia"/>
        </w:rPr>
        <w:t>废润滑油、含油废抹布</w:t>
      </w:r>
      <w:r>
        <w:rPr>
          <w:rFonts w:hint="eastAsia" w:eastAsiaTheme="minorEastAsia"/>
        </w:rPr>
        <w:t>）和生活垃圾。</w:t>
      </w:r>
      <w:r>
        <w:rPr>
          <w:rFonts w:hint="eastAsia" w:eastAsiaTheme="minorEastAsia"/>
          <w:lang w:val="zh-CN"/>
        </w:rPr>
        <w:t>本项目固体废物产生及处理处置情况详见</w:t>
      </w:r>
      <w:r>
        <w:rPr>
          <w:rFonts w:eastAsiaTheme="minorEastAsia"/>
          <w:lang w:val="zh-CN"/>
        </w:rPr>
        <w:fldChar w:fldCharType="begin"/>
      </w:r>
      <w:r>
        <w:rPr>
          <w:rFonts w:eastAsiaTheme="minorEastAsia"/>
          <w:lang w:val="zh-CN"/>
        </w:rPr>
        <w:instrText xml:space="preserve"> </w:instrText>
      </w:r>
      <w:r>
        <w:rPr>
          <w:rFonts w:hint="eastAsia" w:eastAsiaTheme="minorEastAsia"/>
          <w:lang w:val="zh-CN"/>
        </w:rPr>
        <w:instrText xml:space="preserve">REF _Ref530328808 \h</w:instrText>
      </w:r>
      <w:r>
        <w:rPr>
          <w:rFonts w:eastAsiaTheme="minorEastAsia"/>
          <w:lang w:val="zh-CN"/>
        </w:rPr>
        <w:instrText xml:space="preserve"> </w:instrText>
      </w:r>
      <w:r>
        <w:rPr>
          <w:rFonts w:eastAsiaTheme="minorEastAsia"/>
          <w:lang w:val="zh-CN"/>
        </w:rPr>
        <w:fldChar w:fldCharType="separate"/>
      </w:r>
      <w:r>
        <w:rPr>
          <w:rFonts w:hint="eastAsia"/>
        </w:rPr>
        <w:t xml:space="preserve">表 </w:t>
      </w:r>
      <w:r>
        <w:t>2.8</w:t>
      </w:r>
      <w:r>
        <w:noBreakHyphen/>
      </w:r>
      <w:r>
        <w:t>26</w:t>
      </w:r>
      <w:r>
        <w:rPr>
          <w:rFonts w:eastAsiaTheme="minorEastAsia"/>
          <w:lang w:val="zh-CN"/>
        </w:rPr>
        <w:fldChar w:fldCharType="end"/>
      </w:r>
      <w:r>
        <w:rPr>
          <w:rFonts w:hint="eastAsia" w:eastAsiaTheme="minorEastAsia"/>
          <w:lang w:val="zh-CN"/>
        </w:rPr>
        <w:t>。</w:t>
      </w:r>
    </w:p>
    <w:p>
      <w:pPr>
        <w:pStyle w:val="6"/>
      </w:pPr>
      <w:r>
        <w:rPr>
          <w:rFonts w:hint="eastAsia"/>
        </w:rPr>
        <w:t>固体废物</w:t>
      </w:r>
      <w:r>
        <w:t>处理处置方式</w:t>
      </w:r>
    </w:p>
    <w:p>
      <w:pPr>
        <w:tabs>
          <w:tab w:val="left" w:pos="525"/>
        </w:tabs>
        <w:autoSpaceDE w:val="0"/>
        <w:autoSpaceDN w:val="0"/>
        <w:adjustRightInd w:val="0"/>
        <w:ind w:firstLine="480"/>
        <w:rPr>
          <w:rFonts w:eastAsiaTheme="minorEastAsia"/>
          <w:lang w:val="zh-CN"/>
        </w:rPr>
      </w:pPr>
      <w:r>
        <w:rPr>
          <w:rFonts w:hint="eastAsia" w:eastAsiaTheme="minorEastAsia"/>
          <w:lang w:val="zh-CN"/>
        </w:rPr>
        <w:t>（1）危险废物：</w:t>
      </w:r>
      <w:r>
        <w:rPr>
          <w:rFonts w:hint="eastAsia" w:eastAsiaTheme="minorEastAsia"/>
        </w:rPr>
        <w:t>废活性炭、</w:t>
      </w:r>
      <w:r>
        <w:rPr>
          <w:rFonts w:hint="eastAsia"/>
        </w:rPr>
        <w:t>废润滑油、含油废抹布</w:t>
      </w:r>
      <w:r>
        <w:rPr>
          <w:rFonts w:hint="eastAsia" w:eastAsiaTheme="minorEastAsia"/>
        </w:rPr>
        <w:t>，</w:t>
      </w:r>
      <w:r>
        <w:rPr>
          <w:rFonts w:hint="eastAsia" w:eastAsiaTheme="minorEastAsia"/>
          <w:lang w:val="zh-CN"/>
        </w:rPr>
        <w:t>全部交有危险废物处理资质单位处理。</w:t>
      </w:r>
    </w:p>
    <w:p>
      <w:pPr>
        <w:tabs>
          <w:tab w:val="left" w:pos="525"/>
        </w:tabs>
        <w:autoSpaceDE w:val="0"/>
        <w:autoSpaceDN w:val="0"/>
        <w:adjustRightInd w:val="0"/>
        <w:ind w:firstLine="480"/>
        <w:rPr>
          <w:rFonts w:eastAsiaTheme="minorEastAsia"/>
          <w:lang w:val="zh-CN"/>
        </w:rPr>
      </w:pPr>
      <w:r>
        <w:rPr>
          <w:rFonts w:hint="eastAsia" w:eastAsiaTheme="minorEastAsia"/>
          <w:lang w:val="zh-CN"/>
        </w:rPr>
        <w:t>（2）一般工业固废：切胶边角料返回开炼工序继续使用；除</w:t>
      </w:r>
      <w:r>
        <w:rPr>
          <w:rFonts w:hint="eastAsia" w:eastAsiaTheme="minorEastAsia"/>
        </w:rPr>
        <w:t>尘灰作为填充剂</w:t>
      </w:r>
      <w:r>
        <w:rPr>
          <w:rFonts w:ascii="Times New Roman" w:hAnsi="Times New Roman" w:cs="Times New Roman"/>
        </w:rPr>
        <w:t>返回</w:t>
      </w:r>
      <w:r>
        <w:rPr>
          <w:rFonts w:hint="eastAsia" w:ascii="Times New Roman" w:hAnsi="Times New Roman" w:cs="Times New Roman"/>
        </w:rPr>
        <w:t>密</w:t>
      </w:r>
      <w:r>
        <w:rPr>
          <w:rFonts w:ascii="Times New Roman" w:hAnsi="Times New Roman" w:cs="Times New Roman"/>
        </w:rPr>
        <w:t>炼工序继续使用</w:t>
      </w:r>
      <w:r>
        <w:rPr>
          <w:rFonts w:hint="eastAsia" w:ascii="Times New Roman" w:hAnsi="Times New Roman" w:cs="Times New Roman"/>
        </w:rPr>
        <w:t>；</w:t>
      </w:r>
      <w:r>
        <w:rPr>
          <w:rFonts w:hint="eastAsia" w:eastAsiaTheme="minorEastAsia"/>
          <w:lang w:val="zh-CN"/>
        </w:rPr>
        <w:t>废包装材料、</w:t>
      </w:r>
      <w:r>
        <w:rPr>
          <w:rFonts w:hint="eastAsia" w:eastAsiaTheme="minorEastAsia"/>
        </w:rPr>
        <w:t>修边边角料、不合格产品</w:t>
      </w:r>
      <w:r>
        <w:rPr>
          <w:rFonts w:hint="eastAsia" w:cs="Times New Roman" w:eastAsiaTheme="minorEastAsia"/>
        </w:rPr>
        <w:t>可收集后交由专业资源回收单位回收再利用</w:t>
      </w:r>
      <w:r>
        <w:rPr>
          <w:rFonts w:hint="eastAsia" w:eastAsiaTheme="minorEastAsia"/>
          <w:lang w:val="zh-CN"/>
        </w:rPr>
        <w:t>。</w:t>
      </w:r>
    </w:p>
    <w:p>
      <w:pPr>
        <w:tabs>
          <w:tab w:val="left" w:pos="525"/>
        </w:tabs>
        <w:autoSpaceDE w:val="0"/>
        <w:autoSpaceDN w:val="0"/>
        <w:adjustRightInd w:val="0"/>
        <w:ind w:firstLine="480"/>
        <w:rPr>
          <w:rFonts w:eastAsiaTheme="minorEastAsia"/>
          <w:lang w:val="zh-CN"/>
        </w:rPr>
      </w:pPr>
      <w:r>
        <w:rPr>
          <w:rFonts w:hint="eastAsia" w:eastAsiaTheme="minorEastAsia"/>
          <w:lang w:val="zh-CN"/>
        </w:rPr>
        <w:t>（3）生活垃圾：统一堆放在指定堆放点，每天由环卫部门清理运走，并定时在垃圾堆放点消毒、杀灭害虫，使其不对工作人员造成影响。</w:t>
      </w:r>
    </w:p>
    <w:p>
      <w:pPr>
        <w:pStyle w:val="5"/>
      </w:pPr>
      <w:r>
        <w:rPr>
          <w:rFonts w:hint="eastAsia"/>
        </w:rPr>
        <w:t>固体废物收集、贮存及运输过程处置要求</w:t>
      </w:r>
    </w:p>
    <w:p>
      <w:pPr>
        <w:ind w:firstLine="480"/>
      </w:pPr>
      <w:r>
        <w:rPr>
          <w:rFonts w:hint="eastAsia"/>
        </w:rPr>
        <w:t>（</w:t>
      </w:r>
      <w:r>
        <w:rPr>
          <w:rFonts w:cs="Times New Roman"/>
        </w:rPr>
        <w:t>1</w:t>
      </w:r>
      <w:r>
        <w:rPr>
          <w:rFonts w:hint="eastAsia"/>
        </w:rPr>
        <w:t>）危险废物收集过程要求</w:t>
      </w:r>
    </w:p>
    <w:p>
      <w:pPr>
        <w:ind w:firstLine="480"/>
      </w:pPr>
      <w:r>
        <w:rPr>
          <w:rFonts w:hint="eastAsia"/>
        </w:rPr>
        <w:t>危险废物在收集时，应清楚废物的类别及主要成份，以方便委托处理单位处理，根据危险废物的性质和形态，可采用不同大小和不同材质的容器进行包装，所有包装容器应足够安全，并经过周密检查，严防在装载、搬移或运输途中出现渗漏、溢出、抛洒或挥发等情况。最后按照对危险废物交换和转移管理工作的有关要求，对危险废物进行安全包装，并在包装的明显位置附上危险废物标签。</w:t>
      </w:r>
    </w:p>
    <w:p>
      <w:pPr>
        <w:ind w:firstLine="480"/>
      </w:pPr>
      <w:r>
        <w:rPr>
          <w:rFonts w:hint="eastAsia"/>
        </w:rPr>
        <w:t>（</w:t>
      </w:r>
      <w:r>
        <w:rPr>
          <w:rFonts w:cs="Times New Roman"/>
        </w:rPr>
        <w:t>2</w:t>
      </w:r>
      <w:r>
        <w:rPr>
          <w:rFonts w:hint="eastAsia"/>
        </w:rPr>
        <w:t>）固体废物贮存场所建设要求</w:t>
      </w:r>
    </w:p>
    <w:p>
      <w:pPr>
        <w:ind w:firstLine="480"/>
      </w:pPr>
      <w:r>
        <w:rPr>
          <w:rFonts w:hint="eastAsia"/>
        </w:rPr>
        <w:t>厂区内危险废物暂存场地应按《危险废物贮存污染控制》（</w:t>
      </w:r>
      <w:r>
        <w:rPr>
          <w:rFonts w:cs="Times New Roman"/>
        </w:rPr>
        <w:t>GB 18597-2001</w:t>
      </w:r>
      <w:r>
        <w:rPr>
          <w:rFonts w:hint="eastAsia"/>
        </w:rPr>
        <w:t>）及其修改单要求设置，要求做到以下几点：</w:t>
      </w:r>
    </w:p>
    <w:p>
      <w:pPr>
        <w:ind w:firstLine="480"/>
      </w:pPr>
      <w:r>
        <w:rPr>
          <w:rFonts w:hint="eastAsia"/>
        </w:rPr>
        <w:t>①所有生产的危险废物均应当使用符合标准的容器盛装，装在危险废物的容器及材质要满足相应的强度要求，且必须完好无损；</w:t>
      </w:r>
    </w:p>
    <w:p>
      <w:pPr>
        <w:ind w:firstLine="480"/>
      </w:pPr>
      <w:r>
        <w:rPr>
          <w:rFonts w:hint="eastAsia"/>
        </w:rPr>
        <w:t>②禁止将不相容（互相反应）的危险废物在同一容器内混装，装危险废物的容器上必须粘贴符合标准附录</w:t>
      </w:r>
      <w:r>
        <w:rPr>
          <w:rFonts w:cs="Times New Roman"/>
        </w:rPr>
        <w:t>A</w:t>
      </w:r>
      <w:r>
        <w:rPr>
          <w:rFonts w:hint="eastAsia"/>
        </w:rPr>
        <w:t>所示标签；</w:t>
      </w:r>
    </w:p>
    <w:p>
      <w:pPr>
        <w:ind w:firstLine="480"/>
      </w:pPr>
      <w:r>
        <w:rPr>
          <w:rFonts w:hint="eastAsia"/>
        </w:rPr>
        <w:t>③用以存放装载液体、半固体危险废物容器的地方，必须有耐腐蚀的硬化地面，且表面无裂隙。危险废物存储间地面与裙角要用坚固、防渗的材料建造，建筑材料必须与危险废物相容，贮存间要有安全照明设施和观察窗口，应设计堵截泄露的裙脚，地面与裙脚所围建的容积不低于堵截最大容积的最大储量或总储量的五分之一，不相容的危险物必须分开存放，并设有隔离间隔断；</w:t>
      </w:r>
    </w:p>
    <w:p>
      <w:pPr>
        <w:ind w:firstLine="480"/>
      </w:pPr>
      <w:r>
        <w:rPr>
          <w:rFonts w:hint="eastAsia"/>
        </w:rPr>
        <w:t>④厂内建立危险废物台帐管理制度，做好危险废物情况的记录，记录上须注明危险废物的名称、来源、数量、特性和包装容器的类别、入库时间、存放库位、废物出库日期及接受单位名称，危险废物的记录和货单在危险废物回取后应继续保留三年；</w:t>
      </w:r>
    </w:p>
    <w:p>
      <w:pPr>
        <w:ind w:firstLine="480"/>
      </w:pPr>
      <w:r>
        <w:rPr>
          <w:rFonts w:hint="eastAsia"/>
        </w:rPr>
        <w:t>⑤必须定期对贮存的危险废物包装容器及贮存设施进行检查，发现破损，应及时采取措施清理更换；</w:t>
      </w:r>
    </w:p>
    <w:p>
      <w:pPr>
        <w:ind w:firstLine="480"/>
      </w:pPr>
      <w:r>
        <w:rPr>
          <w:rFonts w:hint="eastAsia"/>
        </w:rPr>
        <w:t>⑥危险废物贮存设施必须按</w:t>
      </w:r>
      <w:r>
        <w:rPr>
          <w:rFonts w:cs="Times New Roman"/>
        </w:rPr>
        <w:t>GB 15562.2</w:t>
      </w:r>
      <w:r>
        <w:rPr>
          <w:rFonts w:hint="eastAsia"/>
        </w:rPr>
        <w:t>的规定设置警示标志，周围应设置围墙或其他防护栅栏，配备通讯设备、照明设施、安全防护服装及工具，并设有应急防护设施。</w:t>
      </w:r>
    </w:p>
    <w:p>
      <w:pPr>
        <w:ind w:firstLine="480"/>
      </w:pPr>
      <w:r>
        <w:rPr>
          <w:rFonts w:hint="eastAsia"/>
        </w:rPr>
        <w:t>一般工业固废的暂存场所应按《一般工业固体废物贮存、处置场污染控制标准》（</w:t>
      </w:r>
      <w:r>
        <w:rPr>
          <w:rFonts w:cs="Times New Roman"/>
        </w:rPr>
        <w:t>GB 18599-2001</w:t>
      </w:r>
      <w:r>
        <w:rPr>
          <w:rFonts w:hint="eastAsia"/>
        </w:rPr>
        <w:t>）及其修改单要求建设，具体要求如下：</w:t>
      </w:r>
    </w:p>
    <w:p>
      <w:pPr>
        <w:ind w:firstLine="480"/>
      </w:pPr>
      <w:r>
        <w:rPr>
          <w:rFonts w:hint="eastAsia"/>
        </w:rPr>
        <w:t>①贮存、处置场的建设类型与将要堆放的一般工业固体废物的类别相一致；</w:t>
      </w:r>
    </w:p>
    <w:p>
      <w:pPr>
        <w:ind w:firstLine="480"/>
      </w:pPr>
      <w:r>
        <w:rPr>
          <w:rFonts w:hint="eastAsia"/>
        </w:rPr>
        <w:t>②贮存、处置场采取防止粉尘污染的措施；</w:t>
      </w:r>
    </w:p>
    <w:p>
      <w:pPr>
        <w:ind w:firstLine="480"/>
      </w:pPr>
      <w:r>
        <w:rPr>
          <w:rFonts w:hint="eastAsia"/>
        </w:rPr>
        <w:t>③为防止雨水径流进入贮存、处置场内，避免渗滤液量增加和滑坡，贮存、处置场周边设置导流渠。</w:t>
      </w:r>
    </w:p>
    <w:p>
      <w:pPr>
        <w:tabs>
          <w:tab w:val="left" w:pos="525"/>
        </w:tabs>
        <w:autoSpaceDE w:val="0"/>
        <w:autoSpaceDN w:val="0"/>
        <w:adjustRightInd w:val="0"/>
        <w:ind w:firstLine="480"/>
        <w:rPr>
          <w:rFonts w:eastAsiaTheme="minorEastAsia"/>
          <w:lang w:val="zh-CN"/>
        </w:rPr>
      </w:pPr>
      <w:r>
        <w:rPr>
          <w:rFonts w:hint="eastAsia" w:eastAsiaTheme="minorEastAsia"/>
          <w:lang w:val="zh-CN"/>
        </w:rPr>
        <w:t>本项目危险废物贮存场所基本情况一览表如下所示。</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rPr>
          <w:rFonts w:hint="eastAsia"/>
        </w:rPr>
        <w:t>危险废物贮存场所（设施）基本情况表</w:t>
      </w:r>
    </w:p>
    <w:tbl>
      <w:tblPr>
        <w:tblStyle w:val="56"/>
        <w:tblW w:w="9050" w:type="dxa"/>
        <w:tblInd w:w="0" w:type="dxa"/>
        <w:tblLayout w:type="fixed"/>
        <w:tblCellMar>
          <w:top w:w="0" w:type="dxa"/>
          <w:left w:w="108" w:type="dxa"/>
          <w:bottom w:w="0" w:type="dxa"/>
          <w:right w:w="108" w:type="dxa"/>
        </w:tblCellMar>
      </w:tblPr>
      <w:tblGrid>
        <w:gridCol w:w="428"/>
        <w:gridCol w:w="1122"/>
        <w:gridCol w:w="1274"/>
        <w:gridCol w:w="813"/>
        <w:gridCol w:w="1396"/>
        <w:gridCol w:w="834"/>
        <w:gridCol w:w="703"/>
        <w:gridCol w:w="1108"/>
        <w:gridCol w:w="691"/>
        <w:gridCol w:w="681"/>
      </w:tblGrid>
      <w:tr>
        <w:tblPrEx>
          <w:tblLayout w:type="fixed"/>
          <w:tblCellMar>
            <w:top w:w="0" w:type="dxa"/>
            <w:left w:w="108" w:type="dxa"/>
            <w:bottom w:w="0" w:type="dxa"/>
            <w:right w:w="108" w:type="dxa"/>
          </w:tblCellMar>
        </w:tblPrEx>
        <w:trPr>
          <w:trHeight w:val="525" w:hRule="atLeast"/>
          <w:tblHeader/>
        </w:trPr>
        <w:tc>
          <w:tcPr>
            <w:tcW w:w="428" w:type="dxa"/>
            <w:tcBorders>
              <w:top w:val="single" w:color="auto" w:sz="8" w:space="0"/>
              <w:left w:val="single" w:color="auto" w:sz="8" w:space="0"/>
              <w:bottom w:val="single" w:color="auto" w:sz="8" w:space="0"/>
              <w:right w:val="single" w:color="auto" w:sz="8" w:space="0"/>
            </w:tcBorders>
            <w:shd w:val="clear" w:color="auto" w:fill="D8D8D8" w:themeFill="background1" w:themeFillShade="D9"/>
            <w:vAlign w:val="center"/>
          </w:tcPr>
          <w:p>
            <w:pPr>
              <w:pStyle w:val="107"/>
              <w:rPr>
                <w:b/>
              </w:rPr>
            </w:pPr>
            <w:r>
              <w:rPr>
                <w:rFonts w:hint="eastAsia"/>
                <w:b/>
              </w:rPr>
              <w:t>序号</w:t>
            </w:r>
          </w:p>
        </w:tc>
        <w:tc>
          <w:tcPr>
            <w:tcW w:w="1122" w:type="dxa"/>
            <w:tcBorders>
              <w:top w:val="single" w:color="auto" w:sz="8" w:space="0"/>
              <w:left w:val="nil"/>
              <w:bottom w:val="single" w:color="auto" w:sz="8" w:space="0"/>
              <w:right w:val="single" w:color="auto" w:sz="8" w:space="0"/>
            </w:tcBorders>
            <w:shd w:val="clear" w:color="auto" w:fill="D8D8D8" w:themeFill="background1" w:themeFillShade="D9"/>
            <w:vAlign w:val="center"/>
          </w:tcPr>
          <w:p>
            <w:pPr>
              <w:pStyle w:val="107"/>
              <w:rPr>
                <w:b/>
              </w:rPr>
            </w:pPr>
            <w:r>
              <w:rPr>
                <w:rFonts w:hint="eastAsia"/>
                <w:b/>
              </w:rPr>
              <w:t>贮存场所（设施）名称</w:t>
            </w:r>
          </w:p>
        </w:tc>
        <w:tc>
          <w:tcPr>
            <w:tcW w:w="1274" w:type="dxa"/>
            <w:tcBorders>
              <w:top w:val="single" w:color="auto" w:sz="8" w:space="0"/>
              <w:left w:val="nil"/>
              <w:bottom w:val="single" w:color="auto" w:sz="8" w:space="0"/>
              <w:right w:val="single" w:color="auto" w:sz="8" w:space="0"/>
            </w:tcBorders>
            <w:shd w:val="clear" w:color="auto" w:fill="D8D8D8" w:themeFill="background1" w:themeFillShade="D9"/>
            <w:vAlign w:val="center"/>
          </w:tcPr>
          <w:p>
            <w:pPr>
              <w:pStyle w:val="107"/>
              <w:rPr>
                <w:b/>
              </w:rPr>
            </w:pPr>
            <w:r>
              <w:rPr>
                <w:rFonts w:hint="eastAsia"/>
                <w:b/>
              </w:rPr>
              <w:t>危险废物名称</w:t>
            </w:r>
          </w:p>
        </w:tc>
        <w:tc>
          <w:tcPr>
            <w:tcW w:w="813" w:type="dxa"/>
            <w:tcBorders>
              <w:top w:val="single" w:color="auto" w:sz="8" w:space="0"/>
              <w:left w:val="nil"/>
              <w:bottom w:val="single" w:color="auto" w:sz="8" w:space="0"/>
              <w:right w:val="single" w:color="auto" w:sz="8" w:space="0"/>
            </w:tcBorders>
            <w:shd w:val="clear" w:color="auto" w:fill="D8D8D8" w:themeFill="background1" w:themeFillShade="D9"/>
            <w:vAlign w:val="center"/>
          </w:tcPr>
          <w:p>
            <w:pPr>
              <w:pStyle w:val="107"/>
              <w:rPr>
                <w:b/>
              </w:rPr>
            </w:pPr>
            <w:r>
              <w:rPr>
                <w:rFonts w:hint="eastAsia"/>
                <w:b/>
              </w:rPr>
              <w:t>危险废物类别</w:t>
            </w:r>
          </w:p>
        </w:tc>
        <w:tc>
          <w:tcPr>
            <w:tcW w:w="1396" w:type="dxa"/>
            <w:tcBorders>
              <w:top w:val="single" w:color="auto" w:sz="8" w:space="0"/>
              <w:left w:val="nil"/>
              <w:bottom w:val="single" w:color="auto" w:sz="8" w:space="0"/>
              <w:right w:val="single" w:color="auto" w:sz="8" w:space="0"/>
            </w:tcBorders>
            <w:shd w:val="clear" w:color="auto" w:fill="D8D8D8" w:themeFill="background1" w:themeFillShade="D9"/>
            <w:vAlign w:val="center"/>
          </w:tcPr>
          <w:p>
            <w:pPr>
              <w:pStyle w:val="107"/>
              <w:rPr>
                <w:b/>
              </w:rPr>
            </w:pPr>
            <w:r>
              <w:rPr>
                <w:rFonts w:hint="eastAsia"/>
                <w:b/>
              </w:rPr>
              <w:t>危险废物代码</w:t>
            </w:r>
          </w:p>
        </w:tc>
        <w:tc>
          <w:tcPr>
            <w:tcW w:w="834" w:type="dxa"/>
            <w:tcBorders>
              <w:top w:val="single" w:color="auto" w:sz="8" w:space="0"/>
              <w:left w:val="nil"/>
              <w:bottom w:val="single" w:color="auto" w:sz="8" w:space="0"/>
              <w:right w:val="single" w:color="auto" w:sz="8" w:space="0"/>
            </w:tcBorders>
            <w:shd w:val="clear" w:color="auto" w:fill="D8D8D8" w:themeFill="background1" w:themeFillShade="D9"/>
            <w:vAlign w:val="center"/>
          </w:tcPr>
          <w:p>
            <w:pPr>
              <w:pStyle w:val="107"/>
              <w:rPr>
                <w:b/>
              </w:rPr>
            </w:pPr>
            <w:r>
              <w:rPr>
                <w:rFonts w:hint="eastAsia"/>
                <w:b/>
              </w:rPr>
              <w:t>位置</w:t>
            </w:r>
          </w:p>
        </w:tc>
        <w:tc>
          <w:tcPr>
            <w:tcW w:w="703" w:type="dxa"/>
            <w:tcBorders>
              <w:top w:val="single" w:color="auto" w:sz="8" w:space="0"/>
              <w:left w:val="nil"/>
              <w:bottom w:val="single" w:color="auto" w:sz="8" w:space="0"/>
              <w:right w:val="single" w:color="auto" w:sz="8" w:space="0"/>
            </w:tcBorders>
            <w:shd w:val="clear" w:color="auto" w:fill="D8D8D8" w:themeFill="background1" w:themeFillShade="D9"/>
            <w:vAlign w:val="center"/>
          </w:tcPr>
          <w:p>
            <w:pPr>
              <w:pStyle w:val="107"/>
              <w:rPr>
                <w:b/>
              </w:rPr>
            </w:pPr>
            <w:r>
              <w:rPr>
                <w:rFonts w:hint="eastAsia"/>
                <w:b/>
              </w:rPr>
              <w:t>占地面积</w:t>
            </w:r>
          </w:p>
        </w:tc>
        <w:tc>
          <w:tcPr>
            <w:tcW w:w="1108" w:type="dxa"/>
            <w:tcBorders>
              <w:top w:val="single" w:color="auto" w:sz="8" w:space="0"/>
              <w:left w:val="nil"/>
              <w:bottom w:val="single" w:color="auto" w:sz="8" w:space="0"/>
              <w:right w:val="single" w:color="auto" w:sz="8" w:space="0"/>
            </w:tcBorders>
            <w:shd w:val="clear" w:color="auto" w:fill="D8D8D8" w:themeFill="background1" w:themeFillShade="D9"/>
            <w:vAlign w:val="center"/>
          </w:tcPr>
          <w:p>
            <w:pPr>
              <w:pStyle w:val="107"/>
              <w:rPr>
                <w:b/>
              </w:rPr>
            </w:pPr>
            <w:r>
              <w:rPr>
                <w:rFonts w:hint="eastAsia"/>
                <w:b/>
              </w:rPr>
              <w:t>贮存方式</w:t>
            </w:r>
          </w:p>
        </w:tc>
        <w:tc>
          <w:tcPr>
            <w:tcW w:w="691" w:type="dxa"/>
            <w:tcBorders>
              <w:top w:val="single" w:color="auto" w:sz="8" w:space="0"/>
              <w:left w:val="nil"/>
              <w:bottom w:val="single" w:color="auto" w:sz="8" w:space="0"/>
              <w:right w:val="single" w:color="auto" w:sz="8" w:space="0"/>
            </w:tcBorders>
            <w:shd w:val="clear" w:color="auto" w:fill="D8D8D8" w:themeFill="background1" w:themeFillShade="D9"/>
            <w:vAlign w:val="center"/>
          </w:tcPr>
          <w:p>
            <w:pPr>
              <w:pStyle w:val="107"/>
              <w:rPr>
                <w:b/>
              </w:rPr>
            </w:pPr>
            <w:r>
              <w:rPr>
                <w:rFonts w:hint="eastAsia"/>
                <w:b/>
              </w:rPr>
              <w:t>贮存能力</w:t>
            </w:r>
          </w:p>
        </w:tc>
        <w:tc>
          <w:tcPr>
            <w:tcW w:w="681" w:type="dxa"/>
            <w:tcBorders>
              <w:top w:val="single" w:color="auto" w:sz="8" w:space="0"/>
              <w:left w:val="nil"/>
              <w:bottom w:val="single" w:color="auto" w:sz="8" w:space="0"/>
              <w:right w:val="single" w:color="auto" w:sz="8" w:space="0"/>
            </w:tcBorders>
            <w:shd w:val="clear" w:color="auto" w:fill="D8D8D8" w:themeFill="background1" w:themeFillShade="D9"/>
            <w:vAlign w:val="center"/>
          </w:tcPr>
          <w:p>
            <w:pPr>
              <w:pStyle w:val="107"/>
              <w:rPr>
                <w:b/>
              </w:rPr>
            </w:pPr>
            <w:r>
              <w:rPr>
                <w:rFonts w:hint="eastAsia"/>
                <w:b/>
              </w:rPr>
              <w:t>贮存周期</w:t>
            </w:r>
          </w:p>
        </w:tc>
      </w:tr>
      <w:tr>
        <w:tblPrEx>
          <w:tblLayout w:type="fixed"/>
          <w:tblCellMar>
            <w:top w:w="0" w:type="dxa"/>
            <w:left w:w="108" w:type="dxa"/>
            <w:bottom w:w="0" w:type="dxa"/>
            <w:right w:w="108" w:type="dxa"/>
          </w:tblCellMar>
        </w:tblPrEx>
        <w:trPr>
          <w:trHeight w:val="510" w:hRule="atLeast"/>
        </w:trPr>
        <w:tc>
          <w:tcPr>
            <w:tcW w:w="428" w:type="dxa"/>
            <w:tcBorders>
              <w:top w:val="nil"/>
              <w:left w:val="single" w:color="auto" w:sz="8" w:space="0"/>
              <w:bottom w:val="single" w:color="auto" w:sz="8" w:space="0"/>
              <w:right w:val="single" w:color="auto" w:sz="8" w:space="0"/>
            </w:tcBorders>
            <w:shd w:val="clear" w:color="auto" w:fill="auto"/>
            <w:vAlign w:val="center"/>
          </w:tcPr>
          <w:p>
            <w:pPr>
              <w:pStyle w:val="107"/>
            </w:pPr>
            <w:r>
              <w:rPr>
                <w:rFonts w:hint="eastAsia"/>
              </w:rPr>
              <w:t>1</w:t>
            </w:r>
          </w:p>
        </w:tc>
        <w:tc>
          <w:tcPr>
            <w:tcW w:w="1122" w:type="dxa"/>
            <w:vMerge w:val="restart"/>
            <w:tcBorders>
              <w:top w:val="nil"/>
              <w:left w:val="single" w:color="auto" w:sz="8" w:space="0"/>
              <w:bottom w:val="single" w:color="000000" w:sz="8" w:space="0"/>
              <w:right w:val="single" w:color="auto" w:sz="8" w:space="0"/>
            </w:tcBorders>
            <w:shd w:val="clear" w:color="auto" w:fill="auto"/>
            <w:vAlign w:val="center"/>
          </w:tcPr>
          <w:p>
            <w:pPr>
              <w:pStyle w:val="107"/>
            </w:pPr>
            <w:r>
              <w:rPr>
                <w:rFonts w:hint="eastAsia"/>
              </w:rPr>
              <w:t>危险废物暂存仓库</w:t>
            </w:r>
          </w:p>
        </w:tc>
        <w:tc>
          <w:tcPr>
            <w:tcW w:w="1274" w:type="dxa"/>
            <w:tcBorders>
              <w:top w:val="nil"/>
              <w:left w:val="nil"/>
              <w:bottom w:val="single" w:color="auto" w:sz="8" w:space="0"/>
              <w:right w:val="single" w:color="auto" w:sz="8" w:space="0"/>
            </w:tcBorders>
            <w:shd w:val="clear" w:color="auto" w:fill="auto"/>
            <w:vAlign w:val="center"/>
          </w:tcPr>
          <w:p>
            <w:pPr>
              <w:pStyle w:val="107"/>
            </w:pPr>
            <w:r>
              <w:rPr>
                <w:rFonts w:hint="eastAsia"/>
              </w:rPr>
              <w:t>废饱和活性炭</w:t>
            </w:r>
          </w:p>
        </w:tc>
        <w:tc>
          <w:tcPr>
            <w:tcW w:w="813" w:type="dxa"/>
            <w:tcBorders>
              <w:top w:val="nil"/>
              <w:left w:val="nil"/>
              <w:bottom w:val="single" w:color="auto" w:sz="8" w:space="0"/>
              <w:right w:val="single" w:color="auto" w:sz="8" w:space="0"/>
            </w:tcBorders>
            <w:shd w:val="clear" w:color="auto" w:fill="auto"/>
            <w:vAlign w:val="center"/>
          </w:tcPr>
          <w:p>
            <w:pPr>
              <w:pStyle w:val="107"/>
            </w:pPr>
            <w:r>
              <w:rPr>
                <w:rFonts w:hint="eastAsia"/>
              </w:rPr>
              <w:t>HW49</w:t>
            </w:r>
          </w:p>
        </w:tc>
        <w:tc>
          <w:tcPr>
            <w:tcW w:w="1396" w:type="dxa"/>
            <w:tcBorders>
              <w:top w:val="nil"/>
              <w:left w:val="nil"/>
              <w:bottom w:val="single" w:color="auto" w:sz="8" w:space="0"/>
              <w:right w:val="single" w:color="auto" w:sz="8" w:space="0"/>
            </w:tcBorders>
            <w:shd w:val="clear" w:color="auto" w:fill="auto"/>
            <w:vAlign w:val="center"/>
          </w:tcPr>
          <w:p>
            <w:pPr>
              <w:pStyle w:val="107"/>
            </w:pPr>
            <w:r>
              <w:rPr>
                <w:rFonts w:hint="eastAsia"/>
              </w:rPr>
              <w:t>900-041-49</w:t>
            </w:r>
          </w:p>
        </w:tc>
        <w:tc>
          <w:tcPr>
            <w:tcW w:w="834" w:type="dxa"/>
            <w:vMerge w:val="restart"/>
            <w:tcBorders>
              <w:top w:val="nil"/>
              <w:left w:val="single" w:color="auto" w:sz="8" w:space="0"/>
              <w:bottom w:val="single" w:color="000000" w:sz="8" w:space="0"/>
              <w:right w:val="single" w:color="auto" w:sz="8" w:space="0"/>
            </w:tcBorders>
            <w:shd w:val="clear" w:color="auto" w:fill="auto"/>
            <w:vAlign w:val="center"/>
          </w:tcPr>
          <w:p>
            <w:pPr>
              <w:pStyle w:val="107"/>
            </w:pPr>
            <w:r>
              <w:rPr>
                <w:rFonts w:hint="eastAsia"/>
              </w:rPr>
              <w:t>设置在原料仓库内</w:t>
            </w:r>
          </w:p>
        </w:tc>
        <w:tc>
          <w:tcPr>
            <w:tcW w:w="703" w:type="dxa"/>
            <w:vMerge w:val="restart"/>
            <w:tcBorders>
              <w:top w:val="nil"/>
              <w:left w:val="single" w:color="auto" w:sz="8" w:space="0"/>
              <w:bottom w:val="single" w:color="000000" w:sz="8" w:space="0"/>
              <w:right w:val="single" w:color="auto" w:sz="8" w:space="0"/>
            </w:tcBorders>
            <w:shd w:val="clear" w:color="auto" w:fill="auto"/>
            <w:vAlign w:val="center"/>
          </w:tcPr>
          <w:p>
            <w:pPr>
              <w:pStyle w:val="107"/>
            </w:pPr>
            <w:r>
              <w:t>2</w:t>
            </w:r>
            <w:r>
              <w:rPr>
                <w:rFonts w:hint="eastAsia"/>
              </w:rPr>
              <w:t>0m</w:t>
            </w:r>
            <w:r>
              <w:rPr>
                <w:vertAlign w:val="superscript"/>
              </w:rPr>
              <w:t>2</w:t>
            </w:r>
          </w:p>
        </w:tc>
        <w:tc>
          <w:tcPr>
            <w:tcW w:w="1108" w:type="dxa"/>
            <w:tcBorders>
              <w:top w:val="nil"/>
              <w:left w:val="nil"/>
              <w:bottom w:val="single" w:color="auto" w:sz="8" w:space="0"/>
              <w:right w:val="single" w:color="auto" w:sz="8" w:space="0"/>
            </w:tcBorders>
            <w:shd w:val="clear" w:color="auto" w:fill="auto"/>
            <w:vAlign w:val="center"/>
          </w:tcPr>
          <w:p>
            <w:pPr>
              <w:pStyle w:val="107"/>
            </w:pPr>
            <w:r>
              <w:rPr>
                <w:rFonts w:hint="eastAsia"/>
              </w:rPr>
              <w:t>防漏胶袋或其他容器盛装</w:t>
            </w:r>
          </w:p>
        </w:tc>
        <w:tc>
          <w:tcPr>
            <w:tcW w:w="691" w:type="dxa"/>
            <w:tcBorders>
              <w:top w:val="nil"/>
              <w:left w:val="nil"/>
              <w:bottom w:val="single" w:color="auto" w:sz="8" w:space="0"/>
              <w:right w:val="single" w:color="auto" w:sz="8" w:space="0"/>
            </w:tcBorders>
            <w:shd w:val="clear" w:color="auto" w:fill="auto"/>
            <w:vAlign w:val="center"/>
          </w:tcPr>
          <w:p>
            <w:pPr>
              <w:pStyle w:val="107"/>
            </w:pPr>
            <w:r>
              <w:t>1</w:t>
            </w:r>
            <w:r>
              <w:rPr>
                <w:rFonts w:hint="eastAsia"/>
              </w:rPr>
              <w:t>t</w:t>
            </w:r>
          </w:p>
        </w:tc>
        <w:tc>
          <w:tcPr>
            <w:tcW w:w="681" w:type="dxa"/>
            <w:tcBorders>
              <w:top w:val="nil"/>
              <w:left w:val="nil"/>
              <w:bottom w:val="single" w:color="auto" w:sz="8" w:space="0"/>
              <w:right w:val="single" w:color="auto" w:sz="8" w:space="0"/>
            </w:tcBorders>
            <w:shd w:val="clear" w:color="auto" w:fill="auto"/>
            <w:vAlign w:val="center"/>
          </w:tcPr>
          <w:p>
            <w:pPr>
              <w:pStyle w:val="107"/>
            </w:pPr>
            <w:r>
              <w:rPr>
                <w:rFonts w:hint="eastAsia"/>
              </w:rPr>
              <w:t>1年</w:t>
            </w:r>
          </w:p>
        </w:tc>
      </w:tr>
      <w:tr>
        <w:tblPrEx>
          <w:tblLayout w:type="fixed"/>
          <w:tblCellMar>
            <w:top w:w="0" w:type="dxa"/>
            <w:left w:w="108" w:type="dxa"/>
            <w:bottom w:w="0" w:type="dxa"/>
            <w:right w:w="108" w:type="dxa"/>
          </w:tblCellMar>
        </w:tblPrEx>
        <w:trPr>
          <w:trHeight w:val="690" w:hRule="atLeast"/>
        </w:trPr>
        <w:tc>
          <w:tcPr>
            <w:tcW w:w="428" w:type="dxa"/>
            <w:tcBorders>
              <w:top w:val="nil"/>
              <w:left w:val="single" w:color="auto" w:sz="8" w:space="0"/>
              <w:bottom w:val="single" w:color="auto" w:sz="8" w:space="0"/>
              <w:right w:val="single" w:color="auto" w:sz="8" w:space="0"/>
            </w:tcBorders>
            <w:shd w:val="clear" w:color="auto" w:fill="auto"/>
            <w:vAlign w:val="center"/>
          </w:tcPr>
          <w:p>
            <w:pPr>
              <w:pStyle w:val="107"/>
            </w:pPr>
            <w:r>
              <w:rPr>
                <w:rFonts w:hint="eastAsia"/>
              </w:rPr>
              <w:t>2</w:t>
            </w:r>
          </w:p>
        </w:tc>
        <w:tc>
          <w:tcPr>
            <w:tcW w:w="1122" w:type="dxa"/>
            <w:vMerge w:val="continue"/>
            <w:tcBorders>
              <w:top w:val="nil"/>
              <w:left w:val="single" w:color="auto" w:sz="8" w:space="0"/>
              <w:bottom w:val="single" w:color="000000" w:sz="8" w:space="0"/>
              <w:right w:val="single" w:color="auto" w:sz="8" w:space="0"/>
            </w:tcBorders>
            <w:vAlign w:val="center"/>
          </w:tcPr>
          <w:p>
            <w:pPr>
              <w:pStyle w:val="107"/>
            </w:pPr>
          </w:p>
        </w:tc>
        <w:tc>
          <w:tcPr>
            <w:tcW w:w="1274" w:type="dxa"/>
            <w:tcBorders>
              <w:top w:val="nil"/>
              <w:left w:val="nil"/>
              <w:bottom w:val="single" w:color="auto" w:sz="8" w:space="0"/>
              <w:right w:val="single" w:color="auto" w:sz="8" w:space="0"/>
            </w:tcBorders>
            <w:shd w:val="clear" w:color="auto" w:fill="auto"/>
            <w:vAlign w:val="center"/>
          </w:tcPr>
          <w:p>
            <w:pPr>
              <w:pStyle w:val="107"/>
            </w:pPr>
            <w:r>
              <w:rPr>
                <w:rFonts w:hint="eastAsia"/>
              </w:rPr>
              <w:t>废润滑油</w:t>
            </w:r>
          </w:p>
        </w:tc>
        <w:tc>
          <w:tcPr>
            <w:tcW w:w="813" w:type="dxa"/>
            <w:tcBorders>
              <w:top w:val="nil"/>
              <w:left w:val="nil"/>
              <w:bottom w:val="single" w:color="auto" w:sz="8" w:space="0"/>
              <w:right w:val="single" w:color="auto" w:sz="8" w:space="0"/>
            </w:tcBorders>
            <w:shd w:val="clear" w:color="auto" w:fill="auto"/>
            <w:vAlign w:val="center"/>
          </w:tcPr>
          <w:p>
            <w:pPr>
              <w:pStyle w:val="107"/>
            </w:pPr>
            <w:r>
              <w:rPr>
                <w:rFonts w:hint="eastAsia"/>
              </w:rPr>
              <w:t>HW08</w:t>
            </w:r>
          </w:p>
        </w:tc>
        <w:tc>
          <w:tcPr>
            <w:tcW w:w="1396" w:type="dxa"/>
            <w:tcBorders>
              <w:top w:val="nil"/>
              <w:left w:val="nil"/>
              <w:bottom w:val="single" w:color="auto" w:sz="8" w:space="0"/>
              <w:right w:val="single" w:color="auto" w:sz="8" w:space="0"/>
            </w:tcBorders>
            <w:shd w:val="clear" w:color="auto" w:fill="auto"/>
            <w:vAlign w:val="center"/>
          </w:tcPr>
          <w:p>
            <w:pPr>
              <w:pStyle w:val="107"/>
            </w:pPr>
            <w:r>
              <w:rPr>
                <w:rFonts w:hint="eastAsia"/>
              </w:rPr>
              <w:t>900-217-08</w:t>
            </w:r>
          </w:p>
        </w:tc>
        <w:tc>
          <w:tcPr>
            <w:tcW w:w="834" w:type="dxa"/>
            <w:vMerge w:val="continue"/>
            <w:tcBorders>
              <w:top w:val="nil"/>
              <w:left w:val="single" w:color="auto" w:sz="8" w:space="0"/>
              <w:bottom w:val="single" w:color="000000" w:sz="8" w:space="0"/>
              <w:right w:val="single" w:color="auto" w:sz="8" w:space="0"/>
            </w:tcBorders>
            <w:vAlign w:val="center"/>
          </w:tcPr>
          <w:p>
            <w:pPr>
              <w:pStyle w:val="107"/>
            </w:pPr>
          </w:p>
        </w:tc>
        <w:tc>
          <w:tcPr>
            <w:tcW w:w="703" w:type="dxa"/>
            <w:vMerge w:val="continue"/>
            <w:tcBorders>
              <w:top w:val="nil"/>
              <w:left w:val="single" w:color="auto" w:sz="8" w:space="0"/>
              <w:bottom w:val="single" w:color="000000" w:sz="8" w:space="0"/>
              <w:right w:val="single" w:color="auto" w:sz="8" w:space="0"/>
            </w:tcBorders>
            <w:vAlign w:val="center"/>
          </w:tcPr>
          <w:p>
            <w:pPr>
              <w:pStyle w:val="107"/>
            </w:pPr>
          </w:p>
        </w:tc>
        <w:tc>
          <w:tcPr>
            <w:tcW w:w="1108" w:type="dxa"/>
            <w:tcBorders>
              <w:top w:val="nil"/>
              <w:left w:val="nil"/>
              <w:bottom w:val="single" w:color="auto" w:sz="8" w:space="0"/>
              <w:right w:val="single" w:color="auto" w:sz="8" w:space="0"/>
            </w:tcBorders>
            <w:shd w:val="clear" w:color="auto" w:fill="auto"/>
            <w:vAlign w:val="center"/>
          </w:tcPr>
          <w:p>
            <w:pPr>
              <w:pStyle w:val="107"/>
            </w:pPr>
            <w:r>
              <w:rPr>
                <w:rFonts w:hint="eastAsia"/>
              </w:rPr>
              <w:t>桶装密封</w:t>
            </w:r>
          </w:p>
        </w:tc>
        <w:tc>
          <w:tcPr>
            <w:tcW w:w="691" w:type="dxa"/>
            <w:tcBorders>
              <w:top w:val="nil"/>
              <w:left w:val="nil"/>
              <w:bottom w:val="single" w:color="auto" w:sz="8" w:space="0"/>
              <w:right w:val="single" w:color="auto" w:sz="8" w:space="0"/>
            </w:tcBorders>
            <w:shd w:val="clear" w:color="auto" w:fill="auto"/>
            <w:vAlign w:val="center"/>
          </w:tcPr>
          <w:p>
            <w:pPr>
              <w:pStyle w:val="107"/>
            </w:pPr>
            <w:r>
              <w:t>1</w:t>
            </w:r>
            <w:r>
              <w:rPr>
                <w:rFonts w:hint="eastAsia"/>
              </w:rPr>
              <w:t>t</w:t>
            </w:r>
          </w:p>
        </w:tc>
        <w:tc>
          <w:tcPr>
            <w:tcW w:w="681" w:type="dxa"/>
            <w:tcBorders>
              <w:top w:val="nil"/>
              <w:left w:val="nil"/>
              <w:bottom w:val="single" w:color="auto" w:sz="8" w:space="0"/>
              <w:right w:val="single" w:color="auto" w:sz="8" w:space="0"/>
            </w:tcBorders>
            <w:shd w:val="clear" w:color="auto" w:fill="auto"/>
            <w:vAlign w:val="center"/>
          </w:tcPr>
          <w:p>
            <w:pPr>
              <w:pStyle w:val="107"/>
            </w:pPr>
            <w:r>
              <w:rPr>
                <w:rFonts w:hint="eastAsia"/>
              </w:rPr>
              <w:t>1年</w:t>
            </w:r>
          </w:p>
        </w:tc>
      </w:tr>
      <w:tr>
        <w:tblPrEx>
          <w:tblLayout w:type="fixed"/>
          <w:tblCellMar>
            <w:top w:w="0" w:type="dxa"/>
            <w:left w:w="108" w:type="dxa"/>
            <w:bottom w:w="0" w:type="dxa"/>
            <w:right w:w="108" w:type="dxa"/>
          </w:tblCellMar>
        </w:tblPrEx>
        <w:trPr>
          <w:trHeight w:val="690" w:hRule="atLeast"/>
        </w:trPr>
        <w:tc>
          <w:tcPr>
            <w:tcW w:w="428" w:type="dxa"/>
            <w:tcBorders>
              <w:top w:val="nil"/>
              <w:left w:val="single" w:color="auto" w:sz="8" w:space="0"/>
              <w:bottom w:val="single" w:color="auto" w:sz="8" w:space="0"/>
              <w:right w:val="single" w:color="auto" w:sz="8" w:space="0"/>
            </w:tcBorders>
            <w:shd w:val="clear" w:color="auto" w:fill="auto"/>
            <w:vAlign w:val="center"/>
          </w:tcPr>
          <w:p>
            <w:pPr>
              <w:pStyle w:val="107"/>
            </w:pPr>
            <w:r>
              <w:rPr>
                <w:rFonts w:hint="eastAsia"/>
              </w:rPr>
              <w:t>3</w:t>
            </w:r>
          </w:p>
        </w:tc>
        <w:tc>
          <w:tcPr>
            <w:tcW w:w="1122" w:type="dxa"/>
            <w:vMerge w:val="continue"/>
            <w:tcBorders>
              <w:top w:val="nil"/>
              <w:left w:val="single" w:color="auto" w:sz="8" w:space="0"/>
              <w:bottom w:val="single" w:color="000000" w:sz="8" w:space="0"/>
              <w:right w:val="single" w:color="auto" w:sz="8" w:space="0"/>
            </w:tcBorders>
            <w:vAlign w:val="center"/>
          </w:tcPr>
          <w:p>
            <w:pPr>
              <w:pStyle w:val="107"/>
            </w:pPr>
          </w:p>
        </w:tc>
        <w:tc>
          <w:tcPr>
            <w:tcW w:w="1274" w:type="dxa"/>
            <w:tcBorders>
              <w:top w:val="nil"/>
              <w:left w:val="nil"/>
              <w:bottom w:val="single" w:color="auto" w:sz="8" w:space="0"/>
              <w:right w:val="single" w:color="auto" w:sz="8" w:space="0"/>
            </w:tcBorders>
            <w:shd w:val="clear" w:color="auto" w:fill="auto"/>
            <w:vAlign w:val="center"/>
          </w:tcPr>
          <w:p>
            <w:pPr>
              <w:pStyle w:val="107"/>
            </w:pPr>
            <w:r>
              <w:rPr>
                <w:rFonts w:hint="eastAsia"/>
              </w:rPr>
              <w:t>含油废抹布</w:t>
            </w:r>
          </w:p>
        </w:tc>
        <w:tc>
          <w:tcPr>
            <w:tcW w:w="813" w:type="dxa"/>
            <w:tcBorders>
              <w:top w:val="nil"/>
              <w:left w:val="nil"/>
              <w:bottom w:val="single" w:color="auto" w:sz="8" w:space="0"/>
              <w:right w:val="single" w:color="auto" w:sz="8" w:space="0"/>
            </w:tcBorders>
            <w:shd w:val="clear" w:color="auto" w:fill="auto"/>
            <w:vAlign w:val="center"/>
          </w:tcPr>
          <w:p>
            <w:pPr>
              <w:pStyle w:val="107"/>
            </w:pPr>
            <w:r>
              <w:rPr>
                <w:rFonts w:hint="eastAsia"/>
              </w:rPr>
              <w:t>HW49</w:t>
            </w:r>
          </w:p>
        </w:tc>
        <w:tc>
          <w:tcPr>
            <w:tcW w:w="1396" w:type="dxa"/>
            <w:tcBorders>
              <w:top w:val="nil"/>
              <w:left w:val="nil"/>
              <w:bottom w:val="single" w:color="auto" w:sz="8" w:space="0"/>
              <w:right w:val="single" w:color="auto" w:sz="8" w:space="0"/>
            </w:tcBorders>
            <w:shd w:val="clear" w:color="auto" w:fill="auto"/>
            <w:vAlign w:val="center"/>
          </w:tcPr>
          <w:p>
            <w:pPr>
              <w:pStyle w:val="107"/>
            </w:pPr>
            <w:r>
              <w:rPr>
                <w:rFonts w:hint="eastAsia"/>
              </w:rPr>
              <w:t>900-041-49</w:t>
            </w:r>
          </w:p>
        </w:tc>
        <w:tc>
          <w:tcPr>
            <w:tcW w:w="834" w:type="dxa"/>
            <w:vMerge w:val="continue"/>
            <w:tcBorders>
              <w:top w:val="nil"/>
              <w:left w:val="single" w:color="auto" w:sz="8" w:space="0"/>
              <w:bottom w:val="single" w:color="000000" w:sz="8" w:space="0"/>
              <w:right w:val="single" w:color="auto" w:sz="8" w:space="0"/>
            </w:tcBorders>
            <w:vAlign w:val="center"/>
          </w:tcPr>
          <w:p>
            <w:pPr>
              <w:pStyle w:val="107"/>
            </w:pPr>
          </w:p>
        </w:tc>
        <w:tc>
          <w:tcPr>
            <w:tcW w:w="703" w:type="dxa"/>
            <w:vMerge w:val="continue"/>
            <w:tcBorders>
              <w:top w:val="nil"/>
              <w:left w:val="single" w:color="auto" w:sz="8" w:space="0"/>
              <w:bottom w:val="single" w:color="000000" w:sz="8" w:space="0"/>
              <w:right w:val="single" w:color="auto" w:sz="8" w:space="0"/>
            </w:tcBorders>
            <w:vAlign w:val="center"/>
          </w:tcPr>
          <w:p>
            <w:pPr>
              <w:pStyle w:val="107"/>
            </w:pPr>
          </w:p>
        </w:tc>
        <w:tc>
          <w:tcPr>
            <w:tcW w:w="1108" w:type="dxa"/>
            <w:tcBorders>
              <w:top w:val="nil"/>
              <w:left w:val="nil"/>
              <w:bottom w:val="single" w:color="auto" w:sz="8" w:space="0"/>
              <w:right w:val="single" w:color="auto" w:sz="8" w:space="0"/>
            </w:tcBorders>
            <w:shd w:val="clear" w:color="auto" w:fill="auto"/>
            <w:vAlign w:val="bottom"/>
          </w:tcPr>
          <w:p>
            <w:pPr>
              <w:pStyle w:val="107"/>
            </w:pPr>
            <w:r>
              <w:rPr>
                <w:rFonts w:hint="eastAsia"/>
              </w:rPr>
              <w:t>防漏胶袋盛装</w:t>
            </w:r>
          </w:p>
        </w:tc>
        <w:tc>
          <w:tcPr>
            <w:tcW w:w="691" w:type="dxa"/>
            <w:tcBorders>
              <w:top w:val="nil"/>
              <w:left w:val="nil"/>
              <w:bottom w:val="single" w:color="auto" w:sz="8" w:space="0"/>
              <w:right w:val="single" w:color="auto" w:sz="8" w:space="0"/>
            </w:tcBorders>
            <w:shd w:val="clear" w:color="auto" w:fill="auto"/>
            <w:vAlign w:val="center"/>
          </w:tcPr>
          <w:p>
            <w:pPr>
              <w:pStyle w:val="107"/>
            </w:pPr>
            <w:r>
              <w:t>0.5</w:t>
            </w:r>
            <w:r>
              <w:rPr>
                <w:rFonts w:hint="eastAsia"/>
              </w:rPr>
              <w:t>t</w:t>
            </w:r>
          </w:p>
        </w:tc>
        <w:tc>
          <w:tcPr>
            <w:tcW w:w="681" w:type="dxa"/>
            <w:tcBorders>
              <w:top w:val="nil"/>
              <w:left w:val="nil"/>
              <w:bottom w:val="single" w:color="auto" w:sz="8" w:space="0"/>
              <w:right w:val="single" w:color="auto" w:sz="8" w:space="0"/>
            </w:tcBorders>
            <w:shd w:val="clear" w:color="auto" w:fill="auto"/>
            <w:vAlign w:val="center"/>
          </w:tcPr>
          <w:p>
            <w:pPr>
              <w:pStyle w:val="107"/>
            </w:pPr>
            <w:r>
              <w:rPr>
                <w:rFonts w:hint="eastAsia"/>
              </w:rPr>
              <w:t>1年</w:t>
            </w:r>
          </w:p>
        </w:tc>
      </w:tr>
    </w:tbl>
    <w:p>
      <w:pPr>
        <w:tabs>
          <w:tab w:val="left" w:pos="525"/>
        </w:tabs>
        <w:autoSpaceDE w:val="0"/>
        <w:autoSpaceDN w:val="0"/>
        <w:adjustRightInd w:val="0"/>
        <w:ind w:firstLine="480"/>
        <w:rPr>
          <w:rFonts w:eastAsiaTheme="minorEastAsia"/>
          <w:lang w:val="zh-CN"/>
        </w:rPr>
      </w:pPr>
      <w:r>
        <w:rPr>
          <w:rFonts w:hint="eastAsia" w:eastAsiaTheme="minorEastAsia"/>
          <w:lang w:val="zh-CN"/>
        </w:rPr>
        <w:t>（3）固体废物运输要求</w:t>
      </w:r>
    </w:p>
    <w:p>
      <w:pPr>
        <w:tabs>
          <w:tab w:val="left" w:pos="525"/>
        </w:tabs>
        <w:autoSpaceDE w:val="0"/>
        <w:autoSpaceDN w:val="0"/>
        <w:adjustRightInd w:val="0"/>
        <w:ind w:firstLine="480"/>
        <w:rPr>
          <w:rFonts w:eastAsiaTheme="minorEastAsia"/>
          <w:lang w:val="zh-CN"/>
        </w:rPr>
      </w:pPr>
      <w:r>
        <w:rPr>
          <w:rFonts w:hint="eastAsia" w:eastAsiaTheme="minorEastAsia"/>
          <w:lang w:val="zh-CN"/>
        </w:rPr>
        <w:t>固体废物特别是危险废物转移运输途中应采取相应的污染防范及事故应急措施。</w:t>
      </w:r>
    </w:p>
    <w:p>
      <w:pPr>
        <w:ind w:firstLine="480"/>
      </w:pPr>
      <w:r>
        <w:rPr>
          <w:rFonts w:hint="eastAsia"/>
        </w:rPr>
        <w:t>危险废物运输中应做到以下几点：</w:t>
      </w:r>
    </w:p>
    <w:p>
      <w:pPr>
        <w:ind w:firstLine="480"/>
      </w:pPr>
      <w:r>
        <w:rPr>
          <w:rFonts w:hint="eastAsia"/>
        </w:rPr>
        <w:t>①危险废物的运输车辆须经主管单位检查，并持有有关单位签发的许可证，负责运输的司机应通过培训，持有证明文件。</w:t>
      </w:r>
    </w:p>
    <w:p>
      <w:pPr>
        <w:ind w:firstLine="480"/>
      </w:pPr>
      <w:r>
        <w:rPr>
          <w:rFonts w:hint="eastAsia"/>
        </w:rPr>
        <w:t>②承载危险废物的车辆须有明显的标志或适当的危险符号，以引起注意。</w:t>
      </w:r>
    </w:p>
    <w:p>
      <w:pPr>
        <w:ind w:firstLine="480"/>
      </w:pPr>
      <w:r>
        <w:rPr>
          <w:rFonts w:hint="eastAsia"/>
        </w:rPr>
        <w:t>③载有危险废物的车辆在公路上行驶时，需持有运输许可证，其上应注明废物来源、性质和运往地点。</w:t>
      </w:r>
    </w:p>
    <w:p>
      <w:pPr>
        <w:ind w:firstLine="480"/>
      </w:pPr>
      <w:r>
        <w:rPr>
          <w:rFonts w:hint="eastAsia"/>
        </w:rPr>
        <w:t>④组织危险废物的运输单位，在事先需作出周密的运输计划和行驶路线，其中包括有效的废物泄漏情况下的应急措施。危险废物在转运过程中应严格执行</w:t>
      </w:r>
      <w:r>
        <w:rPr>
          <w:rFonts w:hint="eastAsia" w:eastAsiaTheme="minorEastAsia"/>
          <w:lang w:val="zh-CN"/>
        </w:rPr>
        <w:t>《危险废物收集 贮存 运输技术规范》（HJ 2025-2012）和《危险废物转移联单管理办法》</w:t>
      </w:r>
      <w:r>
        <w:rPr>
          <w:rFonts w:hint="eastAsia"/>
        </w:rPr>
        <w:t>中要求，确保项目产生的危险项目安全运输。</w:t>
      </w:r>
    </w:p>
    <w:p>
      <w:pPr>
        <w:tabs>
          <w:tab w:val="left" w:pos="525"/>
        </w:tabs>
        <w:autoSpaceDE w:val="0"/>
        <w:autoSpaceDN w:val="0"/>
        <w:adjustRightInd w:val="0"/>
        <w:ind w:firstLine="480"/>
        <w:rPr>
          <w:rFonts w:eastAsiaTheme="minorEastAsia"/>
          <w:lang w:val="zh-CN"/>
        </w:rPr>
      </w:pPr>
      <w:r>
        <w:rPr>
          <w:rFonts w:hint="eastAsia" w:eastAsiaTheme="minorEastAsia"/>
          <w:lang w:val="zh-CN"/>
        </w:rPr>
        <w:t>同时，建设单位应按《中华人民共和国固体废物污染防治法》的规定，如实申报本项目固体废物的产生量、拟采取的处置措施及去向，并按该中心的要求对本项目产生的固体废物特别是危险废物进行全过程严格管理和安全处置。</w:t>
      </w:r>
    </w:p>
    <w:p>
      <w:pPr>
        <w:ind w:firstLine="480"/>
        <w:rPr>
          <w:rFonts w:eastAsiaTheme="minorEastAsia"/>
          <w:lang w:val="zh-CN"/>
        </w:rPr>
      </w:pPr>
      <w:r>
        <w:rPr>
          <w:rFonts w:hint="eastAsia"/>
        </w:rPr>
        <w:t>综上可知，本项目产生的各种固体废弃物均得到妥善处置或综合利用，故本项目固体废弃物处理措施可行。</w:t>
      </w:r>
    </w:p>
    <w:p>
      <w:pPr>
        <w:pStyle w:val="5"/>
      </w:pPr>
      <w:r>
        <w:t>危险废物的管理</w:t>
      </w:r>
    </w:p>
    <w:p>
      <w:pPr>
        <w:tabs>
          <w:tab w:val="left" w:pos="525"/>
        </w:tabs>
        <w:autoSpaceDE w:val="0"/>
        <w:autoSpaceDN w:val="0"/>
        <w:adjustRightInd w:val="0"/>
        <w:ind w:firstLine="480"/>
        <w:rPr>
          <w:rFonts w:eastAsiaTheme="minorEastAsia"/>
          <w:lang w:val="zh-CN"/>
        </w:rPr>
      </w:pPr>
      <w:r>
        <w:rPr>
          <w:rFonts w:hint="eastAsia" w:eastAsiaTheme="minorEastAsia"/>
          <w:lang w:val="zh-CN"/>
        </w:rPr>
        <w:t>危废贮存间、废物各贮存分区、危废盛装容器等有关设施、场所和设备上，均应牢固粘贴有关的危废标签、提示性危险用语、安全用语。贮存间应由专人管理，危废进出应详细记录相关信息，并妥善保存相关记录资料。危险废物的转移，应严格执行危险废物转移五联单制度。</w:t>
      </w:r>
    </w:p>
    <w:p>
      <w:pPr>
        <w:pStyle w:val="5"/>
      </w:pPr>
      <w:bookmarkStart w:id="624" w:name="_Toc331536263"/>
      <w:r>
        <w:rPr>
          <w:rFonts w:hint="eastAsia"/>
        </w:rPr>
        <w:t>固体废物处置</w:t>
      </w:r>
      <w:r>
        <w:t>措施可行性分析</w:t>
      </w:r>
      <w:bookmarkEnd w:id="624"/>
    </w:p>
    <w:p>
      <w:pPr>
        <w:tabs>
          <w:tab w:val="left" w:pos="525"/>
        </w:tabs>
        <w:autoSpaceDE w:val="0"/>
        <w:autoSpaceDN w:val="0"/>
        <w:adjustRightInd w:val="0"/>
        <w:ind w:firstLine="480"/>
        <w:rPr>
          <w:rFonts w:eastAsiaTheme="minorEastAsia"/>
          <w:lang w:val="zh-CN"/>
        </w:rPr>
      </w:pPr>
      <w:r>
        <w:rPr>
          <w:rFonts w:hint="eastAsia" w:eastAsiaTheme="minorEastAsia"/>
          <w:lang w:val="zh-CN"/>
        </w:rPr>
        <w:t>本项目废活性炭、</w:t>
      </w:r>
      <w:r>
        <w:rPr>
          <w:rFonts w:hint="eastAsia"/>
        </w:rPr>
        <w:t>废润滑油、含油废抹布</w:t>
      </w:r>
      <w:r>
        <w:rPr>
          <w:rFonts w:hint="eastAsia" w:eastAsiaTheme="minorEastAsia"/>
          <w:lang w:val="zh-CN"/>
        </w:rPr>
        <w:t>等危险废物堆放在危废暂存仓库，固体废物临时堆放场所面积和建筑结构满足厂区内固体废物和危险固废堆放的需要，分类存放的方式也保证了固体废物存放的安全和有序，因此本项目的固体废物临时堆放场所的建设是合理和可行的。</w:t>
      </w:r>
    </w:p>
    <w:p>
      <w:pPr>
        <w:tabs>
          <w:tab w:val="left" w:pos="525"/>
        </w:tabs>
        <w:autoSpaceDE w:val="0"/>
        <w:autoSpaceDN w:val="0"/>
        <w:adjustRightInd w:val="0"/>
        <w:ind w:firstLine="480"/>
        <w:rPr>
          <w:rFonts w:eastAsiaTheme="minorEastAsia"/>
          <w:lang w:val="zh-CN"/>
        </w:rPr>
      </w:pPr>
      <w:r>
        <w:rPr>
          <w:rFonts w:hint="eastAsia" w:eastAsiaTheme="minorEastAsia"/>
          <w:lang w:val="zh-CN"/>
        </w:rPr>
        <w:t>以上固体废物处理处置措施均为现行固体废物的常用处置方式，从实际的应用上来说成熟可行，不对外环境直接排放固体废物，能满足固体废物处置率100%的要求，一般固体废物出售时，还可收取一定费用。因此，本评价认为以上固体废物的处理处置措施在技术、经济上是可行的。</w:t>
      </w:r>
    </w:p>
    <w:p>
      <w:pPr>
        <w:pStyle w:val="4"/>
      </w:pPr>
      <w:bookmarkStart w:id="625" w:name="_Toc2592"/>
      <w:bookmarkStart w:id="626" w:name="_Toc329784227"/>
      <w:bookmarkStart w:id="627" w:name="_Toc16385"/>
      <w:bookmarkStart w:id="628" w:name="_Toc331536265"/>
      <w:bookmarkStart w:id="629" w:name="_Toc3538810"/>
      <w:r>
        <w:t>地下水</w:t>
      </w:r>
      <w:r>
        <w:rPr>
          <w:rFonts w:hint="eastAsia"/>
        </w:rPr>
        <w:t>污染防治</w:t>
      </w:r>
      <w:r>
        <w:t>措施及可行性分析</w:t>
      </w:r>
      <w:bookmarkEnd w:id="625"/>
      <w:bookmarkEnd w:id="626"/>
      <w:bookmarkEnd w:id="627"/>
      <w:bookmarkEnd w:id="628"/>
      <w:bookmarkEnd w:id="629"/>
    </w:p>
    <w:p>
      <w:pPr>
        <w:ind w:firstLine="480"/>
      </w:pPr>
      <w:r>
        <w:rPr>
          <w:rFonts w:hint="eastAsia"/>
        </w:rPr>
        <w:t>本项目不以地下水作为供水水源，也不向地下水排污。结合工程水文地质特点，本项目仍应做好地下水污染防治措施，对厂区采取污染控制和分区防渗措施。坚持“源头控制、分区防治、污染监控、应急响应”相结合的原则，采取主动控制和被动控制相结合的措施。</w:t>
      </w:r>
    </w:p>
    <w:p>
      <w:pPr>
        <w:pStyle w:val="5"/>
      </w:pPr>
      <w:r>
        <w:rPr>
          <w:rFonts w:hint="eastAsia"/>
        </w:rPr>
        <w:t>源头控制</w:t>
      </w:r>
    </w:p>
    <w:p>
      <w:pPr>
        <w:tabs>
          <w:tab w:val="left" w:pos="525"/>
        </w:tabs>
        <w:autoSpaceDE w:val="0"/>
        <w:autoSpaceDN w:val="0"/>
        <w:adjustRightInd w:val="0"/>
        <w:ind w:firstLine="480"/>
        <w:rPr>
          <w:rFonts w:eastAsiaTheme="minorEastAsia"/>
          <w:lang w:val="zh-CN"/>
        </w:rPr>
      </w:pPr>
      <w:r>
        <w:rPr>
          <w:rFonts w:hint="eastAsia" w:eastAsiaTheme="minorEastAsia"/>
          <w:lang w:val="zh-CN"/>
        </w:rPr>
        <w:t>本项目将选择先进、成熟、可靠的工艺技术和较清洁的原辅材料，对产生的废物进行合理的回用和治理，尽可能从源头上减少污染物排放；严格按照国家相关规范要求，工艺、设备、管道、污染物暂存及处理构筑物采取相应的措施，防止污染物的跑、冒、滴、漏，将污染物泄漏的环境风险事故降到最低限度。优化排水系统设计，管线敷设尽量采用“可视化”原则，即管道尽可能地上敷设，做到污染物“早发现、早处理”，以减少由于埋地管道泄漏可能造成的地下水污染。</w:t>
      </w:r>
    </w:p>
    <w:p>
      <w:pPr>
        <w:pStyle w:val="5"/>
      </w:pPr>
      <w:r>
        <w:rPr>
          <w:rFonts w:hint="eastAsia"/>
        </w:rPr>
        <w:t>分区防控措施</w:t>
      </w:r>
    </w:p>
    <w:p>
      <w:pPr>
        <w:ind w:firstLine="480"/>
        <w:rPr>
          <w:rFonts w:eastAsiaTheme="minorEastAsia"/>
        </w:rPr>
      </w:pPr>
      <w:r>
        <w:rPr>
          <w:rFonts w:hint="eastAsia" w:eastAsiaTheme="minorEastAsia"/>
        </w:rPr>
        <w:t>按照《环境影响评价技术导则 地下水环境》（HJ</w:t>
      </w:r>
      <w:r>
        <w:rPr>
          <w:rFonts w:eastAsiaTheme="minorEastAsia"/>
        </w:rPr>
        <w:t xml:space="preserve"> </w:t>
      </w:r>
      <w:r>
        <w:rPr>
          <w:rFonts w:hint="eastAsia" w:eastAsiaTheme="minorEastAsia"/>
        </w:rPr>
        <w:t>610-2016）要求，根据项目可能泄漏至地面区域污染物的性质与生产单元的构筑方式，项目污染物不属于重金属及持久性有机污染物，且污染控制较易，现将全部厂区划为简单防渗区。对于简单防渗区，防渗技术要求采取一般地面硬化即可。</w:t>
      </w:r>
    </w:p>
    <w:p>
      <w:pPr>
        <w:ind w:firstLine="480"/>
        <w:rPr>
          <w:rFonts w:eastAsiaTheme="minorEastAsia"/>
        </w:rPr>
      </w:pPr>
      <w:r>
        <w:rPr>
          <w:rFonts w:hint="eastAsia" w:eastAsiaTheme="minorEastAsia"/>
          <w:lang w:val="zh-CN"/>
        </w:rPr>
        <w:t>参照《石油化工企业防渗设计通则》（Q/SY 1303-2010）和《石油化工工程防渗技术规范》（GB</w:t>
      </w:r>
      <w:r>
        <w:rPr>
          <w:rFonts w:eastAsiaTheme="minorEastAsia"/>
          <w:lang w:val="zh-CN"/>
        </w:rPr>
        <w:t>/</w:t>
      </w:r>
      <w:r>
        <w:rPr>
          <w:rFonts w:hint="eastAsia" w:eastAsiaTheme="minorEastAsia"/>
          <w:lang w:val="zh-CN"/>
        </w:rPr>
        <w:t>T 50934-2013）</w:t>
      </w:r>
      <w:r>
        <w:rPr>
          <w:rFonts w:hint="eastAsia"/>
        </w:rPr>
        <w:t>，对厂区可能泄漏污染物的污染区地面进行防渗处理，并及时地将泄漏</w:t>
      </w:r>
      <w:r>
        <w:rPr>
          <w:rFonts w:cs="Times New Roman"/>
        </w:rPr>
        <w:t>/</w:t>
      </w:r>
      <w:r>
        <w:rPr>
          <w:rFonts w:hint="eastAsia"/>
        </w:rPr>
        <w:t>渗漏的污染物收集起来进行处理，可有效防止洒落地面的污染物渗入地下。根据厂区各生产功能单元可能泄漏至地面区域的污染物性质和生产单元的构筑方式，将厂区划分为重点污染防治区、一般污染防治区和非污染防治区。</w:t>
      </w:r>
    </w:p>
    <w:p>
      <w:pPr>
        <w:pStyle w:val="6"/>
      </w:pPr>
      <w:r>
        <w:rPr>
          <w:rFonts w:hint="eastAsia"/>
        </w:rPr>
        <w:t>污染防治分区</w:t>
      </w:r>
    </w:p>
    <w:p>
      <w:pPr>
        <w:ind w:firstLine="480"/>
      </w:pPr>
      <w:r>
        <w:rPr>
          <w:rFonts w:hint="eastAsia"/>
        </w:rPr>
        <w:t>（</w:t>
      </w:r>
      <w:r>
        <w:rPr>
          <w:rFonts w:cs="Times New Roman"/>
        </w:rPr>
        <w:t>1</w:t>
      </w:r>
      <w:r>
        <w:rPr>
          <w:rFonts w:hint="eastAsia"/>
        </w:rPr>
        <w:t>）重</w:t>
      </w:r>
      <w:bookmarkStart w:id="630" w:name="_Hlk530479395"/>
      <w:r>
        <w:rPr>
          <w:rFonts w:hint="eastAsia"/>
        </w:rPr>
        <w:t>点污染防治区</w:t>
      </w:r>
    </w:p>
    <w:p>
      <w:pPr>
        <w:ind w:firstLine="480"/>
      </w:pPr>
      <w:r>
        <w:rPr>
          <w:rFonts w:hint="eastAsia"/>
        </w:rPr>
        <w:t>指对地下水环境有污染的物料或污染物泄漏后，不能及时发现和处理的区域或部位。根据项目特点，结合水文地质条件，重点污染防治区主要包括危化品仓库、生活污水处理设施、应急事故池、危险废物暂存间等。</w:t>
      </w:r>
    </w:p>
    <w:p>
      <w:pPr>
        <w:ind w:firstLine="480"/>
      </w:pPr>
      <w:r>
        <w:rPr>
          <w:rFonts w:hint="eastAsia"/>
        </w:rPr>
        <w:t>（</w:t>
      </w:r>
      <w:r>
        <w:rPr>
          <w:rFonts w:cs="Times New Roman"/>
        </w:rPr>
        <w:t>2</w:t>
      </w:r>
      <w:r>
        <w:rPr>
          <w:rFonts w:hint="eastAsia"/>
        </w:rPr>
        <w:t>）一般污染防治区</w:t>
      </w:r>
    </w:p>
    <w:p>
      <w:pPr>
        <w:ind w:firstLine="480"/>
        <w:rPr>
          <w:rFonts w:eastAsiaTheme="minorEastAsia"/>
        </w:rPr>
      </w:pPr>
      <w:r>
        <w:rPr>
          <w:rFonts w:hint="eastAsia"/>
        </w:rPr>
        <w:t>是指对地下水环境有污染的物料或污染物泄漏后，可及时发现和处理的区域或部位。根据项目特点，结合水文地质条件，一般污染防治区包括一般固废暂存场所、车间部分区域等。</w:t>
      </w:r>
    </w:p>
    <w:p>
      <w:pPr>
        <w:ind w:firstLine="480"/>
      </w:pPr>
      <w:r>
        <w:rPr>
          <w:rFonts w:hint="eastAsia"/>
        </w:rPr>
        <w:t>（</w:t>
      </w:r>
      <w:r>
        <w:rPr>
          <w:rFonts w:cs="Times New Roman"/>
        </w:rPr>
        <w:t>3</w:t>
      </w:r>
      <w:r>
        <w:rPr>
          <w:rFonts w:hint="eastAsia"/>
        </w:rPr>
        <w:t>）非污染防治区</w:t>
      </w:r>
    </w:p>
    <w:p>
      <w:pPr>
        <w:ind w:firstLine="480"/>
      </w:pPr>
      <w:r>
        <w:rPr>
          <w:rFonts w:hint="eastAsia"/>
        </w:rPr>
        <w:t>指一般和重点污染防治区以外的区域或部位。主要包括办公区、配电房、门卫室等。</w:t>
      </w:r>
    </w:p>
    <w:bookmarkEnd w:id="630"/>
    <w:p>
      <w:pPr>
        <w:pStyle w:val="6"/>
      </w:pPr>
      <w:r>
        <w:rPr>
          <w:rFonts w:hint="eastAsia"/>
        </w:rPr>
        <w:t>分区防渗措施</w:t>
      </w:r>
    </w:p>
    <w:p>
      <w:pPr>
        <w:ind w:firstLine="480"/>
      </w:pPr>
      <w:r>
        <w:rPr>
          <w:rFonts w:hint="eastAsia"/>
        </w:rPr>
        <w:t>（</w:t>
      </w:r>
      <w:r>
        <w:rPr>
          <w:rFonts w:cs="Times New Roman"/>
        </w:rPr>
        <w:t>1</w:t>
      </w:r>
      <w:r>
        <w:rPr>
          <w:rFonts w:hint="eastAsia"/>
        </w:rPr>
        <w:t>）</w:t>
      </w:r>
      <w:bookmarkStart w:id="631" w:name="_Hlk530479448"/>
      <w:r>
        <w:rPr>
          <w:rFonts w:hint="eastAsia"/>
        </w:rPr>
        <w:t>重点污染防治区</w:t>
      </w:r>
    </w:p>
    <w:p>
      <w:pPr>
        <w:ind w:firstLine="480"/>
      </w:pPr>
      <w:r>
        <w:rPr>
          <w:rFonts w:hint="eastAsia"/>
        </w:rPr>
        <w:t>按照《危险废物贮存污染控制标准》（</w:t>
      </w:r>
      <w:r>
        <w:rPr>
          <w:rFonts w:cs="Times New Roman"/>
        </w:rPr>
        <w:t>GB 18597-2001</w:t>
      </w:r>
      <w:r>
        <w:rPr>
          <w:rFonts w:hint="eastAsia"/>
        </w:rPr>
        <w:t>）及其修改单要求，项目危化品仓库、生活污水处理设施、应急事故池、危险废物暂存间等重点防渗区域基础必须防渗，防渗层为至少</w:t>
      </w:r>
      <w:r>
        <w:rPr>
          <w:rFonts w:cs="Times New Roman"/>
        </w:rPr>
        <w:t>1m</w:t>
      </w:r>
      <w:r>
        <w:rPr>
          <w:rFonts w:hint="eastAsia"/>
        </w:rPr>
        <w:t>厚粘土层（渗透系数≤</w:t>
      </w:r>
      <w:r>
        <w:t>10</w:t>
      </w:r>
      <w:r>
        <w:rPr>
          <w:vertAlign w:val="superscript"/>
        </w:rPr>
        <w:t>-7</w:t>
      </w:r>
      <w:r>
        <w:t>cm/s</w:t>
      </w:r>
      <w:r>
        <w:rPr>
          <w:rFonts w:hint="eastAsia"/>
        </w:rPr>
        <w:t>），或</w:t>
      </w:r>
      <w:r>
        <w:t>2mm</w:t>
      </w:r>
      <w:r>
        <w:rPr>
          <w:rFonts w:hint="eastAsia"/>
        </w:rPr>
        <w:t>厚高密度聚乙烯，或至少</w:t>
      </w:r>
      <w:r>
        <w:t>2mm</w:t>
      </w:r>
      <w:r>
        <w:rPr>
          <w:rFonts w:hint="eastAsia"/>
        </w:rPr>
        <w:t>厚的其它人工材料，渗透系数≤</w:t>
      </w:r>
      <w:r>
        <w:t>10</w:t>
      </w:r>
      <w:r>
        <w:rPr>
          <w:vertAlign w:val="superscript"/>
        </w:rPr>
        <w:t>-10</w:t>
      </w:r>
      <w:r>
        <w:t>cm/</w:t>
      </w:r>
      <w:r>
        <w:rPr>
          <w:rFonts w:cs="Times New Roman"/>
        </w:rPr>
        <w:t>s</w:t>
      </w:r>
      <w:r>
        <w:rPr>
          <w:rFonts w:hint="eastAsia"/>
        </w:rPr>
        <w:t>。根据《危险废物贮存污染控制标准》（GB</w:t>
      </w:r>
      <w:r>
        <w:t xml:space="preserve"> </w:t>
      </w:r>
      <w:r>
        <w:rPr>
          <w:rFonts w:hint="eastAsia"/>
        </w:rPr>
        <w:t>18597-2001）防渗要求，并结合企业厂房实际情况，提出防渗措施如下：水泥地面上加敷2 毫米厚高密度聚乙烯，渗透系数≤10-10cm/s。同时在危废暂存区四周设置围堰，围堰做相同防渗处理。</w:t>
      </w:r>
    </w:p>
    <w:p>
      <w:pPr>
        <w:ind w:firstLine="480"/>
      </w:pPr>
      <w:r>
        <w:rPr>
          <w:rFonts w:hint="eastAsia"/>
        </w:rPr>
        <w:t>（</w:t>
      </w:r>
      <w:r>
        <w:rPr>
          <w:rFonts w:cs="Times New Roman"/>
        </w:rPr>
        <w:t>2</w:t>
      </w:r>
      <w:r>
        <w:rPr>
          <w:rFonts w:hint="eastAsia"/>
        </w:rPr>
        <w:t>）一般污染防治区</w:t>
      </w:r>
    </w:p>
    <w:p>
      <w:pPr>
        <w:ind w:firstLine="480"/>
      </w:pPr>
      <w:r>
        <w:rPr>
          <w:rFonts w:hint="eastAsia"/>
        </w:rPr>
        <w:t>按照《一般工业固体废物贮存、处置场污染控制标准》（</w:t>
      </w:r>
      <w:r>
        <w:rPr>
          <w:rFonts w:cs="Times New Roman"/>
        </w:rPr>
        <w:t>GB 18599-2001</w:t>
      </w:r>
      <w:r>
        <w:rPr>
          <w:rFonts w:hint="eastAsia"/>
        </w:rPr>
        <w:t>）及其修改单中第</w:t>
      </w:r>
      <w:r>
        <w:rPr>
          <w:rFonts w:cs="Times New Roman"/>
        </w:rPr>
        <w:t>6.2.1</w:t>
      </w:r>
      <w:r>
        <w:rPr>
          <w:rFonts w:hint="eastAsia"/>
        </w:rPr>
        <w:t>条要求，项目一般固废暂存场所、车间部分区域等一般防渗区应采用天然或人工材料构筑防渗层，防渗层的厚度应相当于渗透系数</w:t>
      </w:r>
      <w:r>
        <w:rPr>
          <w:rFonts w:cs="Times New Roman"/>
        </w:rPr>
        <w:t>1.0</w:t>
      </w:r>
      <w:r>
        <w:rPr>
          <w:rFonts w:hint="eastAsia"/>
        </w:rPr>
        <w:t>×</w:t>
      </w:r>
      <w:r>
        <w:rPr>
          <w:rFonts w:cs="Times New Roman"/>
        </w:rPr>
        <w:t>10</w:t>
      </w:r>
      <w:r>
        <w:rPr>
          <w:vertAlign w:val="superscript"/>
        </w:rPr>
        <w:t>-7</w:t>
      </w:r>
      <w:r>
        <w:rPr>
          <w:rFonts w:cs="Times New Roman"/>
        </w:rPr>
        <w:t>cm/s</w:t>
      </w:r>
      <w:r>
        <w:rPr>
          <w:rFonts w:hint="eastAsia"/>
        </w:rPr>
        <w:t>和厚度</w:t>
      </w:r>
      <w:r>
        <w:rPr>
          <w:rFonts w:cs="Times New Roman"/>
        </w:rPr>
        <w:t>1.5m</w:t>
      </w:r>
      <w:r>
        <w:rPr>
          <w:rFonts w:hint="eastAsia"/>
        </w:rPr>
        <w:t>的粘土层的防渗性能。生产车间采取地面水泥硬化+环氧树脂漆，可满足防渗需求。</w:t>
      </w:r>
    </w:p>
    <w:p>
      <w:pPr>
        <w:ind w:firstLine="480"/>
      </w:pPr>
      <w:r>
        <w:rPr>
          <w:rFonts w:hint="eastAsia"/>
        </w:rPr>
        <w:t>（</w:t>
      </w:r>
      <w:r>
        <w:rPr>
          <w:rFonts w:cs="Times New Roman"/>
        </w:rPr>
        <w:t>3</w:t>
      </w:r>
      <w:r>
        <w:rPr>
          <w:rFonts w:hint="eastAsia"/>
        </w:rPr>
        <w:t>）非污染防治区</w:t>
      </w:r>
    </w:p>
    <w:p>
      <w:pPr>
        <w:ind w:firstLine="480"/>
      </w:pPr>
      <w:r>
        <w:rPr>
          <w:rFonts w:hint="eastAsia"/>
        </w:rPr>
        <w:t>只需对基础以下采取原土夯实，使渗透系数不大于1.0×10</w:t>
      </w:r>
      <w:r>
        <w:rPr>
          <w:rFonts w:hint="eastAsia"/>
          <w:vertAlign w:val="superscript"/>
        </w:rPr>
        <w:t>-6</w:t>
      </w:r>
      <w:r>
        <w:rPr>
          <w:rFonts w:hint="eastAsia"/>
        </w:rPr>
        <w:t>cm/s，即可达到防渗的目的。厂区道路、公辅设施等各区域均已做到了水泥硬化，满足防渗要求。</w:t>
      </w:r>
    </w:p>
    <w:bookmarkEnd w:id="631"/>
    <w:p>
      <w:pPr>
        <w:pStyle w:val="5"/>
      </w:pPr>
      <w:r>
        <w:rPr>
          <w:rFonts w:hint="eastAsia"/>
        </w:rPr>
        <w:t>地下水污染监测体系</w:t>
      </w:r>
    </w:p>
    <w:p>
      <w:pPr>
        <w:ind w:firstLine="480"/>
        <w:rPr>
          <w:sz w:val="23"/>
          <w:szCs w:val="23"/>
        </w:rPr>
      </w:pPr>
      <w:r>
        <w:rPr>
          <w:rFonts w:hint="eastAsia"/>
        </w:rPr>
        <w:t>建立地下水污染监控制度和环境管理体系，以便及时发现问题，及时采取措施。</w:t>
      </w:r>
    </w:p>
    <w:p>
      <w:pPr>
        <w:pStyle w:val="5"/>
      </w:pPr>
      <w:r>
        <w:rPr>
          <w:rFonts w:hint="eastAsia"/>
        </w:rPr>
        <w:t>地下水污染风险应急管理及响应</w:t>
      </w:r>
    </w:p>
    <w:p>
      <w:pPr>
        <w:tabs>
          <w:tab w:val="left" w:pos="525"/>
        </w:tabs>
        <w:autoSpaceDE w:val="0"/>
        <w:autoSpaceDN w:val="0"/>
        <w:adjustRightInd w:val="0"/>
        <w:ind w:firstLine="480"/>
        <w:rPr>
          <w:rFonts w:eastAsiaTheme="minorEastAsia"/>
          <w:lang w:val="zh-CN"/>
        </w:rPr>
      </w:pPr>
      <w:r>
        <w:rPr>
          <w:rFonts w:hint="eastAsia" w:eastAsiaTheme="minorEastAsia"/>
        </w:rPr>
        <w:t>制定地下水污染应急响应预案，一旦出现污染事故，立即启动应急预案，及时控制污染。</w:t>
      </w:r>
      <w:bookmarkStart w:id="632" w:name="_Hlk479328935"/>
    </w:p>
    <w:bookmarkEnd w:id="632"/>
    <w:p>
      <w:pPr>
        <w:pStyle w:val="5"/>
      </w:pPr>
      <w:bookmarkStart w:id="633" w:name="_Toc331536268"/>
      <w:bookmarkStart w:id="634" w:name="_Toc331536269"/>
      <w:r>
        <w:t>地下水污染防治措施可行性分析</w:t>
      </w:r>
      <w:bookmarkEnd w:id="633"/>
    </w:p>
    <w:p>
      <w:pPr>
        <w:tabs>
          <w:tab w:val="left" w:pos="525"/>
        </w:tabs>
        <w:autoSpaceDE w:val="0"/>
        <w:autoSpaceDN w:val="0"/>
        <w:adjustRightInd w:val="0"/>
        <w:ind w:firstLine="480"/>
        <w:rPr>
          <w:rFonts w:eastAsiaTheme="minorEastAsia"/>
          <w:lang w:val="zh-CN"/>
        </w:rPr>
        <w:sectPr>
          <w:pgSz w:w="11906" w:h="16838"/>
          <w:pgMar w:top="1418" w:right="1418" w:bottom="1418" w:left="1418" w:header="851" w:footer="992" w:gutter="0"/>
          <w:cols w:space="720" w:num="1"/>
          <w:docGrid w:type="lines" w:linePitch="312" w:charSpace="0"/>
        </w:sectPr>
      </w:pPr>
      <w:r>
        <w:rPr>
          <w:rFonts w:hint="eastAsia" w:eastAsiaTheme="minorEastAsia"/>
          <w:lang w:val="zh-CN"/>
        </w:rPr>
        <w:t>通过采取上述综合治理措施，本项目对地下水的环境影响较小，本评价认为建设单位采取的地下水污染防治措施在技术和经济上是可行的。</w:t>
      </w:r>
    </w:p>
    <w:p>
      <w:pPr>
        <w:pStyle w:val="107"/>
        <w:keepNext/>
      </w:pPr>
      <w:r>
        <w:drawing>
          <wp:inline distT="0" distB="0" distL="0" distR="0">
            <wp:extent cx="6658610" cy="5168900"/>
            <wp:effectExtent l="0" t="0" r="889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95"/>
                    <a:stretch>
                      <a:fillRect/>
                    </a:stretch>
                  </pic:blipFill>
                  <pic:spPr>
                    <a:xfrm>
                      <a:off x="0" y="0"/>
                      <a:ext cx="6658610" cy="5168900"/>
                    </a:xfrm>
                    <a:prstGeom prst="rect">
                      <a:avLst/>
                    </a:prstGeom>
                  </pic:spPr>
                </pic:pic>
              </a:graphicData>
            </a:graphic>
          </wp:inline>
        </w:drawing>
      </w:r>
    </w:p>
    <w:p>
      <w:pPr>
        <w:pStyle w:val="18"/>
        <w:rPr>
          <w:rStyle w:val="63"/>
          <w:color w:val="auto"/>
        </w:rPr>
      </w:pPr>
      <w:r>
        <w:rPr>
          <w:rStyle w:val="63"/>
          <w:rFonts w:hint="eastAsia"/>
          <w:color w:val="auto"/>
        </w:rPr>
        <w:t xml:space="preserve">图 </w:t>
      </w:r>
      <w:r>
        <w:rPr>
          <w:rStyle w:val="63"/>
          <w:color w:val="auto"/>
        </w:rPr>
        <w:fldChar w:fldCharType="begin"/>
      </w:r>
      <w:r>
        <w:rPr>
          <w:rStyle w:val="63"/>
          <w:color w:val="auto"/>
        </w:rPr>
        <w:instrText xml:space="preserve"> </w:instrText>
      </w:r>
      <w:r>
        <w:rPr>
          <w:rStyle w:val="63"/>
          <w:rFonts w:hint="eastAsia"/>
          <w:color w:val="auto"/>
        </w:rPr>
        <w:instrText xml:space="preserve">STYLEREF 2 \s</w:instrText>
      </w:r>
      <w:r>
        <w:rPr>
          <w:rStyle w:val="63"/>
          <w:color w:val="auto"/>
        </w:rPr>
        <w:instrText xml:space="preserve"> </w:instrText>
      </w:r>
      <w:r>
        <w:rPr>
          <w:rStyle w:val="63"/>
          <w:color w:val="auto"/>
        </w:rPr>
        <w:fldChar w:fldCharType="separate"/>
      </w:r>
      <w:r>
        <w:rPr>
          <w:rStyle w:val="63"/>
          <w:color w:val="auto"/>
        </w:rPr>
        <w:t>5.5</w:t>
      </w:r>
      <w:r>
        <w:rPr>
          <w:rStyle w:val="63"/>
          <w:color w:val="auto"/>
        </w:rPr>
        <w:fldChar w:fldCharType="end"/>
      </w:r>
      <w:r>
        <w:rPr>
          <w:rStyle w:val="63"/>
          <w:color w:val="auto"/>
        </w:rPr>
        <w:noBreakHyphen/>
      </w:r>
      <w:r>
        <w:rPr>
          <w:rStyle w:val="63"/>
          <w:color w:val="auto"/>
        </w:rPr>
        <w:fldChar w:fldCharType="begin"/>
      </w:r>
      <w:r>
        <w:rPr>
          <w:rStyle w:val="63"/>
          <w:color w:val="auto"/>
        </w:rPr>
        <w:instrText xml:space="preserve"> </w:instrText>
      </w:r>
      <w:r>
        <w:rPr>
          <w:rStyle w:val="63"/>
          <w:rFonts w:hint="eastAsia"/>
          <w:color w:val="auto"/>
        </w:rPr>
        <w:instrText xml:space="preserve">SEQ 图 \* ARABIC \s 2</w:instrText>
      </w:r>
      <w:r>
        <w:rPr>
          <w:rStyle w:val="63"/>
          <w:color w:val="auto"/>
        </w:rPr>
        <w:instrText xml:space="preserve"> </w:instrText>
      </w:r>
      <w:r>
        <w:rPr>
          <w:rStyle w:val="63"/>
          <w:color w:val="auto"/>
        </w:rPr>
        <w:fldChar w:fldCharType="separate"/>
      </w:r>
      <w:r>
        <w:rPr>
          <w:rStyle w:val="63"/>
          <w:color w:val="auto"/>
        </w:rPr>
        <w:t>1</w:t>
      </w:r>
      <w:r>
        <w:rPr>
          <w:rStyle w:val="63"/>
          <w:color w:val="auto"/>
        </w:rPr>
        <w:fldChar w:fldCharType="end"/>
      </w:r>
      <w:r>
        <w:rPr>
          <w:rStyle w:val="63"/>
          <w:color w:val="auto"/>
        </w:rPr>
        <w:t xml:space="preserve"> </w:t>
      </w:r>
      <w:r>
        <w:rPr>
          <w:rStyle w:val="63"/>
          <w:rFonts w:hint="eastAsia"/>
          <w:color w:val="auto"/>
        </w:rPr>
        <w:t>项目地下水分区防治图</w:t>
      </w:r>
    </w:p>
    <w:p>
      <w:pPr>
        <w:pStyle w:val="2"/>
        <w:rPr>
          <w:lang w:val="zh-CN"/>
        </w:rPr>
      </w:pPr>
    </w:p>
    <w:p>
      <w:pPr>
        <w:pStyle w:val="2"/>
        <w:rPr>
          <w:lang w:val="zh-CN"/>
        </w:rPr>
        <w:sectPr>
          <w:pgSz w:w="16838" w:h="11906" w:orient="landscape"/>
          <w:pgMar w:top="1418" w:right="1418" w:bottom="1418" w:left="1418" w:header="851" w:footer="992" w:gutter="0"/>
          <w:cols w:space="720" w:num="1"/>
          <w:docGrid w:type="lines" w:linePitch="326" w:charSpace="0"/>
        </w:sectPr>
      </w:pPr>
    </w:p>
    <w:bookmarkEnd w:id="634"/>
    <w:p>
      <w:pPr>
        <w:pStyle w:val="4"/>
      </w:pPr>
      <w:bookmarkStart w:id="635" w:name="_Toc3538811"/>
      <w:r>
        <w:rPr>
          <w:rFonts w:hint="eastAsia"/>
        </w:rPr>
        <w:t>环境风险防范应急措施及其可行性论证</w:t>
      </w:r>
      <w:bookmarkEnd w:id="635"/>
    </w:p>
    <w:p>
      <w:pPr>
        <w:pStyle w:val="5"/>
      </w:pPr>
      <w:r>
        <w:rPr>
          <w:rFonts w:hint="eastAsia"/>
        </w:rPr>
        <w:t>环境风险防范措施</w:t>
      </w:r>
    </w:p>
    <w:p>
      <w:pPr>
        <w:ind w:firstLine="480"/>
      </w:pPr>
      <w:r>
        <w:rPr>
          <w:rFonts w:hint="eastAsia"/>
        </w:rPr>
        <w:t>1、泄漏风险防范措施</w:t>
      </w:r>
    </w:p>
    <w:p>
      <w:pPr>
        <w:ind w:firstLine="480"/>
        <w:rPr>
          <w:rFonts w:eastAsiaTheme="minorEastAsia"/>
        </w:rPr>
      </w:pPr>
      <w:r>
        <w:rPr>
          <w:rFonts w:hint="eastAsia" w:eastAsiaTheme="minorEastAsia"/>
        </w:rPr>
        <w:t>仓库内原辅材料分类存放，对固态、液态的原料和成品进行分区存放。仓库应配备消防沙、吸液棉、碎布等，并于仓库门口位置设置集液沟确保泄漏时液体可自流进入集液沟，不至于流出仓库门口污染外环境；同时将集液沟与事故应急池采用管道相连，确保泄漏量大时，进入集液沟的物料可流入应急事故池，而不至于溢出集液沟而流出外环境；仓库门口配备相应品种和数量消防器材；设置“危险”、“禁止烟火”等警示标志，储存在阴凉、通风的仓库中，远离热源、火种；运输设备以及存放容器应符合国家有关规定，并进行定期检查，配以不定期检查，发现问题，立即进行维修，如不能维修，及时更换运输设备或容器。项目化学品的搬运、储存和操作等都应按照相应的安全技术说明书进行。</w:t>
      </w:r>
    </w:p>
    <w:p>
      <w:pPr>
        <w:ind w:firstLine="480"/>
        <w:rPr>
          <w:rFonts w:eastAsiaTheme="minorEastAsia"/>
        </w:rPr>
      </w:pPr>
      <w:r>
        <w:rPr>
          <w:rFonts w:hint="eastAsia" w:eastAsiaTheme="minorEastAsia"/>
        </w:rPr>
        <w:t>仓库应实行专职人员巡视管理制度，同时管理人员应具备应急处理能力，每2 小时巡视一次，专职人员需在每次检查过程中在相应签到点中签名，并填写巡视情况。建议在仓库内设置视频监控，各操作人员的操作过程均由总控室内设有专职人员在线监控，确保操作过程符合规范。</w:t>
      </w:r>
    </w:p>
    <w:p>
      <w:pPr>
        <w:ind w:firstLine="480"/>
        <w:rPr>
          <w:rFonts w:eastAsiaTheme="minorEastAsia"/>
        </w:rPr>
      </w:pPr>
      <w:r>
        <w:rPr>
          <w:rFonts w:hint="eastAsia" w:eastAsiaTheme="minorEastAsia"/>
        </w:rPr>
        <w:t>2、火灾风险防范措施</w:t>
      </w:r>
    </w:p>
    <w:p>
      <w:pPr>
        <w:ind w:firstLine="480"/>
        <w:rPr>
          <w:rFonts w:eastAsiaTheme="minorEastAsia"/>
        </w:rPr>
      </w:pPr>
      <w:r>
        <w:rPr>
          <w:rFonts w:hint="eastAsia" w:eastAsiaTheme="minorEastAsia"/>
        </w:rPr>
        <w:t>（1）为监视整个厂区的生产运行情况、火灾及安全防范，建议在厂区内设置一套电视监控系统。摄像机分别设在生产线、仓库及主要道路等区域，采用防爆可变焦摄像机及彩色一体化摄像机，摄像机配有相应的云台、防护罩及解码器。摄像机的监控信号送入中央控制室，并由中央控制室实施厂区监控设备的控制，在监视器上对厂区进行全天候监控。</w:t>
      </w:r>
    </w:p>
    <w:p>
      <w:pPr>
        <w:ind w:firstLine="480"/>
        <w:rPr>
          <w:rFonts w:eastAsiaTheme="minorEastAsia"/>
        </w:rPr>
      </w:pPr>
      <w:r>
        <w:rPr>
          <w:rFonts w:hint="eastAsia" w:eastAsiaTheme="minorEastAsia"/>
        </w:rPr>
        <w:t>（2）严禁火源进入生产车间、仓库，对明火严格控制。</w:t>
      </w:r>
    </w:p>
    <w:p>
      <w:pPr>
        <w:ind w:firstLine="480"/>
        <w:rPr>
          <w:rFonts w:eastAsiaTheme="minorEastAsia"/>
        </w:rPr>
      </w:pPr>
      <w:r>
        <w:rPr>
          <w:rFonts w:hint="eastAsia" w:eastAsiaTheme="minorEastAsia"/>
        </w:rPr>
        <w:t>（3）为防止由于容器静电引起事故，必须使用除静电装置，不使用塑料容器。</w:t>
      </w:r>
    </w:p>
    <w:p>
      <w:pPr>
        <w:ind w:firstLine="480"/>
        <w:rPr>
          <w:rFonts w:eastAsiaTheme="minorEastAsia"/>
        </w:rPr>
      </w:pPr>
      <w:r>
        <w:rPr>
          <w:rFonts w:hint="eastAsia" w:eastAsiaTheme="minorEastAsia"/>
        </w:rPr>
        <w:t>（4）为防止摩擦、冲击等发热、发火花而起火，应使用铜、铝等有色金属制造的工具。</w:t>
      </w:r>
    </w:p>
    <w:p>
      <w:pPr>
        <w:ind w:firstLine="480"/>
        <w:rPr>
          <w:rFonts w:eastAsiaTheme="minorEastAsia"/>
        </w:rPr>
      </w:pPr>
      <w:r>
        <w:rPr>
          <w:rFonts w:hint="eastAsia" w:eastAsiaTheme="minorEastAsia"/>
        </w:rPr>
        <w:t>（5）严禁使用破损、腐蚀、有裂痕的容器；搬运时不要在地上抛掷拖拉，以防意外事故的发生。</w:t>
      </w:r>
    </w:p>
    <w:p>
      <w:pPr>
        <w:ind w:firstLine="480"/>
        <w:rPr>
          <w:rFonts w:eastAsiaTheme="minorEastAsia"/>
        </w:rPr>
      </w:pPr>
      <w:r>
        <w:rPr>
          <w:rFonts w:hint="eastAsia" w:eastAsiaTheme="minorEastAsia"/>
        </w:rPr>
        <w:t>（6）电气设备应定期检修，发现可能引起火花，短路，发热及电气绝缘损坏，接触电阻；</w:t>
      </w:r>
    </w:p>
    <w:p>
      <w:pPr>
        <w:ind w:firstLine="480"/>
        <w:rPr>
          <w:rFonts w:eastAsiaTheme="minorEastAsia"/>
        </w:rPr>
      </w:pPr>
      <w:r>
        <w:rPr>
          <w:rFonts w:hint="eastAsia" w:eastAsiaTheme="minorEastAsia"/>
        </w:rPr>
        <w:t>（7）项目严格执行相关规范要求，所有建、构筑物之间或与其它场所之间留有足够的防火间距，以防止在火灾时相互影响。项目根据《建筑设计防火规范》（GB</w:t>
      </w:r>
      <w:r>
        <w:rPr>
          <w:rFonts w:eastAsiaTheme="minorEastAsia"/>
        </w:rPr>
        <w:t xml:space="preserve"> </w:t>
      </w:r>
      <w:r>
        <w:rPr>
          <w:rFonts w:hint="eastAsia" w:eastAsiaTheme="minorEastAsia"/>
        </w:rPr>
        <w:t>50016-2014）的要求：火灾危险性等级和防火、防爆，对建筑物的防火等级均采用国家现行规范要求的耐火等级设计，满足建筑防火要求。</w:t>
      </w:r>
    </w:p>
    <w:p>
      <w:pPr>
        <w:ind w:firstLine="480"/>
        <w:rPr>
          <w:rFonts w:eastAsiaTheme="minorEastAsia"/>
        </w:rPr>
      </w:pPr>
      <w:r>
        <w:rPr>
          <w:rFonts w:hint="eastAsia" w:eastAsiaTheme="minorEastAsia"/>
        </w:rPr>
        <w:t>（8）针对不同的工作部位，设计相应的消防系统。消防系统的设计应严格遵守《建筑设计防火规范》（GB</w:t>
      </w:r>
      <w:r>
        <w:rPr>
          <w:rFonts w:eastAsiaTheme="minorEastAsia"/>
        </w:rPr>
        <w:t xml:space="preserve"> </w:t>
      </w:r>
      <w:r>
        <w:rPr>
          <w:rFonts w:hint="eastAsia" w:eastAsiaTheme="minorEastAsia"/>
        </w:rPr>
        <w:t>50016-2014）及《</w:t>
      </w:r>
      <w:bookmarkStart w:id="636" w:name="OLE_LINK5"/>
      <w:bookmarkStart w:id="637" w:name="OLE_LINK4"/>
      <w:r>
        <w:rPr>
          <w:rFonts w:hint="eastAsia" w:eastAsiaTheme="minorEastAsia"/>
        </w:rPr>
        <w:t>自动喷水灭火系统设计规范</w:t>
      </w:r>
      <w:bookmarkEnd w:id="636"/>
      <w:bookmarkEnd w:id="637"/>
      <w:r>
        <w:rPr>
          <w:rFonts w:hint="eastAsia" w:eastAsiaTheme="minorEastAsia"/>
        </w:rPr>
        <w:t>》（GB</w:t>
      </w:r>
      <w:r>
        <w:rPr>
          <w:rFonts w:eastAsiaTheme="minorEastAsia"/>
        </w:rPr>
        <w:t xml:space="preserve"> </w:t>
      </w:r>
      <w:r>
        <w:rPr>
          <w:rFonts w:hint="eastAsia" w:eastAsiaTheme="minorEastAsia"/>
        </w:rPr>
        <w:t>50084-20</w:t>
      </w:r>
      <w:r>
        <w:rPr>
          <w:rFonts w:eastAsiaTheme="minorEastAsia"/>
        </w:rPr>
        <w:t>17</w:t>
      </w:r>
      <w:r>
        <w:rPr>
          <w:rFonts w:hint="eastAsia" w:eastAsiaTheme="minorEastAsia"/>
        </w:rPr>
        <w:t>）的有关规定。在火灾爆炸的敏感区设计符合设计规范的消防管网、消防栓、喷淋系统和各种手持式灭火器材，一旦发生险情可及时发现处理，消灭隐患。</w:t>
      </w:r>
    </w:p>
    <w:p>
      <w:pPr>
        <w:ind w:firstLine="480"/>
        <w:rPr>
          <w:rFonts w:eastAsiaTheme="minorEastAsia"/>
        </w:rPr>
      </w:pPr>
      <w:r>
        <w:rPr>
          <w:rFonts w:hint="eastAsia" w:eastAsiaTheme="minorEastAsia"/>
        </w:rPr>
        <w:t>（9）控制粉尘浓度，各生产过程中的设备尽量密闭，操作间应有良好的通风设备，以降低空气中粉尘含量；在供给粉料生产时，严格控制设备装置中空气量、含氧量，防止粉尘爆炸。减少粉尘沉积，各工段设备应隔离在单独厂房内，要定期及时清理沉积于厂房内各角落、设备、管道上的粉尘，使设备外面的粉尘和系统内各部件之间的粉尘减至最少。</w:t>
      </w:r>
    </w:p>
    <w:p>
      <w:pPr>
        <w:ind w:firstLine="480"/>
        <w:rPr>
          <w:rFonts w:eastAsiaTheme="minorEastAsia"/>
        </w:rPr>
      </w:pPr>
      <w:r>
        <w:rPr>
          <w:rFonts w:hint="eastAsia" w:eastAsiaTheme="minorEastAsia"/>
        </w:rPr>
        <w:t>3、事故排放风险防范措施</w:t>
      </w:r>
    </w:p>
    <w:p>
      <w:pPr>
        <w:ind w:firstLine="480"/>
        <w:rPr>
          <w:rFonts w:eastAsiaTheme="minorEastAsia"/>
        </w:rPr>
      </w:pPr>
      <w:r>
        <w:rPr>
          <w:rFonts w:hint="eastAsia" w:eastAsiaTheme="minorEastAsia"/>
        </w:rPr>
        <w:t>若项目废气处理设施抽风机发生故障，则会造成车间的废气无法及时抽出车间，进而影响车间的操作人员的健康；外排入环境中造成大气污染。在现实许多企业由于设备长期运行失效而出现环保事故排放可以说是屡见不鲜。故建设单位应认真做好设备的保养，定期维护、保修工作，使处理设施达到预期效果。为确保不发生事故性废气排放，建设单位拟采取一定的事故性防范保护措施：</w:t>
      </w:r>
    </w:p>
    <w:p>
      <w:pPr>
        <w:ind w:firstLine="480"/>
        <w:rPr>
          <w:rFonts w:eastAsiaTheme="minorEastAsia"/>
        </w:rPr>
      </w:pPr>
      <w:r>
        <w:rPr>
          <w:rFonts w:hint="eastAsia" w:eastAsiaTheme="minorEastAsia"/>
        </w:rPr>
        <w:t>（1）各生产环节严格执行生产管理的有关规定，加强设备的检修及保养，提高管理人员素质，并设置机器事故应急措施及管理制度，确保设备长期处于良好状态，使设备达到预期的处理效果。</w:t>
      </w:r>
    </w:p>
    <w:p>
      <w:pPr>
        <w:ind w:firstLine="480"/>
        <w:rPr>
          <w:rFonts w:eastAsiaTheme="minorEastAsia"/>
        </w:rPr>
      </w:pPr>
      <w:r>
        <w:rPr>
          <w:rFonts w:hint="eastAsia" w:eastAsiaTheme="minorEastAsia"/>
        </w:rPr>
        <w:t>（2）现场作业人员定时记录废气处理状况，定期对废气排放口的污染物浓度进行监测，对废气处理设施的抽风机等设备进行点检工作，并派专人巡视，遇不良工作状况立即停止车间相关作业，维修正常后再开始作业，杜绝事故性废气直排，并及时呈报单位主管。待检修完毕再通知生产车间相关工序。</w:t>
      </w:r>
    </w:p>
    <w:p>
      <w:pPr>
        <w:ind w:firstLine="480"/>
        <w:rPr>
          <w:rFonts w:eastAsiaTheme="minorEastAsia"/>
        </w:rPr>
      </w:pPr>
      <w:r>
        <w:rPr>
          <w:rFonts w:hint="eastAsia" w:eastAsiaTheme="minorEastAsia"/>
        </w:rPr>
        <w:t>4、事故应急池设置</w:t>
      </w:r>
    </w:p>
    <w:p>
      <w:pPr>
        <w:ind w:firstLine="480"/>
      </w:pPr>
      <w:r>
        <w:rPr>
          <w:rFonts w:hint="eastAsia"/>
        </w:rPr>
        <w:t>根据</w:t>
      </w:r>
      <w:r>
        <w:fldChar w:fldCharType="begin"/>
      </w:r>
      <w:r>
        <w:instrText xml:space="preserve"> </w:instrText>
      </w:r>
      <w:r>
        <w:rPr>
          <w:rFonts w:hint="eastAsia"/>
        </w:rPr>
        <w:instrText xml:space="preserve">REF _Ref528854656 \r \h</w:instrText>
      </w:r>
      <w:r>
        <w:instrText xml:space="preserve">  \* MERGEFORMAT </w:instrText>
      </w:r>
      <w:r>
        <w:fldChar w:fldCharType="separate"/>
      </w:r>
      <w:r>
        <w:t>4.9.5.2</w:t>
      </w:r>
      <w:r>
        <w:fldChar w:fldCharType="end"/>
      </w:r>
      <w:r>
        <w:rPr>
          <w:rFonts w:hint="eastAsia"/>
        </w:rPr>
        <w:t>章节计算内容可知，本项目火灾事故状态下消防废水最大量为</w:t>
      </w:r>
      <w:r>
        <w:t>82</w:t>
      </w:r>
      <w:r>
        <w:rPr>
          <w:rFonts w:hint="eastAsia"/>
        </w:rPr>
        <w:t>m</w:t>
      </w:r>
      <w:r>
        <w:rPr>
          <w:rFonts w:hint="eastAsia"/>
          <w:vertAlign w:val="superscript"/>
        </w:rPr>
        <w:t>3</w:t>
      </w:r>
      <w:r>
        <w:rPr>
          <w:rFonts w:hint="eastAsia"/>
        </w:rPr>
        <w:t>，项目需在厂区地势较低处建设有效容积不低于</w:t>
      </w:r>
      <w:r>
        <w:t>82</w:t>
      </w:r>
      <w:r>
        <w:rPr>
          <w:rFonts w:hint="eastAsia"/>
        </w:rPr>
        <w:t>m</w:t>
      </w:r>
      <w:r>
        <w:rPr>
          <w:rFonts w:hint="eastAsia"/>
          <w:vertAlign w:val="superscript"/>
        </w:rPr>
        <w:t>3</w:t>
      </w:r>
      <w:r>
        <w:rPr>
          <w:rFonts w:hint="eastAsia"/>
        </w:rPr>
        <w:t>的事故应急池方可满足</w:t>
      </w:r>
      <w:bookmarkStart w:id="638" w:name="_Hlk4139021"/>
      <w:r>
        <w:rPr>
          <w:rFonts w:hint="eastAsia"/>
        </w:rPr>
        <w:t>最不利事故情况下的应急需求</w:t>
      </w:r>
      <w:bookmarkEnd w:id="638"/>
      <w:r>
        <w:rPr>
          <w:rFonts w:hint="eastAsia"/>
        </w:rPr>
        <w:t>。</w:t>
      </w:r>
    </w:p>
    <w:p>
      <w:pPr>
        <w:ind w:firstLine="480"/>
      </w:pPr>
      <w:r>
        <w:rPr>
          <w:rFonts w:hint="eastAsia"/>
        </w:rPr>
        <w:t>事故应急池拟设置于厂区西南面，设置方式为地埋式</w:t>
      </w:r>
      <w:r>
        <w:rPr>
          <w:rFonts w:hint="eastAsia"/>
          <w:color w:val="000000" w:themeColor="text1"/>
          <w14:textFill>
            <w14:solidFill>
              <w14:schemeClr w14:val="tx1"/>
            </w14:solidFill>
          </w14:textFill>
        </w:rPr>
        <w:t>，深度不小于1.5m，面积不小于55m²，则容积可达到8</w:t>
      </w:r>
      <w:r>
        <w:rPr>
          <w:color w:val="000000" w:themeColor="text1"/>
          <w14:textFill>
            <w14:solidFill>
              <w14:schemeClr w14:val="tx1"/>
            </w14:solidFill>
          </w14:textFill>
        </w:rPr>
        <w:t>2.5</w:t>
      </w:r>
      <w:r>
        <w:rPr>
          <w:rFonts w:hint="eastAsia"/>
          <w:color w:val="000000" w:themeColor="text1"/>
          <w14:textFill>
            <w14:solidFill>
              <w14:schemeClr w14:val="tx1"/>
            </w14:solidFill>
          </w14:textFill>
        </w:rPr>
        <w:t xml:space="preserve"> 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82</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，满足最不利事故情况下的应急需求；保守估计，厂区西南侧的闲置空地面积约有</w:t>
      </w:r>
      <w:r>
        <w:rPr>
          <w:color w:val="000000" w:themeColor="text1"/>
          <w14:textFill>
            <w14:solidFill>
              <w14:schemeClr w14:val="tx1"/>
            </w14:solidFill>
          </w14:textFill>
        </w:rPr>
        <w:t>20m</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0m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200</w:t>
      </w:r>
      <w:r>
        <w:rPr>
          <w:rFonts w:hint="eastAsia"/>
          <w:color w:val="000000" w:themeColor="text1"/>
          <w14:textFill>
            <w14:solidFill>
              <w14:schemeClr w14:val="tx1"/>
            </w14:solidFill>
          </w14:textFill>
        </w:rPr>
        <w:t>m²，可满足应急池不小于55m²的占地需要。</w:t>
      </w:r>
      <w:r>
        <w:rPr>
          <w:rFonts w:hint="eastAsia"/>
        </w:rPr>
        <w:t>事故应急池防渗层的防渗性能应等效于6.0m 厚渗透系数为1.0×10</w:t>
      </w:r>
      <w:r>
        <w:rPr>
          <w:rFonts w:hint="eastAsia"/>
          <w:vertAlign w:val="superscript"/>
        </w:rPr>
        <w:t>-7</w:t>
      </w:r>
      <w:r>
        <w:rPr>
          <w:rFonts w:hint="eastAsia"/>
        </w:rPr>
        <w:t>cm/s 的黏土层的防渗性能，抗渗混凝土掺加水泥基渗透结晶型防水剂，掺加量为混凝土中胶凝材料的1%～10%（重量比），抗渗等级不低P10，强度等级不小于C30，水灰比不宜大于0.50，其厚度不宜小于200mm。</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项目厂房、仓库各出入口处应设置集液沟，并设置连通事故应急池的管道，一旦发生泄漏或火灾后产生的消防废水、废液可先流入集液沟，再通过管道引入事故应急池暂存。同时在雨水总排放口处设置截断阀，将雨水管网与事故应急池连通，并在雨水管网与事故应急池之间设置阀门；事故发生时，关闭雨水总排放口，开启雨水管网与事故应急池之间的阀门，将消防废水引入事故应急池暂存，再交由具有资质单位回收处理。</w:t>
      </w:r>
    </w:p>
    <w:p>
      <w:pPr>
        <w:pStyle w:val="5"/>
      </w:pPr>
      <w:r>
        <w:rPr>
          <w:rFonts w:hint="eastAsia"/>
        </w:rPr>
        <w:t>环境风险应急措施</w:t>
      </w:r>
    </w:p>
    <w:p>
      <w:pPr>
        <w:ind w:firstLine="480"/>
      </w:pPr>
      <w:r>
        <w:rPr>
          <w:rFonts w:hint="eastAsia"/>
        </w:rPr>
        <w:t>1、泄漏事故应急处置措施</w:t>
      </w:r>
    </w:p>
    <w:p>
      <w:pPr>
        <w:ind w:firstLine="480"/>
      </w:pPr>
      <w:r>
        <w:rPr>
          <w:rFonts w:hint="eastAsia"/>
        </w:rPr>
        <w:t>化学品发生泄漏时，尽可能切断泄漏源以及火源。泄漏量大时，马上转移泄漏容器中剩余的化学品，避免液体大面积扩散，尽快加以收集，转移，防止大面积的化学品长时间的蒸发、扩散；泄漏的化学品较少量时，及时采用沙土、吸液棉及碎布处理；如果蒸发的化学物浓度较大，可使用水蒸气或者喷雾枪驱散，吸收蒸汽，同时把人员疏散到上风向或者侧风向位置；对已遭受污染的地域应迅速圈定范围，保护现场，并通知环保部门；应急行动进行到泄漏的液体物料被彻底清除干净，并经探测仪检测，确保无危险为止。</w:t>
      </w:r>
    </w:p>
    <w:p>
      <w:pPr>
        <w:ind w:firstLine="480"/>
      </w:pPr>
      <w:r>
        <w:rPr>
          <w:rFonts w:hint="eastAsia"/>
        </w:rPr>
        <w:t>2、火灾事故应急处理措施</w:t>
      </w:r>
    </w:p>
    <w:p>
      <w:pPr>
        <w:ind w:firstLine="480"/>
      </w:pPr>
      <w:r>
        <w:rPr>
          <w:rFonts w:hint="eastAsia"/>
        </w:rPr>
        <w:t>当仓库、车间着火时，应立即使用现场干粉灭火器进行灭火；如火势较大，不能控制时，应立即使用现场消防栓扑救，并报告保安中心启动消防喷淋；在确保人身安全情况下，可适当转移周围化学品或可燃物品等；如火势凶猛，可能引起人身伤害或周围化学品爆炸时，应立即报告119，并组织周围人员疏散至安全地方；报告厂消防控制中心，启动消防和环境风险应急预案。</w:t>
      </w:r>
    </w:p>
    <w:p>
      <w:pPr>
        <w:ind w:firstLine="480"/>
      </w:pPr>
      <w:r>
        <w:rPr>
          <w:rFonts w:hint="eastAsia"/>
        </w:rPr>
        <w:t>3、废气处理装置失效应急措施</w:t>
      </w:r>
    </w:p>
    <w:p>
      <w:pPr>
        <w:ind w:firstLine="480"/>
      </w:pPr>
      <w:r>
        <w:rPr>
          <w:rFonts w:hint="eastAsia"/>
        </w:rPr>
        <w:t>如出现废气治理设施故障，应立即停止生产，维修正常后再开始作业，杜绝事故性废气直排，并及时呈报单位主管。待检修完毕再通知生产车间相关工序。</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4、环境风险三级防范及防止污染扩大厂内控制措施</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一级防范（工序）：发生泄漏时，现场操作者或巡查员可切断泄漏源，同时可以在现场使用泄漏应急吸附材料等进行吸附或围堵，防止泄漏扩大。</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二级防范（车间、仓库）：厂房及仓库各出入口处设置集液沟，集液沟上方加盖格栅，格栅应与室内地面标高一致，避免影响人员及设备出入；将集液沟与事故应急池采用管道相连，进入集液沟的物料可流入应急事故池，防止使用工序和仓库内所储存的物料因泄漏、消防废水漫流而扩散到其它区域，污染周围水体。</w:t>
      </w:r>
    </w:p>
    <w:p>
      <w:pPr>
        <w:ind w:firstLine="480"/>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三级防范（厂区与外界联系）：在厂区雨水总排口处设置截断阀或应急闸，将雨水管网与事故应急池连通，并在雨水管网与事故应急池之间设置阀门；在事故响应时关闭雨水排放口，开启雨水管网与事故应急池之间的阀门，将消防废水引入事故应急池暂存，防止消防废水等流出厂区外，污染周围水体。</w:t>
      </w:r>
    </w:p>
    <w:p>
      <w:pPr>
        <w:pStyle w:val="5"/>
      </w:pPr>
      <w:r>
        <w:rPr>
          <w:rFonts w:hint="eastAsia"/>
        </w:rPr>
        <w:t>环境风险应急预案</w:t>
      </w:r>
    </w:p>
    <w:p>
      <w:pPr>
        <w:ind w:firstLine="480"/>
      </w:pPr>
      <w:r>
        <w:rPr>
          <w:rFonts w:hint="eastAsia"/>
        </w:rPr>
        <w:t>应急预案是在贯彻预防为主的前提下，对建设项目可能出现事故，为及时控制危害源，抢救受害人员，指导居民防护和组织撤离，消除危害后果而组织的救援活动的预想方案。</w:t>
      </w:r>
    </w:p>
    <w:p>
      <w:pPr>
        <w:ind w:firstLine="480"/>
        <w:rPr>
          <w:rFonts w:cs="Times New Roman" w:eastAsiaTheme="minorEastAsia"/>
        </w:rPr>
      </w:pPr>
      <w:r>
        <w:rPr>
          <w:rFonts w:hint="eastAsia" w:cs="Times New Roman" w:eastAsiaTheme="minorEastAsia"/>
        </w:rPr>
        <w:t>为确保将事故风险及环境影响降低到最低程度，企业必须另行按安全生产监督管理局及消防部门要求编制安全风险事故应急预案。</w:t>
      </w:r>
    </w:p>
    <w:p>
      <w:pPr>
        <w:ind w:firstLine="480"/>
        <w:rPr>
          <w:rFonts w:cs="Times New Roman" w:eastAsiaTheme="minorEastAsia"/>
        </w:rPr>
      </w:pPr>
      <w:r>
        <w:rPr>
          <w:rFonts w:hint="eastAsia" w:cs="Times New Roman" w:eastAsiaTheme="minorEastAsia"/>
        </w:rPr>
        <w:t>通过对环境事故的风险评价，企业必须同时制订相应的环境风险应急预案。</w:t>
      </w:r>
    </w:p>
    <w:p>
      <w:pPr>
        <w:ind w:firstLine="480"/>
        <w:rPr>
          <w:rFonts w:cs="Times New Roman" w:eastAsiaTheme="minorEastAsia"/>
        </w:rPr>
      </w:pPr>
      <w:r>
        <w:rPr>
          <w:rFonts w:cs="Times New Roman" w:eastAsiaTheme="minorEastAsia"/>
        </w:rPr>
        <w:t>根据《企业事业单位突发环境事件应急预案备案管理办法（试行）》</w:t>
      </w:r>
      <w:r>
        <w:rPr>
          <w:rFonts w:hint="eastAsia" w:cs="Times New Roman" w:eastAsiaTheme="minorEastAsia"/>
        </w:rPr>
        <w:t>（环发〔2015〕4号）</w:t>
      </w:r>
      <w:r>
        <w:rPr>
          <w:rFonts w:cs="Times New Roman" w:eastAsiaTheme="minorEastAsia"/>
        </w:rPr>
        <w:t>等文件要求，建设单位制定的应急预案应包括（</w:t>
      </w:r>
      <w:r>
        <w:rPr>
          <w:rFonts w:hint="eastAsia" w:cs="Times New Roman" w:eastAsiaTheme="minorEastAsia"/>
        </w:rPr>
        <w:t>但</w:t>
      </w:r>
      <w:r>
        <w:rPr>
          <w:rFonts w:cs="Times New Roman" w:eastAsiaTheme="minorEastAsia"/>
        </w:rPr>
        <w:t>不限于）下列内容，见</w:t>
      </w:r>
      <w:r>
        <w:rPr>
          <w:rFonts w:cs="Times New Roman" w:eastAsiaTheme="minorEastAsia"/>
        </w:rPr>
        <w:fldChar w:fldCharType="begin"/>
      </w:r>
      <w:r>
        <w:rPr>
          <w:rFonts w:cs="Times New Roman" w:eastAsiaTheme="minorEastAsia"/>
        </w:rPr>
        <w:instrText xml:space="preserve"> REF _Ref528855674 \h  \* MERGEFORMAT </w:instrText>
      </w:r>
      <w:r>
        <w:rPr>
          <w:rFonts w:cs="Times New Roman" w:eastAsiaTheme="minorEastAsia"/>
        </w:rPr>
        <w:fldChar w:fldCharType="separate"/>
      </w:r>
      <w:r>
        <w:rPr>
          <w:rFonts w:hint="eastAsia"/>
        </w:rPr>
        <w:t xml:space="preserve">表 </w:t>
      </w:r>
      <w:r>
        <w:t>5.6</w:t>
      </w:r>
      <w:r>
        <w:noBreakHyphen/>
      </w:r>
      <w:r>
        <w:t>1</w:t>
      </w:r>
      <w:r>
        <w:rPr>
          <w:rFonts w:cs="Times New Roman" w:eastAsiaTheme="minorEastAsia"/>
        </w:rPr>
        <w:fldChar w:fldCharType="end"/>
      </w:r>
      <w:r>
        <w:rPr>
          <w:rFonts w:cs="Times New Roman" w:eastAsiaTheme="minorEastAsia"/>
        </w:rPr>
        <w:t>。</w:t>
      </w:r>
    </w:p>
    <w:p>
      <w:pPr>
        <w:pStyle w:val="18"/>
      </w:pPr>
      <w:bookmarkStart w:id="639" w:name="_Ref528855674"/>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5.6</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bookmarkEnd w:id="639"/>
      <w:r>
        <w:t xml:space="preserve"> </w:t>
      </w:r>
      <w:r>
        <w:rPr>
          <w:rFonts w:hint="eastAsia"/>
        </w:rPr>
        <w:t>应急预案内容</w:t>
      </w:r>
    </w:p>
    <w:tbl>
      <w:tblPr>
        <w:tblStyle w:val="56"/>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
      <w:tblGrid>
        <w:gridCol w:w="825"/>
        <w:gridCol w:w="2364"/>
        <w:gridCol w:w="57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blHeader/>
        </w:trPr>
        <w:tc>
          <w:tcPr>
            <w:tcW w:w="825" w:type="dxa"/>
            <w:shd w:val="clear" w:color="auto" w:fill="auto"/>
            <w:vAlign w:val="center"/>
          </w:tcPr>
          <w:p>
            <w:pPr>
              <w:spacing w:line="240" w:lineRule="auto"/>
              <w:ind w:firstLine="0" w:firstLineChars="0"/>
              <w:rPr>
                <w:rFonts w:cs="Times New Roman" w:eastAsiaTheme="minorEastAsia"/>
                <w:b/>
                <w:sz w:val="21"/>
                <w:szCs w:val="21"/>
              </w:rPr>
            </w:pPr>
            <w:r>
              <w:rPr>
                <w:rFonts w:cs="Times New Roman" w:eastAsiaTheme="minorEastAsia"/>
                <w:b/>
                <w:sz w:val="21"/>
                <w:szCs w:val="21"/>
              </w:rPr>
              <w:t>序号</w:t>
            </w:r>
          </w:p>
        </w:tc>
        <w:tc>
          <w:tcPr>
            <w:tcW w:w="2364" w:type="dxa"/>
            <w:shd w:val="clear" w:color="auto" w:fill="auto"/>
            <w:vAlign w:val="center"/>
          </w:tcPr>
          <w:p>
            <w:pPr>
              <w:spacing w:line="240" w:lineRule="auto"/>
              <w:ind w:firstLine="0" w:firstLineChars="0"/>
              <w:rPr>
                <w:rFonts w:cs="Times New Roman" w:eastAsiaTheme="minorEastAsia"/>
                <w:b/>
                <w:sz w:val="21"/>
                <w:szCs w:val="21"/>
              </w:rPr>
            </w:pPr>
            <w:r>
              <w:rPr>
                <w:rFonts w:cs="Times New Roman" w:eastAsiaTheme="minorEastAsia"/>
                <w:b/>
                <w:sz w:val="21"/>
                <w:szCs w:val="21"/>
              </w:rPr>
              <w:t>项目</w:t>
            </w:r>
          </w:p>
        </w:tc>
        <w:tc>
          <w:tcPr>
            <w:tcW w:w="5757" w:type="dxa"/>
            <w:shd w:val="clear" w:color="auto" w:fill="auto"/>
            <w:vAlign w:val="center"/>
          </w:tcPr>
          <w:p>
            <w:pPr>
              <w:spacing w:line="240" w:lineRule="auto"/>
              <w:ind w:firstLine="0" w:firstLineChars="0"/>
              <w:rPr>
                <w:rFonts w:cs="Times New Roman" w:eastAsiaTheme="minorEastAsia"/>
                <w:b/>
                <w:sz w:val="21"/>
                <w:szCs w:val="21"/>
              </w:rPr>
            </w:pPr>
            <w:r>
              <w:rPr>
                <w:rFonts w:cs="Times New Roman" w:eastAsiaTheme="minorEastAsia"/>
                <w:b/>
                <w:sz w:val="21"/>
                <w:szCs w:val="21"/>
              </w:rPr>
              <w:t>内容及要求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1</w:t>
            </w:r>
          </w:p>
        </w:tc>
        <w:tc>
          <w:tcPr>
            <w:tcW w:w="2364"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应急计划区</w:t>
            </w:r>
          </w:p>
        </w:tc>
        <w:tc>
          <w:tcPr>
            <w:tcW w:w="5757" w:type="dxa"/>
            <w:shd w:val="clear" w:color="auto" w:fill="auto"/>
            <w:vAlign w:val="center"/>
          </w:tcPr>
          <w:p>
            <w:pPr>
              <w:spacing w:line="240" w:lineRule="auto"/>
              <w:ind w:firstLine="0" w:firstLineChars="0"/>
              <w:jc w:val="both"/>
              <w:rPr>
                <w:rFonts w:cs="Times New Roman" w:eastAsiaTheme="minorEastAsia"/>
                <w:sz w:val="21"/>
                <w:szCs w:val="21"/>
              </w:rPr>
            </w:pPr>
            <w:r>
              <w:rPr>
                <w:rFonts w:cs="Times New Roman" w:eastAsiaTheme="minorEastAsia"/>
                <w:sz w:val="21"/>
                <w:szCs w:val="21"/>
              </w:rPr>
              <w:t>危险目标：生产车间、仓库；</w:t>
            </w:r>
          </w:p>
          <w:p>
            <w:pPr>
              <w:spacing w:line="240" w:lineRule="auto"/>
              <w:ind w:firstLine="0" w:firstLineChars="0"/>
              <w:jc w:val="both"/>
              <w:rPr>
                <w:rFonts w:cs="Times New Roman" w:eastAsiaTheme="minorEastAsia"/>
                <w:sz w:val="21"/>
                <w:szCs w:val="21"/>
              </w:rPr>
            </w:pPr>
            <w:r>
              <w:rPr>
                <w:rFonts w:cs="Times New Roman" w:eastAsiaTheme="minorEastAsia"/>
                <w:sz w:val="21"/>
                <w:szCs w:val="21"/>
              </w:rPr>
              <w:t>环境保护目标：学校、村庄、行政机关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2</w:t>
            </w:r>
          </w:p>
        </w:tc>
        <w:tc>
          <w:tcPr>
            <w:tcW w:w="2364"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应急组织机构、人员</w:t>
            </w:r>
          </w:p>
        </w:tc>
        <w:tc>
          <w:tcPr>
            <w:tcW w:w="5757" w:type="dxa"/>
            <w:shd w:val="clear" w:color="auto" w:fill="auto"/>
            <w:vAlign w:val="center"/>
          </w:tcPr>
          <w:p>
            <w:pPr>
              <w:spacing w:line="240" w:lineRule="auto"/>
              <w:ind w:firstLine="0" w:firstLineChars="0"/>
              <w:jc w:val="both"/>
              <w:rPr>
                <w:rFonts w:cs="Times New Roman" w:eastAsiaTheme="minorEastAsia"/>
                <w:sz w:val="21"/>
                <w:szCs w:val="21"/>
              </w:rPr>
            </w:pPr>
            <w:r>
              <w:rPr>
                <w:rFonts w:cs="Times New Roman" w:eastAsiaTheme="minorEastAsia"/>
                <w:sz w:val="21"/>
                <w:szCs w:val="21"/>
              </w:rPr>
              <w:t>工厂、地区应急组织机构、人员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3</w:t>
            </w:r>
          </w:p>
        </w:tc>
        <w:tc>
          <w:tcPr>
            <w:tcW w:w="2364"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预案分级响应条件</w:t>
            </w:r>
          </w:p>
        </w:tc>
        <w:tc>
          <w:tcPr>
            <w:tcW w:w="5757" w:type="dxa"/>
            <w:shd w:val="clear" w:color="auto" w:fill="auto"/>
            <w:vAlign w:val="center"/>
          </w:tcPr>
          <w:p>
            <w:pPr>
              <w:spacing w:line="240" w:lineRule="auto"/>
              <w:ind w:firstLine="0" w:firstLineChars="0"/>
              <w:jc w:val="both"/>
              <w:rPr>
                <w:rFonts w:cs="Times New Roman" w:eastAsiaTheme="minorEastAsia"/>
                <w:sz w:val="21"/>
                <w:szCs w:val="21"/>
              </w:rPr>
            </w:pPr>
            <w:r>
              <w:rPr>
                <w:rFonts w:cs="Times New Roman" w:eastAsiaTheme="minorEastAsia"/>
                <w:sz w:val="21"/>
                <w:szCs w:val="21"/>
              </w:rPr>
              <w:t>规定预案的级别及分级响应程序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4</w:t>
            </w:r>
          </w:p>
        </w:tc>
        <w:tc>
          <w:tcPr>
            <w:tcW w:w="2364"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应急救援保障</w:t>
            </w:r>
          </w:p>
        </w:tc>
        <w:tc>
          <w:tcPr>
            <w:tcW w:w="5757" w:type="dxa"/>
            <w:shd w:val="clear" w:color="auto" w:fill="auto"/>
            <w:vAlign w:val="center"/>
          </w:tcPr>
          <w:p>
            <w:pPr>
              <w:spacing w:line="240" w:lineRule="auto"/>
              <w:ind w:firstLine="0" w:firstLineChars="0"/>
              <w:jc w:val="both"/>
              <w:rPr>
                <w:rFonts w:cs="Times New Roman" w:eastAsiaTheme="minorEastAsia"/>
                <w:sz w:val="21"/>
                <w:szCs w:val="21"/>
              </w:rPr>
            </w:pPr>
            <w:r>
              <w:rPr>
                <w:rFonts w:cs="Times New Roman" w:eastAsiaTheme="minorEastAsia"/>
                <w:sz w:val="21"/>
                <w:szCs w:val="21"/>
              </w:rPr>
              <w:t>应急措施、设备与器材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5</w:t>
            </w:r>
          </w:p>
        </w:tc>
        <w:tc>
          <w:tcPr>
            <w:tcW w:w="2364"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报警、通讯联络方式</w:t>
            </w:r>
          </w:p>
        </w:tc>
        <w:tc>
          <w:tcPr>
            <w:tcW w:w="5757" w:type="dxa"/>
            <w:shd w:val="clear" w:color="auto" w:fill="auto"/>
            <w:vAlign w:val="center"/>
          </w:tcPr>
          <w:p>
            <w:pPr>
              <w:spacing w:line="240" w:lineRule="auto"/>
              <w:ind w:firstLine="0" w:firstLineChars="0"/>
              <w:jc w:val="both"/>
              <w:rPr>
                <w:rFonts w:cs="Times New Roman" w:eastAsiaTheme="minorEastAsia"/>
                <w:sz w:val="21"/>
                <w:szCs w:val="21"/>
              </w:rPr>
            </w:pPr>
            <w:r>
              <w:rPr>
                <w:rFonts w:cs="Times New Roman" w:eastAsiaTheme="minorEastAsia"/>
                <w:sz w:val="21"/>
                <w:szCs w:val="21"/>
              </w:rPr>
              <w:t>规定应急状态下的报警通讯方式、通知方式和交通保障、管制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6</w:t>
            </w:r>
          </w:p>
        </w:tc>
        <w:tc>
          <w:tcPr>
            <w:tcW w:w="2364"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应急环境监测、抢险、救援及控制措施</w:t>
            </w:r>
          </w:p>
        </w:tc>
        <w:tc>
          <w:tcPr>
            <w:tcW w:w="5757" w:type="dxa"/>
            <w:shd w:val="clear" w:color="auto" w:fill="auto"/>
            <w:vAlign w:val="center"/>
          </w:tcPr>
          <w:p>
            <w:pPr>
              <w:spacing w:line="240" w:lineRule="auto"/>
              <w:ind w:firstLine="0" w:firstLineChars="0"/>
              <w:jc w:val="both"/>
              <w:rPr>
                <w:rFonts w:cs="Times New Roman" w:eastAsiaTheme="minorEastAsia"/>
                <w:sz w:val="21"/>
                <w:szCs w:val="21"/>
              </w:rPr>
            </w:pPr>
            <w:r>
              <w:rPr>
                <w:rFonts w:cs="Times New Roman" w:eastAsiaTheme="minorEastAsia"/>
                <w:sz w:val="21"/>
                <w:szCs w:val="21"/>
              </w:rPr>
              <w:t>有专业队伍负责对事故现场进行侦察监测，对事故性质参数与后果进行评估，为指挥部门提供决策依据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7</w:t>
            </w:r>
          </w:p>
        </w:tc>
        <w:tc>
          <w:tcPr>
            <w:tcW w:w="2364"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应急坚持、防护做事、清除泄漏措施和器材</w:t>
            </w:r>
          </w:p>
        </w:tc>
        <w:tc>
          <w:tcPr>
            <w:tcW w:w="5757" w:type="dxa"/>
            <w:shd w:val="clear" w:color="auto" w:fill="auto"/>
            <w:vAlign w:val="center"/>
          </w:tcPr>
          <w:p>
            <w:pPr>
              <w:spacing w:line="240" w:lineRule="auto"/>
              <w:ind w:firstLine="0" w:firstLineChars="0"/>
              <w:jc w:val="both"/>
              <w:rPr>
                <w:rFonts w:cs="Times New Roman" w:eastAsiaTheme="minorEastAsia"/>
                <w:sz w:val="21"/>
                <w:szCs w:val="21"/>
              </w:rPr>
            </w:pPr>
            <w:r>
              <w:rPr>
                <w:rFonts w:cs="Times New Roman" w:eastAsiaTheme="minorEastAsia"/>
                <w:sz w:val="21"/>
                <w:szCs w:val="21"/>
              </w:rPr>
              <w:t>事故现场、临近区域、控制防火区域，控制和清除污染措施及相应设备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8</w:t>
            </w:r>
          </w:p>
        </w:tc>
        <w:tc>
          <w:tcPr>
            <w:tcW w:w="2364"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人员紧急撤离、疏散，应急剂量控制、撤离组织计划</w:t>
            </w:r>
          </w:p>
        </w:tc>
        <w:tc>
          <w:tcPr>
            <w:tcW w:w="5757" w:type="dxa"/>
            <w:shd w:val="clear" w:color="auto" w:fill="auto"/>
            <w:vAlign w:val="center"/>
          </w:tcPr>
          <w:p>
            <w:pPr>
              <w:spacing w:line="240" w:lineRule="auto"/>
              <w:ind w:firstLine="0" w:firstLineChars="0"/>
              <w:jc w:val="both"/>
              <w:rPr>
                <w:rFonts w:cs="Times New Roman" w:eastAsiaTheme="minorEastAsia"/>
                <w:sz w:val="21"/>
                <w:szCs w:val="21"/>
              </w:rPr>
            </w:pPr>
            <w:r>
              <w:rPr>
                <w:rFonts w:cs="Times New Roman" w:eastAsiaTheme="minorEastAsia"/>
                <w:sz w:val="21"/>
                <w:szCs w:val="21"/>
              </w:rPr>
              <w:t>事故现场、工厂临近区、受事故影响的区域人员及公众对毒物应急剂量的控制规定，撤离组织计划及救护，医疗救护与公众健康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9</w:t>
            </w:r>
          </w:p>
        </w:tc>
        <w:tc>
          <w:tcPr>
            <w:tcW w:w="2364"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事故应急救援关闭程序与恢复措施</w:t>
            </w:r>
          </w:p>
        </w:tc>
        <w:tc>
          <w:tcPr>
            <w:tcW w:w="5757" w:type="dxa"/>
            <w:shd w:val="clear" w:color="auto" w:fill="auto"/>
            <w:vAlign w:val="center"/>
          </w:tcPr>
          <w:p>
            <w:pPr>
              <w:spacing w:line="240" w:lineRule="auto"/>
              <w:ind w:firstLine="0" w:firstLineChars="0"/>
              <w:jc w:val="both"/>
              <w:rPr>
                <w:rFonts w:cs="Times New Roman" w:eastAsiaTheme="minorEastAsia"/>
                <w:sz w:val="21"/>
                <w:szCs w:val="21"/>
              </w:rPr>
            </w:pPr>
            <w:r>
              <w:rPr>
                <w:rFonts w:cs="Times New Roman" w:eastAsiaTheme="minorEastAsia"/>
                <w:sz w:val="21"/>
                <w:szCs w:val="21"/>
              </w:rPr>
              <w:t>规定应急状态终止程序；事故现场善后处理，恢复措施；</w:t>
            </w:r>
          </w:p>
          <w:p>
            <w:pPr>
              <w:spacing w:line="240" w:lineRule="auto"/>
              <w:ind w:firstLine="0" w:firstLineChars="0"/>
              <w:jc w:val="both"/>
              <w:rPr>
                <w:rFonts w:cs="Times New Roman" w:eastAsiaTheme="minorEastAsia"/>
                <w:sz w:val="21"/>
                <w:szCs w:val="21"/>
              </w:rPr>
            </w:pPr>
            <w:r>
              <w:rPr>
                <w:rFonts w:cs="Times New Roman" w:eastAsiaTheme="minorEastAsia"/>
                <w:sz w:val="21"/>
                <w:szCs w:val="21"/>
              </w:rPr>
              <w:t>临近区域解除事故警戒及善后恢复措施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10</w:t>
            </w:r>
          </w:p>
        </w:tc>
        <w:tc>
          <w:tcPr>
            <w:tcW w:w="2364"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应急培训计划应急</w:t>
            </w:r>
          </w:p>
        </w:tc>
        <w:tc>
          <w:tcPr>
            <w:tcW w:w="5757" w:type="dxa"/>
            <w:shd w:val="clear" w:color="auto" w:fill="auto"/>
            <w:vAlign w:val="center"/>
          </w:tcPr>
          <w:p>
            <w:pPr>
              <w:spacing w:line="240" w:lineRule="auto"/>
              <w:ind w:firstLine="0" w:firstLineChars="0"/>
              <w:jc w:val="both"/>
              <w:rPr>
                <w:rFonts w:cs="Times New Roman" w:eastAsiaTheme="minorEastAsia"/>
                <w:sz w:val="21"/>
                <w:szCs w:val="21"/>
              </w:rPr>
            </w:pPr>
            <w:r>
              <w:rPr>
                <w:rFonts w:cs="Times New Roman" w:eastAsiaTheme="minorEastAsia"/>
                <w:sz w:val="21"/>
                <w:szCs w:val="21"/>
              </w:rPr>
              <w:t>计划制定后，平时安排人员培训与演练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Ex>
        <w:trPr>
          <w:trHeight w:val="510" w:hRule="atLeast"/>
        </w:trPr>
        <w:tc>
          <w:tcPr>
            <w:tcW w:w="825"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11</w:t>
            </w:r>
          </w:p>
        </w:tc>
        <w:tc>
          <w:tcPr>
            <w:tcW w:w="2364" w:type="dxa"/>
            <w:shd w:val="clear" w:color="auto" w:fill="auto"/>
            <w:vAlign w:val="center"/>
          </w:tcPr>
          <w:p>
            <w:pPr>
              <w:spacing w:line="240" w:lineRule="auto"/>
              <w:ind w:firstLine="0" w:firstLineChars="0"/>
              <w:rPr>
                <w:rFonts w:cs="Times New Roman" w:eastAsiaTheme="minorEastAsia"/>
                <w:sz w:val="21"/>
                <w:szCs w:val="21"/>
              </w:rPr>
            </w:pPr>
            <w:r>
              <w:rPr>
                <w:rFonts w:cs="Times New Roman" w:eastAsiaTheme="minorEastAsia"/>
                <w:sz w:val="21"/>
                <w:szCs w:val="21"/>
              </w:rPr>
              <w:t>公众教育和信息</w:t>
            </w:r>
          </w:p>
        </w:tc>
        <w:tc>
          <w:tcPr>
            <w:tcW w:w="5757" w:type="dxa"/>
            <w:shd w:val="clear" w:color="auto" w:fill="auto"/>
            <w:vAlign w:val="center"/>
          </w:tcPr>
          <w:p>
            <w:pPr>
              <w:spacing w:line="240" w:lineRule="auto"/>
              <w:ind w:firstLine="0" w:firstLineChars="0"/>
              <w:jc w:val="both"/>
              <w:rPr>
                <w:rFonts w:cs="Times New Roman" w:eastAsiaTheme="minorEastAsia"/>
                <w:sz w:val="21"/>
                <w:szCs w:val="21"/>
              </w:rPr>
            </w:pPr>
            <w:r>
              <w:rPr>
                <w:rFonts w:cs="Times New Roman" w:eastAsiaTheme="minorEastAsia"/>
                <w:sz w:val="21"/>
                <w:szCs w:val="21"/>
              </w:rPr>
              <w:t>对工厂周边地区开展公众教育、培训和发布有关信息</w:t>
            </w:r>
          </w:p>
        </w:tc>
      </w:tr>
    </w:tbl>
    <w:p>
      <w:pPr>
        <w:pStyle w:val="5"/>
      </w:pPr>
      <w:r>
        <w:rPr>
          <w:rFonts w:hint="eastAsia"/>
        </w:rPr>
        <w:t>措施可行性分析</w:t>
      </w:r>
    </w:p>
    <w:p>
      <w:pPr>
        <w:ind w:firstLine="480"/>
      </w:pPr>
      <w:r>
        <w:rPr>
          <w:rFonts w:hint="eastAsia"/>
        </w:rPr>
        <w:t>报告中提出的各项风险防范措施和应急措施均具有可操作性、切合实际，能有效防范风险事故并在事故发生后能及时控制事态，消除影响，风险防范应急措施具有合理有效性。在严格采取上述各项风险防范应急措施的情况下，环境风险可得到控制，风险影响程度可接受。</w:t>
      </w:r>
    </w:p>
    <w:p>
      <w:pPr>
        <w:ind w:firstLine="480"/>
      </w:pPr>
      <w:r>
        <w:rPr>
          <w:rFonts w:hint="eastAsia"/>
        </w:rPr>
        <w:t>环境风险防范应急措施总投资</w:t>
      </w:r>
      <w:r>
        <w:t>2</w:t>
      </w:r>
      <w:r>
        <w:rPr>
          <w:rFonts w:hint="eastAsia"/>
        </w:rPr>
        <w:t>万元，该费用占项目总投资费用（</w:t>
      </w:r>
      <w:r>
        <w:t>2</w:t>
      </w:r>
      <w:r>
        <w:rPr>
          <w:rFonts w:hint="eastAsia"/>
        </w:rPr>
        <w:t>00万元）的</w:t>
      </w:r>
      <w:r>
        <w:t>1</w:t>
      </w:r>
      <w:r>
        <w:rPr>
          <w:rFonts w:hint="eastAsia"/>
        </w:rPr>
        <w:t>%；无需专人值守，仅设1名员工兼职进行日常维护及设备检修等工作即可，节省了人力消耗；在企业承受范围内。因此，从一次性投资和运行维护的人力、物力、资金等方面分析，结合建设单位经济实力，本项目采取的环境风险防范应急措施具有经济可行性。</w:t>
      </w:r>
    </w:p>
    <w:p>
      <w:pPr>
        <w:ind w:firstLine="480"/>
      </w:pPr>
      <w:r>
        <w:rPr>
          <w:rFonts w:hint="eastAsia"/>
        </w:rPr>
        <w:t>因此，本评价认为建设项目采取的环境风险防范应急措施在技术、经济上是可行的。</w:t>
      </w:r>
    </w:p>
    <w:p>
      <w:pPr>
        <w:pStyle w:val="4"/>
      </w:pPr>
      <w:bookmarkStart w:id="640" w:name="_Ref529825391"/>
      <w:bookmarkStart w:id="641" w:name="_Toc3538812"/>
      <w:r>
        <w:rPr>
          <w:rFonts w:hint="eastAsia"/>
        </w:rPr>
        <w:t>环境保护设施投资估算</w:t>
      </w:r>
      <w:bookmarkEnd w:id="640"/>
      <w:bookmarkEnd w:id="641"/>
    </w:p>
    <w:p>
      <w:pPr>
        <w:ind w:firstLine="480"/>
      </w:pPr>
      <w:r>
        <w:rPr>
          <w:rFonts w:hint="eastAsia"/>
        </w:rPr>
        <w:t>《建设项目环境保护设计规定》第六十三条指出：“凡属于污染治理和保护环境所需的装置、设备、监测手段和工程设施等均属于环境保护设施”、“凡有环境保护设施的建设项目均应列出环境保护设施的投资概算”。根据本评价提出的环保措施，本项目的环保投资情况见</w:t>
      </w:r>
      <w:r>
        <w:fldChar w:fldCharType="begin"/>
      </w:r>
      <w:r>
        <w:instrText xml:space="preserve"> </w:instrText>
      </w:r>
      <w:r>
        <w:rPr>
          <w:rFonts w:hint="eastAsia"/>
        </w:rPr>
        <w:instrText xml:space="preserve">REF _Ref529287955 \h</w:instrText>
      </w:r>
      <w:r>
        <w:instrText xml:space="preserve">  \* MERGEFORMAT </w:instrText>
      </w:r>
      <w:r>
        <w:fldChar w:fldCharType="separate"/>
      </w:r>
      <w:r>
        <w:rPr>
          <w:rFonts w:hint="eastAsia"/>
        </w:rPr>
        <w:t xml:space="preserve">表 </w:t>
      </w:r>
      <w:r>
        <w:t>5.7</w:t>
      </w:r>
      <w:r>
        <w:noBreakHyphen/>
      </w:r>
      <w:r>
        <w:t>1</w:t>
      </w:r>
      <w:r>
        <w:fldChar w:fldCharType="end"/>
      </w:r>
      <w:r>
        <w:rPr>
          <w:rFonts w:hint="eastAsia"/>
        </w:rPr>
        <w:t>。</w:t>
      </w:r>
    </w:p>
    <w:p>
      <w:pPr>
        <w:pStyle w:val="18"/>
      </w:pPr>
      <w:bookmarkStart w:id="642" w:name="_Ref529287955"/>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5.7</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bookmarkEnd w:id="642"/>
      <w:r>
        <w:t xml:space="preserve"> </w:t>
      </w:r>
      <w:r>
        <w:rPr>
          <w:rFonts w:hint="eastAsia"/>
        </w:rPr>
        <w:t>本项目主要环境保护投资估算</w:t>
      </w:r>
    </w:p>
    <w:tbl>
      <w:tblPr>
        <w:tblStyle w:val="56"/>
        <w:tblW w:w="9050" w:type="dxa"/>
        <w:tblInd w:w="0" w:type="dxa"/>
        <w:tblLayout w:type="fixed"/>
        <w:tblCellMar>
          <w:top w:w="0" w:type="dxa"/>
          <w:left w:w="108" w:type="dxa"/>
          <w:bottom w:w="0" w:type="dxa"/>
          <w:right w:w="108" w:type="dxa"/>
        </w:tblCellMar>
      </w:tblPr>
      <w:tblGrid>
        <w:gridCol w:w="638"/>
        <w:gridCol w:w="770"/>
        <w:gridCol w:w="3685"/>
        <w:gridCol w:w="1560"/>
        <w:gridCol w:w="2397"/>
      </w:tblGrid>
      <w:tr>
        <w:tblPrEx>
          <w:tblLayout w:type="fixed"/>
          <w:tblCellMar>
            <w:top w:w="0" w:type="dxa"/>
            <w:left w:w="108" w:type="dxa"/>
            <w:bottom w:w="0" w:type="dxa"/>
            <w:right w:w="108" w:type="dxa"/>
          </w:tblCellMar>
        </w:tblPrEx>
        <w:trPr>
          <w:trHeight w:val="285" w:hRule="atLeast"/>
          <w:tblHeader/>
        </w:trPr>
        <w:tc>
          <w:tcPr>
            <w:tcW w:w="638" w:type="dxa"/>
            <w:tcBorders>
              <w:top w:val="single" w:color="auto" w:sz="8" w:space="0"/>
              <w:left w:val="single" w:color="auto" w:sz="8" w:space="0"/>
              <w:bottom w:val="single" w:color="auto" w:sz="4" w:space="0"/>
              <w:right w:val="single" w:color="auto" w:sz="4" w:space="0"/>
            </w:tcBorders>
            <w:shd w:val="clear" w:color="auto" w:fill="D8D8D8" w:themeFill="background1" w:themeFillShade="D9"/>
            <w:vAlign w:val="center"/>
          </w:tcPr>
          <w:p>
            <w:pPr>
              <w:pStyle w:val="107"/>
              <w:snapToGrid w:val="0"/>
              <w:rPr>
                <w:b/>
              </w:rPr>
            </w:pPr>
            <w:r>
              <w:rPr>
                <w:rFonts w:hint="eastAsia"/>
                <w:b/>
              </w:rPr>
              <w:t>序号</w:t>
            </w:r>
          </w:p>
        </w:tc>
        <w:tc>
          <w:tcPr>
            <w:tcW w:w="4455" w:type="dxa"/>
            <w:gridSpan w:val="2"/>
            <w:tcBorders>
              <w:top w:val="single" w:color="auto" w:sz="8" w:space="0"/>
              <w:left w:val="nil"/>
              <w:bottom w:val="single" w:color="auto" w:sz="4" w:space="0"/>
              <w:right w:val="single" w:color="auto" w:sz="4" w:space="0"/>
            </w:tcBorders>
            <w:shd w:val="clear" w:color="auto" w:fill="D8D8D8" w:themeFill="background1" w:themeFillShade="D9"/>
            <w:vAlign w:val="center"/>
          </w:tcPr>
          <w:p>
            <w:pPr>
              <w:pStyle w:val="107"/>
              <w:snapToGrid w:val="0"/>
              <w:rPr>
                <w:b/>
              </w:rPr>
            </w:pPr>
            <w:r>
              <w:rPr>
                <w:rFonts w:hint="eastAsia"/>
                <w:b/>
              </w:rPr>
              <w:t>项目</w:t>
            </w:r>
          </w:p>
        </w:tc>
        <w:tc>
          <w:tcPr>
            <w:tcW w:w="1560" w:type="dxa"/>
            <w:tcBorders>
              <w:top w:val="single" w:color="auto" w:sz="8" w:space="0"/>
              <w:left w:val="nil"/>
              <w:bottom w:val="single" w:color="auto" w:sz="4" w:space="0"/>
              <w:right w:val="single" w:color="auto" w:sz="4" w:space="0"/>
            </w:tcBorders>
            <w:shd w:val="clear" w:color="auto" w:fill="D8D8D8" w:themeFill="background1" w:themeFillShade="D9"/>
            <w:vAlign w:val="center"/>
          </w:tcPr>
          <w:p>
            <w:pPr>
              <w:pStyle w:val="107"/>
              <w:snapToGrid w:val="0"/>
              <w:rPr>
                <w:b/>
              </w:rPr>
            </w:pPr>
            <w:r>
              <w:rPr>
                <w:rFonts w:hint="eastAsia"/>
                <w:b/>
              </w:rPr>
              <w:t>投资（万元）</w:t>
            </w:r>
          </w:p>
        </w:tc>
        <w:tc>
          <w:tcPr>
            <w:tcW w:w="2397" w:type="dxa"/>
            <w:tcBorders>
              <w:top w:val="single" w:color="auto" w:sz="8" w:space="0"/>
              <w:left w:val="nil"/>
              <w:bottom w:val="single" w:color="auto" w:sz="4" w:space="0"/>
              <w:right w:val="single" w:color="auto" w:sz="8" w:space="0"/>
            </w:tcBorders>
            <w:shd w:val="clear" w:color="auto" w:fill="D8D8D8" w:themeFill="background1" w:themeFillShade="D9"/>
            <w:vAlign w:val="bottom"/>
          </w:tcPr>
          <w:p>
            <w:pPr>
              <w:pStyle w:val="107"/>
              <w:snapToGrid w:val="0"/>
              <w:rPr>
                <w:b/>
              </w:rPr>
            </w:pPr>
            <w:r>
              <w:rPr>
                <w:rFonts w:hint="eastAsia"/>
                <w:b/>
              </w:rPr>
              <w:t>备注（投资具体项目）</w:t>
            </w:r>
          </w:p>
        </w:tc>
      </w:tr>
      <w:tr>
        <w:tblPrEx>
          <w:tblLayout w:type="fixed"/>
          <w:tblCellMar>
            <w:top w:w="0" w:type="dxa"/>
            <w:left w:w="108" w:type="dxa"/>
            <w:bottom w:w="0" w:type="dxa"/>
            <w:right w:w="108" w:type="dxa"/>
          </w:tblCellMar>
        </w:tblPrEx>
        <w:trPr>
          <w:trHeight w:val="285" w:hRule="atLeast"/>
        </w:trPr>
        <w:tc>
          <w:tcPr>
            <w:tcW w:w="638" w:type="dxa"/>
            <w:tcBorders>
              <w:top w:val="nil"/>
              <w:left w:val="single" w:color="auto" w:sz="8" w:space="0"/>
              <w:bottom w:val="single" w:color="auto" w:sz="4" w:space="0"/>
              <w:right w:val="single" w:color="auto" w:sz="4" w:space="0"/>
            </w:tcBorders>
            <w:shd w:val="clear" w:color="auto" w:fill="auto"/>
            <w:vAlign w:val="center"/>
          </w:tcPr>
          <w:p>
            <w:pPr>
              <w:pStyle w:val="107"/>
              <w:numPr>
                <w:ilvl w:val="0"/>
                <w:numId w:val="67"/>
              </w:numPr>
              <w:snapToGrid w:val="0"/>
            </w:pPr>
          </w:p>
        </w:tc>
        <w:tc>
          <w:tcPr>
            <w:tcW w:w="770"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废水</w:t>
            </w:r>
          </w:p>
        </w:tc>
        <w:tc>
          <w:tcPr>
            <w:tcW w:w="3685" w:type="dxa"/>
            <w:tcBorders>
              <w:top w:val="nil"/>
              <w:left w:val="nil"/>
              <w:bottom w:val="single" w:color="auto" w:sz="4" w:space="0"/>
              <w:right w:val="single" w:color="auto" w:sz="4" w:space="0"/>
            </w:tcBorders>
            <w:shd w:val="clear" w:color="auto" w:fill="auto"/>
            <w:vAlign w:val="center"/>
          </w:tcPr>
          <w:p>
            <w:pPr>
              <w:pStyle w:val="107"/>
              <w:snapToGrid w:val="0"/>
              <w:rPr>
                <w:highlight w:val="yellow"/>
              </w:rPr>
            </w:pPr>
            <w:r>
              <w:rPr>
                <w:rFonts w:hint="eastAsia"/>
              </w:rPr>
              <w:t>化粪池（1</w:t>
            </w:r>
            <w:r>
              <w:t>0m</w:t>
            </w:r>
            <w:r>
              <w:rPr>
                <w:vertAlign w:val="superscript"/>
              </w:rPr>
              <w:t>3</w:t>
            </w:r>
            <w:r>
              <w:rPr>
                <w:rFonts w:hint="eastAsia"/>
              </w:rPr>
              <w:t>）</w:t>
            </w:r>
          </w:p>
        </w:tc>
        <w:tc>
          <w:tcPr>
            <w:tcW w:w="1560" w:type="dxa"/>
            <w:tcBorders>
              <w:top w:val="nil"/>
              <w:left w:val="nil"/>
              <w:bottom w:val="single" w:color="auto" w:sz="4" w:space="0"/>
              <w:right w:val="single" w:color="auto" w:sz="4" w:space="0"/>
            </w:tcBorders>
            <w:shd w:val="clear" w:color="auto" w:fill="auto"/>
            <w:vAlign w:val="center"/>
          </w:tcPr>
          <w:p>
            <w:pPr>
              <w:pStyle w:val="107"/>
              <w:snapToGrid w:val="0"/>
              <w:rPr>
                <w:highlight w:val="yellow"/>
              </w:rPr>
            </w:pPr>
            <w:r>
              <w:t>1</w:t>
            </w:r>
            <w:r>
              <w:rPr>
                <w:rFonts w:hint="eastAsia"/>
              </w:rPr>
              <w:t>万元</w:t>
            </w:r>
          </w:p>
        </w:tc>
        <w:tc>
          <w:tcPr>
            <w:tcW w:w="2397" w:type="dxa"/>
            <w:tcBorders>
              <w:top w:val="nil"/>
              <w:left w:val="nil"/>
              <w:bottom w:val="single" w:color="auto" w:sz="4" w:space="0"/>
              <w:right w:val="single" w:color="auto" w:sz="8" w:space="0"/>
            </w:tcBorders>
            <w:shd w:val="clear" w:color="auto" w:fill="auto"/>
            <w:vAlign w:val="center"/>
          </w:tcPr>
          <w:p>
            <w:pPr>
              <w:pStyle w:val="107"/>
              <w:snapToGrid w:val="0"/>
            </w:pPr>
            <w:r>
              <w:rPr>
                <w:rFonts w:hint="eastAsia"/>
              </w:rPr>
              <w:t>处理生活污水</w:t>
            </w:r>
          </w:p>
        </w:tc>
      </w:tr>
      <w:tr>
        <w:tblPrEx>
          <w:tblLayout w:type="fixed"/>
          <w:tblCellMar>
            <w:top w:w="0" w:type="dxa"/>
            <w:left w:w="108" w:type="dxa"/>
            <w:bottom w:w="0" w:type="dxa"/>
            <w:right w:w="108" w:type="dxa"/>
          </w:tblCellMar>
        </w:tblPrEx>
        <w:trPr>
          <w:trHeight w:val="285" w:hRule="atLeast"/>
        </w:trPr>
        <w:tc>
          <w:tcPr>
            <w:tcW w:w="638" w:type="dxa"/>
            <w:tcBorders>
              <w:top w:val="nil"/>
              <w:left w:val="single" w:color="auto" w:sz="8" w:space="0"/>
              <w:bottom w:val="single" w:color="auto" w:sz="4" w:space="0"/>
              <w:right w:val="single" w:color="auto" w:sz="4" w:space="0"/>
            </w:tcBorders>
            <w:shd w:val="clear" w:color="auto" w:fill="auto"/>
            <w:vAlign w:val="center"/>
          </w:tcPr>
          <w:p>
            <w:pPr>
              <w:pStyle w:val="107"/>
              <w:numPr>
                <w:ilvl w:val="0"/>
                <w:numId w:val="67"/>
              </w:numPr>
              <w:snapToGrid w:val="0"/>
            </w:pPr>
          </w:p>
        </w:tc>
        <w:tc>
          <w:tcPr>
            <w:tcW w:w="770" w:type="dxa"/>
            <w:vMerge w:val="restart"/>
            <w:tcBorders>
              <w:top w:val="nil"/>
              <w:left w:val="single" w:color="auto" w:sz="4" w:space="0"/>
              <w:bottom w:val="single" w:color="auto" w:sz="4" w:space="0"/>
              <w:right w:val="single" w:color="auto" w:sz="4" w:space="0"/>
            </w:tcBorders>
            <w:shd w:val="clear" w:color="auto" w:fill="auto"/>
            <w:vAlign w:val="center"/>
          </w:tcPr>
          <w:p>
            <w:pPr>
              <w:pStyle w:val="107"/>
              <w:snapToGrid w:val="0"/>
            </w:pPr>
            <w:r>
              <w:rPr>
                <w:rFonts w:hint="eastAsia"/>
              </w:rPr>
              <w:t>废气</w:t>
            </w:r>
          </w:p>
        </w:tc>
        <w:tc>
          <w:tcPr>
            <w:tcW w:w="3685"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布袋除尘装置1套、配套相关收集系统</w:t>
            </w:r>
          </w:p>
        </w:tc>
        <w:tc>
          <w:tcPr>
            <w:tcW w:w="1560"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3万元</w:t>
            </w:r>
          </w:p>
        </w:tc>
        <w:tc>
          <w:tcPr>
            <w:tcW w:w="2397" w:type="dxa"/>
            <w:tcBorders>
              <w:top w:val="nil"/>
              <w:left w:val="nil"/>
              <w:bottom w:val="single" w:color="auto" w:sz="4" w:space="0"/>
              <w:right w:val="single" w:color="auto" w:sz="8" w:space="0"/>
            </w:tcBorders>
            <w:shd w:val="clear" w:color="auto" w:fill="auto"/>
            <w:vAlign w:val="center"/>
          </w:tcPr>
          <w:p>
            <w:pPr>
              <w:pStyle w:val="107"/>
              <w:snapToGrid w:val="0"/>
            </w:pPr>
            <w:r>
              <w:rPr>
                <w:rFonts w:hint="eastAsia"/>
              </w:rPr>
              <w:t>处理配料、投料及密炼产生的粉尘</w:t>
            </w:r>
          </w:p>
        </w:tc>
      </w:tr>
      <w:tr>
        <w:tblPrEx>
          <w:tblLayout w:type="fixed"/>
          <w:tblCellMar>
            <w:top w:w="0" w:type="dxa"/>
            <w:left w:w="108" w:type="dxa"/>
            <w:bottom w:w="0" w:type="dxa"/>
            <w:right w:w="108" w:type="dxa"/>
          </w:tblCellMar>
        </w:tblPrEx>
        <w:trPr>
          <w:trHeight w:val="285" w:hRule="atLeast"/>
        </w:trPr>
        <w:tc>
          <w:tcPr>
            <w:tcW w:w="638" w:type="dxa"/>
            <w:tcBorders>
              <w:top w:val="nil"/>
              <w:left w:val="single" w:color="auto" w:sz="8" w:space="0"/>
              <w:bottom w:val="single" w:color="auto" w:sz="4" w:space="0"/>
              <w:right w:val="single" w:color="auto" w:sz="4" w:space="0"/>
            </w:tcBorders>
            <w:shd w:val="clear" w:color="auto" w:fill="auto"/>
            <w:vAlign w:val="center"/>
          </w:tcPr>
          <w:p>
            <w:pPr>
              <w:pStyle w:val="107"/>
              <w:numPr>
                <w:ilvl w:val="0"/>
                <w:numId w:val="67"/>
              </w:numPr>
              <w:snapToGrid w:val="0"/>
            </w:pPr>
          </w:p>
        </w:tc>
        <w:tc>
          <w:tcPr>
            <w:tcW w:w="770" w:type="dxa"/>
            <w:vMerge w:val="continue"/>
            <w:tcBorders>
              <w:top w:val="nil"/>
              <w:left w:val="single" w:color="auto" w:sz="4" w:space="0"/>
              <w:bottom w:val="single" w:color="auto" w:sz="4" w:space="0"/>
              <w:right w:val="single" w:color="auto" w:sz="4" w:space="0"/>
            </w:tcBorders>
            <w:vAlign w:val="center"/>
          </w:tcPr>
          <w:p>
            <w:pPr>
              <w:pStyle w:val="107"/>
              <w:snapToGrid w:val="0"/>
            </w:pPr>
          </w:p>
        </w:tc>
        <w:tc>
          <w:tcPr>
            <w:tcW w:w="3685"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“喷淋塔+UV光解+活性炭吸附”装置1套、配套相关收集系统</w:t>
            </w:r>
          </w:p>
        </w:tc>
        <w:tc>
          <w:tcPr>
            <w:tcW w:w="1560" w:type="dxa"/>
            <w:tcBorders>
              <w:top w:val="nil"/>
              <w:left w:val="nil"/>
              <w:bottom w:val="single" w:color="auto" w:sz="4" w:space="0"/>
              <w:right w:val="single" w:color="auto" w:sz="4" w:space="0"/>
            </w:tcBorders>
            <w:shd w:val="clear" w:color="auto" w:fill="auto"/>
            <w:vAlign w:val="center"/>
          </w:tcPr>
          <w:p>
            <w:pPr>
              <w:pStyle w:val="107"/>
              <w:snapToGrid w:val="0"/>
            </w:pPr>
            <w:r>
              <w:t>16</w:t>
            </w:r>
            <w:r>
              <w:rPr>
                <w:rFonts w:hint="eastAsia"/>
              </w:rPr>
              <w:t>万元</w:t>
            </w:r>
          </w:p>
        </w:tc>
        <w:tc>
          <w:tcPr>
            <w:tcW w:w="2397" w:type="dxa"/>
            <w:tcBorders>
              <w:top w:val="nil"/>
              <w:left w:val="nil"/>
              <w:bottom w:val="single" w:color="auto" w:sz="4" w:space="0"/>
              <w:right w:val="single" w:color="auto" w:sz="8" w:space="0"/>
            </w:tcBorders>
            <w:shd w:val="clear" w:color="auto" w:fill="auto"/>
            <w:vAlign w:val="center"/>
          </w:tcPr>
          <w:p>
            <w:pPr>
              <w:pStyle w:val="107"/>
              <w:snapToGrid w:val="0"/>
            </w:pPr>
            <w:r>
              <w:rPr>
                <w:rFonts w:hint="eastAsia"/>
              </w:rPr>
              <w:t>处理密炼、开炼、硫化废气</w:t>
            </w:r>
          </w:p>
        </w:tc>
      </w:tr>
      <w:tr>
        <w:tblPrEx>
          <w:tblLayout w:type="fixed"/>
          <w:tblCellMar>
            <w:top w:w="0" w:type="dxa"/>
            <w:left w:w="108" w:type="dxa"/>
            <w:bottom w:w="0" w:type="dxa"/>
            <w:right w:w="108" w:type="dxa"/>
          </w:tblCellMar>
        </w:tblPrEx>
        <w:trPr>
          <w:trHeight w:val="570" w:hRule="atLeast"/>
        </w:trPr>
        <w:tc>
          <w:tcPr>
            <w:tcW w:w="638" w:type="dxa"/>
            <w:tcBorders>
              <w:top w:val="nil"/>
              <w:left w:val="single" w:color="auto" w:sz="8" w:space="0"/>
              <w:bottom w:val="single" w:color="auto" w:sz="4" w:space="0"/>
              <w:right w:val="single" w:color="auto" w:sz="4" w:space="0"/>
            </w:tcBorders>
            <w:shd w:val="clear" w:color="auto" w:fill="auto"/>
            <w:vAlign w:val="center"/>
          </w:tcPr>
          <w:p>
            <w:pPr>
              <w:pStyle w:val="107"/>
              <w:numPr>
                <w:ilvl w:val="0"/>
                <w:numId w:val="67"/>
              </w:numPr>
              <w:snapToGrid w:val="0"/>
            </w:pPr>
          </w:p>
        </w:tc>
        <w:tc>
          <w:tcPr>
            <w:tcW w:w="770" w:type="dxa"/>
            <w:vMerge w:val="continue"/>
            <w:tcBorders>
              <w:top w:val="nil"/>
              <w:left w:val="single" w:color="auto" w:sz="4" w:space="0"/>
              <w:bottom w:val="single" w:color="auto" w:sz="4" w:space="0"/>
              <w:right w:val="single" w:color="auto" w:sz="4" w:space="0"/>
            </w:tcBorders>
            <w:vAlign w:val="center"/>
          </w:tcPr>
          <w:p>
            <w:pPr>
              <w:pStyle w:val="107"/>
              <w:snapToGrid w:val="0"/>
            </w:pPr>
          </w:p>
        </w:tc>
        <w:tc>
          <w:tcPr>
            <w:tcW w:w="3685"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抛丸机自带除尘器处理后引风机引至1</w:t>
            </w:r>
            <w:r>
              <w:t>5m</w:t>
            </w:r>
            <w:r>
              <w:rPr>
                <w:rFonts w:hint="eastAsia"/>
              </w:rPr>
              <w:t>排气筒排放</w:t>
            </w:r>
          </w:p>
        </w:tc>
        <w:tc>
          <w:tcPr>
            <w:tcW w:w="1560"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1万元</w:t>
            </w:r>
          </w:p>
        </w:tc>
        <w:tc>
          <w:tcPr>
            <w:tcW w:w="2397" w:type="dxa"/>
            <w:tcBorders>
              <w:top w:val="nil"/>
              <w:left w:val="nil"/>
              <w:bottom w:val="single" w:color="auto" w:sz="4" w:space="0"/>
              <w:right w:val="single" w:color="auto" w:sz="8" w:space="0"/>
            </w:tcBorders>
            <w:shd w:val="clear" w:color="auto" w:fill="auto"/>
            <w:vAlign w:val="center"/>
          </w:tcPr>
          <w:p>
            <w:pPr>
              <w:pStyle w:val="107"/>
              <w:snapToGrid w:val="0"/>
            </w:pPr>
            <w:r>
              <w:rPr>
                <w:rFonts w:hint="eastAsia"/>
              </w:rPr>
              <w:t>抛丸废气</w:t>
            </w:r>
          </w:p>
        </w:tc>
      </w:tr>
      <w:tr>
        <w:tblPrEx>
          <w:tblLayout w:type="fixed"/>
          <w:tblCellMar>
            <w:top w:w="0" w:type="dxa"/>
            <w:left w:w="108" w:type="dxa"/>
            <w:bottom w:w="0" w:type="dxa"/>
            <w:right w:w="108" w:type="dxa"/>
          </w:tblCellMar>
        </w:tblPrEx>
        <w:trPr>
          <w:trHeight w:val="570" w:hRule="atLeast"/>
        </w:trPr>
        <w:tc>
          <w:tcPr>
            <w:tcW w:w="638" w:type="dxa"/>
            <w:tcBorders>
              <w:top w:val="nil"/>
              <w:left w:val="single" w:color="auto" w:sz="8" w:space="0"/>
              <w:bottom w:val="single" w:color="auto" w:sz="4" w:space="0"/>
              <w:right w:val="single" w:color="auto" w:sz="4" w:space="0"/>
            </w:tcBorders>
            <w:shd w:val="clear" w:color="auto" w:fill="auto"/>
            <w:vAlign w:val="center"/>
          </w:tcPr>
          <w:p>
            <w:pPr>
              <w:pStyle w:val="107"/>
              <w:numPr>
                <w:ilvl w:val="0"/>
                <w:numId w:val="67"/>
              </w:numPr>
              <w:snapToGrid w:val="0"/>
            </w:pPr>
          </w:p>
        </w:tc>
        <w:tc>
          <w:tcPr>
            <w:tcW w:w="770"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噪声</w:t>
            </w:r>
          </w:p>
        </w:tc>
        <w:tc>
          <w:tcPr>
            <w:tcW w:w="3685"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各隔声降噪减振措施</w:t>
            </w:r>
          </w:p>
        </w:tc>
        <w:tc>
          <w:tcPr>
            <w:tcW w:w="1560"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2万元</w:t>
            </w:r>
          </w:p>
        </w:tc>
        <w:tc>
          <w:tcPr>
            <w:tcW w:w="2397" w:type="dxa"/>
            <w:tcBorders>
              <w:top w:val="nil"/>
              <w:left w:val="nil"/>
              <w:bottom w:val="single" w:color="auto" w:sz="4" w:space="0"/>
              <w:right w:val="single" w:color="auto" w:sz="8" w:space="0"/>
            </w:tcBorders>
            <w:shd w:val="clear" w:color="auto" w:fill="auto"/>
            <w:vAlign w:val="center"/>
          </w:tcPr>
          <w:p>
            <w:pPr>
              <w:pStyle w:val="107"/>
              <w:snapToGrid w:val="0"/>
            </w:pPr>
            <w:r>
              <w:rPr>
                <w:rFonts w:hint="eastAsia"/>
              </w:rPr>
              <w:t>隔离工程、设备改进、安装消声器等</w:t>
            </w:r>
          </w:p>
        </w:tc>
      </w:tr>
      <w:tr>
        <w:tblPrEx>
          <w:tblLayout w:type="fixed"/>
          <w:tblCellMar>
            <w:top w:w="0" w:type="dxa"/>
            <w:left w:w="108" w:type="dxa"/>
            <w:bottom w:w="0" w:type="dxa"/>
            <w:right w:w="108" w:type="dxa"/>
          </w:tblCellMar>
        </w:tblPrEx>
        <w:trPr>
          <w:trHeight w:val="570" w:hRule="atLeast"/>
        </w:trPr>
        <w:tc>
          <w:tcPr>
            <w:tcW w:w="638" w:type="dxa"/>
            <w:tcBorders>
              <w:top w:val="nil"/>
              <w:left w:val="single" w:color="auto" w:sz="8" w:space="0"/>
              <w:bottom w:val="single" w:color="auto" w:sz="4" w:space="0"/>
              <w:right w:val="single" w:color="auto" w:sz="4" w:space="0"/>
            </w:tcBorders>
            <w:shd w:val="clear" w:color="auto" w:fill="auto"/>
            <w:vAlign w:val="center"/>
          </w:tcPr>
          <w:p>
            <w:pPr>
              <w:pStyle w:val="107"/>
              <w:numPr>
                <w:ilvl w:val="0"/>
                <w:numId w:val="67"/>
              </w:numPr>
              <w:snapToGrid w:val="0"/>
            </w:pPr>
          </w:p>
        </w:tc>
        <w:tc>
          <w:tcPr>
            <w:tcW w:w="770"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固体废物</w:t>
            </w:r>
          </w:p>
        </w:tc>
        <w:tc>
          <w:tcPr>
            <w:tcW w:w="3685"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暂存场所</w:t>
            </w:r>
          </w:p>
        </w:tc>
        <w:tc>
          <w:tcPr>
            <w:tcW w:w="1560"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1万元</w:t>
            </w:r>
          </w:p>
        </w:tc>
        <w:tc>
          <w:tcPr>
            <w:tcW w:w="2397" w:type="dxa"/>
            <w:tcBorders>
              <w:top w:val="nil"/>
              <w:left w:val="nil"/>
              <w:bottom w:val="single" w:color="auto" w:sz="4" w:space="0"/>
              <w:right w:val="single" w:color="auto" w:sz="8" w:space="0"/>
            </w:tcBorders>
            <w:shd w:val="clear" w:color="auto" w:fill="auto"/>
            <w:vAlign w:val="center"/>
          </w:tcPr>
          <w:p>
            <w:pPr>
              <w:pStyle w:val="107"/>
              <w:snapToGrid w:val="0"/>
            </w:pPr>
            <w:r>
              <w:rPr>
                <w:rFonts w:hint="eastAsia"/>
              </w:rPr>
              <w:t>防渗漏措施、委托外运处理费用</w:t>
            </w:r>
          </w:p>
        </w:tc>
      </w:tr>
      <w:tr>
        <w:tblPrEx>
          <w:tblLayout w:type="fixed"/>
          <w:tblCellMar>
            <w:top w:w="0" w:type="dxa"/>
            <w:left w:w="108" w:type="dxa"/>
            <w:bottom w:w="0" w:type="dxa"/>
            <w:right w:w="108" w:type="dxa"/>
          </w:tblCellMar>
        </w:tblPrEx>
        <w:trPr>
          <w:trHeight w:val="285" w:hRule="atLeast"/>
        </w:trPr>
        <w:tc>
          <w:tcPr>
            <w:tcW w:w="638" w:type="dxa"/>
            <w:tcBorders>
              <w:top w:val="nil"/>
              <w:left w:val="single" w:color="auto" w:sz="8" w:space="0"/>
              <w:bottom w:val="single" w:color="auto" w:sz="4" w:space="0"/>
              <w:right w:val="single" w:color="auto" w:sz="4" w:space="0"/>
            </w:tcBorders>
            <w:shd w:val="clear" w:color="auto" w:fill="auto"/>
            <w:vAlign w:val="center"/>
          </w:tcPr>
          <w:p>
            <w:pPr>
              <w:pStyle w:val="107"/>
              <w:numPr>
                <w:ilvl w:val="0"/>
                <w:numId w:val="67"/>
              </w:numPr>
              <w:snapToGrid w:val="0"/>
            </w:pPr>
          </w:p>
        </w:tc>
        <w:tc>
          <w:tcPr>
            <w:tcW w:w="770"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地下水</w:t>
            </w:r>
          </w:p>
        </w:tc>
        <w:tc>
          <w:tcPr>
            <w:tcW w:w="3685"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分区防渗、污染监控、应急响应预案</w:t>
            </w:r>
          </w:p>
        </w:tc>
        <w:tc>
          <w:tcPr>
            <w:tcW w:w="1560"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3万元</w:t>
            </w:r>
          </w:p>
        </w:tc>
        <w:tc>
          <w:tcPr>
            <w:tcW w:w="2397" w:type="dxa"/>
            <w:tcBorders>
              <w:top w:val="nil"/>
              <w:left w:val="nil"/>
              <w:bottom w:val="single" w:color="auto" w:sz="4" w:space="0"/>
              <w:right w:val="single" w:color="auto" w:sz="8" w:space="0"/>
            </w:tcBorders>
            <w:shd w:val="clear" w:color="auto" w:fill="auto"/>
            <w:vAlign w:val="center"/>
          </w:tcPr>
          <w:p>
            <w:pPr>
              <w:pStyle w:val="107"/>
              <w:snapToGrid w:val="0"/>
            </w:pPr>
            <w:r>
              <w:rPr>
                <w:rFonts w:hint="eastAsia"/>
              </w:rPr>
              <w:t>分区防渗、污染监控</w:t>
            </w:r>
          </w:p>
        </w:tc>
      </w:tr>
      <w:tr>
        <w:tblPrEx>
          <w:tblLayout w:type="fixed"/>
          <w:tblCellMar>
            <w:top w:w="0" w:type="dxa"/>
            <w:left w:w="108" w:type="dxa"/>
            <w:bottom w:w="0" w:type="dxa"/>
            <w:right w:w="108" w:type="dxa"/>
          </w:tblCellMar>
        </w:tblPrEx>
        <w:trPr>
          <w:trHeight w:val="1140" w:hRule="atLeast"/>
        </w:trPr>
        <w:tc>
          <w:tcPr>
            <w:tcW w:w="638" w:type="dxa"/>
            <w:tcBorders>
              <w:top w:val="nil"/>
              <w:left w:val="single" w:color="auto" w:sz="8" w:space="0"/>
              <w:bottom w:val="single" w:color="auto" w:sz="4" w:space="0"/>
              <w:right w:val="single" w:color="auto" w:sz="4" w:space="0"/>
            </w:tcBorders>
            <w:shd w:val="clear" w:color="auto" w:fill="auto"/>
            <w:vAlign w:val="center"/>
          </w:tcPr>
          <w:p>
            <w:pPr>
              <w:pStyle w:val="107"/>
              <w:numPr>
                <w:ilvl w:val="0"/>
                <w:numId w:val="67"/>
              </w:numPr>
              <w:snapToGrid w:val="0"/>
            </w:pPr>
          </w:p>
        </w:tc>
        <w:tc>
          <w:tcPr>
            <w:tcW w:w="770"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环境风险</w:t>
            </w:r>
          </w:p>
        </w:tc>
        <w:tc>
          <w:tcPr>
            <w:tcW w:w="3685"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事故应急池、</w:t>
            </w:r>
            <w:r>
              <w:rPr>
                <w:rFonts w:hint="eastAsia"/>
              </w:rPr>
              <w:br w:type="textWrapping"/>
            </w:r>
            <w:r>
              <w:rPr>
                <w:rFonts w:hint="eastAsia"/>
              </w:rPr>
              <w:t>配套相关管网系统；</w:t>
            </w:r>
            <w:r>
              <w:rPr>
                <w:rFonts w:hint="eastAsia"/>
              </w:rPr>
              <w:br w:type="textWrapping"/>
            </w:r>
            <w:r>
              <w:rPr>
                <w:rFonts w:hint="eastAsia"/>
              </w:rPr>
              <w:t>消防设施、应急物资、应急预案</w:t>
            </w:r>
          </w:p>
        </w:tc>
        <w:tc>
          <w:tcPr>
            <w:tcW w:w="1560" w:type="dxa"/>
            <w:tcBorders>
              <w:top w:val="nil"/>
              <w:left w:val="nil"/>
              <w:bottom w:val="single" w:color="auto" w:sz="4" w:space="0"/>
              <w:right w:val="single" w:color="auto" w:sz="4" w:space="0"/>
            </w:tcBorders>
            <w:shd w:val="clear" w:color="auto" w:fill="auto"/>
            <w:vAlign w:val="center"/>
          </w:tcPr>
          <w:p>
            <w:pPr>
              <w:pStyle w:val="107"/>
              <w:snapToGrid w:val="0"/>
            </w:pPr>
            <w:r>
              <w:t>3</w:t>
            </w:r>
            <w:r>
              <w:rPr>
                <w:rFonts w:hint="eastAsia"/>
              </w:rPr>
              <w:t>万元</w:t>
            </w:r>
          </w:p>
        </w:tc>
        <w:tc>
          <w:tcPr>
            <w:tcW w:w="2397" w:type="dxa"/>
            <w:tcBorders>
              <w:top w:val="nil"/>
              <w:left w:val="nil"/>
              <w:bottom w:val="single" w:color="auto" w:sz="4" w:space="0"/>
              <w:right w:val="single" w:color="auto" w:sz="4" w:space="0"/>
            </w:tcBorders>
            <w:shd w:val="clear" w:color="auto" w:fill="auto"/>
            <w:vAlign w:val="center"/>
          </w:tcPr>
          <w:p>
            <w:pPr>
              <w:pStyle w:val="107"/>
              <w:snapToGrid w:val="0"/>
            </w:pPr>
            <w:r>
              <w:rPr>
                <w:rFonts w:hint="eastAsia"/>
              </w:rPr>
              <w:t>截断阀、集液沟、事故应急池、配套相关管网系统、消防设施、应急物资、应急预案</w:t>
            </w:r>
          </w:p>
        </w:tc>
      </w:tr>
      <w:tr>
        <w:tblPrEx>
          <w:tblLayout w:type="fixed"/>
          <w:tblCellMar>
            <w:top w:w="0" w:type="dxa"/>
            <w:left w:w="108" w:type="dxa"/>
            <w:bottom w:w="0" w:type="dxa"/>
            <w:right w:w="108" w:type="dxa"/>
          </w:tblCellMar>
        </w:tblPrEx>
        <w:trPr>
          <w:trHeight w:val="285" w:hRule="atLeast"/>
        </w:trPr>
        <w:tc>
          <w:tcPr>
            <w:tcW w:w="5093" w:type="dxa"/>
            <w:gridSpan w:val="3"/>
            <w:tcBorders>
              <w:top w:val="single" w:color="auto" w:sz="4" w:space="0"/>
              <w:left w:val="single" w:color="auto" w:sz="8" w:space="0"/>
              <w:bottom w:val="single" w:color="auto" w:sz="4" w:space="0"/>
              <w:right w:val="single" w:color="000000" w:sz="4" w:space="0"/>
            </w:tcBorders>
            <w:shd w:val="clear" w:color="auto" w:fill="auto"/>
            <w:vAlign w:val="center"/>
          </w:tcPr>
          <w:p>
            <w:pPr>
              <w:pStyle w:val="107"/>
              <w:snapToGrid w:val="0"/>
            </w:pPr>
            <w:r>
              <w:rPr>
                <w:rFonts w:hint="eastAsia"/>
              </w:rPr>
              <w:t>合计</w:t>
            </w:r>
          </w:p>
        </w:tc>
        <w:tc>
          <w:tcPr>
            <w:tcW w:w="1560" w:type="dxa"/>
            <w:tcBorders>
              <w:top w:val="nil"/>
              <w:left w:val="nil"/>
              <w:bottom w:val="single" w:color="auto" w:sz="4" w:space="0"/>
              <w:right w:val="single" w:color="auto" w:sz="4" w:space="0"/>
            </w:tcBorders>
            <w:shd w:val="clear" w:color="auto" w:fill="auto"/>
            <w:vAlign w:val="center"/>
          </w:tcPr>
          <w:p>
            <w:pPr>
              <w:pStyle w:val="107"/>
              <w:snapToGrid w:val="0"/>
            </w:pPr>
            <w:r>
              <w:t>30</w:t>
            </w:r>
            <w:r>
              <w:rPr>
                <w:rFonts w:hint="eastAsia"/>
              </w:rPr>
              <w:t>万元</w:t>
            </w:r>
          </w:p>
        </w:tc>
        <w:tc>
          <w:tcPr>
            <w:tcW w:w="2397" w:type="dxa"/>
            <w:tcBorders>
              <w:top w:val="nil"/>
              <w:left w:val="nil"/>
              <w:bottom w:val="single" w:color="auto" w:sz="4" w:space="0"/>
              <w:right w:val="single" w:color="auto" w:sz="8" w:space="0"/>
            </w:tcBorders>
            <w:shd w:val="clear" w:color="auto" w:fill="auto"/>
            <w:vAlign w:val="center"/>
          </w:tcPr>
          <w:p>
            <w:pPr>
              <w:pStyle w:val="107"/>
              <w:snapToGrid w:val="0"/>
            </w:pPr>
            <w:r>
              <w:rPr>
                <w:rFonts w:hint="eastAsia"/>
              </w:rPr>
              <w:t>/</w:t>
            </w:r>
          </w:p>
        </w:tc>
      </w:tr>
      <w:tr>
        <w:tblPrEx>
          <w:tblLayout w:type="fixed"/>
          <w:tblCellMar>
            <w:top w:w="0" w:type="dxa"/>
            <w:left w:w="108" w:type="dxa"/>
            <w:bottom w:w="0" w:type="dxa"/>
            <w:right w:w="108" w:type="dxa"/>
          </w:tblCellMar>
        </w:tblPrEx>
        <w:trPr>
          <w:trHeight w:val="300" w:hRule="atLeast"/>
        </w:trPr>
        <w:tc>
          <w:tcPr>
            <w:tcW w:w="5093" w:type="dxa"/>
            <w:gridSpan w:val="3"/>
            <w:tcBorders>
              <w:top w:val="single" w:color="auto" w:sz="4" w:space="0"/>
              <w:left w:val="single" w:color="auto" w:sz="8" w:space="0"/>
              <w:bottom w:val="single" w:color="auto" w:sz="8" w:space="0"/>
              <w:right w:val="single" w:color="000000" w:sz="4" w:space="0"/>
            </w:tcBorders>
            <w:shd w:val="clear" w:color="auto" w:fill="auto"/>
            <w:vAlign w:val="bottom"/>
          </w:tcPr>
          <w:p>
            <w:pPr>
              <w:pStyle w:val="107"/>
              <w:snapToGrid w:val="0"/>
            </w:pPr>
            <w:r>
              <w:rPr>
                <w:rFonts w:hint="eastAsia"/>
              </w:rPr>
              <w:t>环保设施年运转费用</w:t>
            </w:r>
          </w:p>
        </w:tc>
        <w:tc>
          <w:tcPr>
            <w:tcW w:w="1560" w:type="dxa"/>
            <w:tcBorders>
              <w:top w:val="nil"/>
              <w:left w:val="nil"/>
              <w:bottom w:val="single" w:color="auto" w:sz="8" w:space="0"/>
              <w:right w:val="single" w:color="auto" w:sz="4" w:space="0"/>
            </w:tcBorders>
            <w:shd w:val="clear" w:color="auto" w:fill="auto"/>
            <w:vAlign w:val="center"/>
          </w:tcPr>
          <w:p>
            <w:pPr>
              <w:pStyle w:val="107"/>
              <w:snapToGrid w:val="0"/>
            </w:pPr>
            <w:r>
              <w:t>4.5</w:t>
            </w:r>
            <w:r>
              <w:rPr>
                <w:rFonts w:hint="eastAsia"/>
              </w:rPr>
              <w:t>万元</w:t>
            </w:r>
          </w:p>
        </w:tc>
        <w:tc>
          <w:tcPr>
            <w:tcW w:w="2397" w:type="dxa"/>
            <w:tcBorders>
              <w:top w:val="nil"/>
              <w:left w:val="nil"/>
              <w:bottom w:val="single" w:color="auto" w:sz="8" w:space="0"/>
              <w:right w:val="single" w:color="auto" w:sz="8" w:space="0"/>
            </w:tcBorders>
            <w:shd w:val="clear" w:color="auto" w:fill="auto"/>
            <w:vAlign w:val="bottom"/>
          </w:tcPr>
          <w:p>
            <w:pPr>
              <w:pStyle w:val="107"/>
              <w:snapToGrid w:val="0"/>
            </w:pPr>
            <w:r>
              <w:rPr>
                <w:rFonts w:hint="eastAsia"/>
              </w:rPr>
              <w:t>/</w:t>
            </w:r>
          </w:p>
        </w:tc>
      </w:tr>
    </w:tbl>
    <w:p>
      <w:pPr>
        <w:ind w:firstLine="480"/>
      </w:pPr>
      <w:r>
        <w:rPr>
          <w:rFonts w:hint="eastAsia"/>
        </w:rPr>
        <w:t>环保设施投资初步估算约为</w:t>
      </w:r>
      <w:r>
        <w:t>30</w:t>
      </w:r>
      <w:r>
        <w:rPr>
          <w:rFonts w:hint="eastAsia"/>
        </w:rPr>
        <w:t>万元，约占本项目总投资</w:t>
      </w:r>
      <w:r>
        <w:t>200</w:t>
      </w:r>
      <w:r>
        <w:rPr>
          <w:rFonts w:hint="eastAsia"/>
        </w:rPr>
        <w:t>万元的</w:t>
      </w:r>
      <w:r>
        <w:t>15</w:t>
      </w:r>
      <w:r>
        <w:rPr>
          <w:rFonts w:hint="eastAsia"/>
        </w:rPr>
        <w:t>%。</w:t>
      </w:r>
    </w:p>
    <w:p>
      <w:pPr>
        <w:ind w:firstLine="480"/>
        <w:rPr>
          <w:rFonts w:eastAsiaTheme="minorEastAsia"/>
        </w:rPr>
      </w:pPr>
      <w:r>
        <w:rPr>
          <w:rFonts w:hint="eastAsia" w:eastAsiaTheme="minorEastAsia"/>
        </w:rPr>
        <w:t>本项目投产后环境保护运转费用主要包括“三废”处理设施的运转费、折旧费、排污费和环保监测等管理费（包括工资和业务费）。由于部分数据项目业主无法提供，本评价采用类比估算法，即环保年费用占环保投资的8-15%，取数15%。本项目环保投资额约</w:t>
      </w:r>
      <w:r>
        <w:rPr>
          <w:rFonts w:eastAsiaTheme="minorEastAsia"/>
        </w:rPr>
        <w:t>30万元</w:t>
      </w:r>
      <w:r>
        <w:rPr>
          <w:rFonts w:hint="eastAsia" w:eastAsiaTheme="minorEastAsia"/>
        </w:rPr>
        <w:t>，则本项目环保年费用约为</w:t>
      </w:r>
      <w:r>
        <w:rPr>
          <w:rFonts w:eastAsiaTheme="minorEastAsia"/>
        </w:rPr>
        <w:t>4.5</w:t>
      </w:r>
      <w:r>
        <w:rPr>
          <w:rFonts w:hint="eastAsia" w:eastAsiaTheme="minorEastAsia"/>
        </w:rPr>
        <w:t>万元。</w:t>
      </w:r>
    </w:p>
    <w:p>
      <w:pPr>
        <w:pStyle w:val="4"/>
      </w:pPr>
      <w:bookmarkStart w:id="643" w:name="_Toc3538813"/>
      <w:r>
        <w:rPr>
          <w:rFonts w:hint="eastAsia"/>
        </w:rPr>
        <w:t>环境保护设施汇总</w:t>
      </w:r>
      <w:bookmarkEnd w:id="643"/>
    </w:p>
    <w:p>
      <w:pPr>
        <w:ind w:firstLine="480"/>
      </w:pPr>
      <w:r>
        <w:rPr>
          <w:rFonts w:hint="eastAsia"/>
        </w:rPr>
        <w:t>项目主要环境保护措施汇总见下表。</w:t>
      </w:r>
    </w:p>
    <w:p>
      <w:pPr>
        <w:pStyle w:val="18"/>
      </w:pPr>
      <w:bookmarkStart w:id="644" w:name="_Ref529868637"/>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5.8</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bookmarkEnd w:id="644"/>
      <w:r>
        <w:t xml:space="preserve"> </w:t>
      </w:r>
      <w:r>
        <w:rPr>
          <w:rFonts w:hint="eastAsia"/>
        </w:rPr>
        <w:t>项目环境保护措施汇总表</w:t>
      </w:r>
    </w:p>
    <w:tbl>
      <w:tblPr>
        <w:tblStyle w:val="56"/>
        <w:tblW w:w="904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7"/>
        <w:gridCol w:w="1296"/>
        <w:gridCol w:w="2645"/>
        <w:gridCol w:w="441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trPr>
        <w:tc>
          <w:tcPr>
            <w:tcW w:w="1983" w:type="dxa"/>
            <w:gridSpan w:val="2"/>
            <w:shd w:val="clear" w:color="auto" w:fill="D8D8D8" w:themeFill="background1" w:themeFillShade="D9"/>
            <w:vAlign w:val="center"/>
          </w:tcPr>
          <w:p>
            <w:pPr>
              <w:pStyle w:val="107"/>
              <w:rPr>
                <w:b/>
              </w:rPr>
            </w:pPr>
            <w:r>
              <w:rPr>
                <w:b/>
              </w:rPr>
              <w:t>项目</w:t>
            </w:r>
          </w:p>
        </w:tc>
        <w:tc>
          <w:tcPr>
            <w:tcW w:w="2645" w:type="dxa"/>
            <w:shd w:val="clear" w:color="auto" w:fill="D8D8D8" w:themeFill="background1" w:themeFillShade="D9"/>
            <w:vAlign w:val="center"/>
          </w:tcPr>
          <w:p>
            <w:pPr>
              <w:pStyle w:val="107"/>
              <w:rPr>
                <w:b/>
              </w:rPr>
            </w:pPr>
            <w:r>
              <w:rPr>
                <w:b/>
              </w:rPr>
              <w:t>处理措施</w:t>
            </w:r>
          </w:p>
        </w:tc>
        <w:tc>
          <w:tcPr>
            <w:tcW w:w="4412" w:type="dxa"/>
            <w:shd w:val="clear" w:color="auto" w:fill="D8D8D8" w:themeFill="background1" w:themeFillShade="D9"/>
            <w:vAlign w:val="center"/>
          </w:tcPr>
          <w:p>
            <w:pPr>
              <w:pStyle w:val="107"/>
              <w:rPr>
                <w:b/>
              </w:rPr>
            </w:pPr>
            <w:r>
              <w:rPr>
                <w:b/>
              </w:rPr>
              <w:t>预期治理效果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restart"/>
            <w:shd w:val="clear" w:color="auto" w:fill="auto"/>
            <w:vAlign w:val="center"/>
          </w:tcPr>
          <w:p>
            <w:pPr>
              <w:pStyle w:val="107"/>
            </w:pPr>
            <w:r>
              <w:t>废气</w:t>
            </w:r>
          </w:p>
        </w:tc>
        <w:tc>
          <w:tcPr>
            <w:tcW w:w="129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配料、投料粉尘，密炼废气</w:t>
            </w:r>
          </w:p>
        </w:tc>
        <w:tc>
          <w:tcPr>
            <w:tcW w:w="2645" w:type="dxa"/>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布袋除尘</w:t>
            </w:r>
            <w:r>
              <w:rPr>
                <w:rStyle w:val="63"/>
                <w:rFonts w:hint="eastAsia"/>
                <w:color w:val="000000" w:themeColor="text1"/>
                <w14:textFill>
                  <w14:solidFill>
                    <w14:schemeClr w14:val="tx1"/>
                  </w14:solidFill>
                </w14:textFill>
              </w:rPr>
              <w:t>+喷淋塔+U</w:t>
            </w:r>
            <w:r>
              <w:rPr>
                <w:rStyle w:val="63"/>
                <w:color w:val="000000" w:themeColor="text1"/>
                <w14:textFill>
                  <w14:solidFill>
                    <w14:schemeClr w14:val="tx1"/>
                  </w14:solidFill>
                </w14:textFill>
              </w:rPr>
              <w:t>V</w:t>
            </w:r>
            <w:r>
              <w:rPr>
                <w:rStyle w:val="63"/>
                <w:rFonts w:hint="eastAsia"/>
                <w:color w:val="000000" w:themeColor="text1"/>
                <w14:textFill>
                  <w14:solidFill>
                    <w14:schemeClr w14:val="tx1"/>
                  </w14:solidFill>
                </w14:textFill>
              </w:rPr>
              <w:t>光解+</w:t>
            </w:r>
            <w:r>
              <w:rPr>
                <w:rStyle w:val="63"/>
                <w:color w:val="000000" w:themeColor="text1"/>
                <w14:textFill>
                  <w14:solidFill>
                    <w14:schemeClr w14:val="tx1"/>
                  </w14:solidFill>
                </w14:textFill>
              </w:rPr>
              <w:t>活性炭吸附</w:t>
            </w:r>
          </w:p>
        </w:tc>
        <w:tc>
          <w:tcPr>
            <w:tcW w:w="4412" w:type="dxa"/>
            <w:shd w:val="clear" w:color="auto" w:fill="auto"/>
            <w:vAlign w:val="center"/>
          </w:tcPr>
          <w:p>
            <w:pPr>
              <w:pStyle w:val="107"/>
            </w:pPr>
            <w:r>
              <w:t>满足《橡胶制品工业污染物排放标准》</w:t>
            </w:r>
            <w:r>
              <w:rPr>
                <w:rFonts w:hint="eastAsia"/>
              </w:rPr>
              <w:t>（</w:t>
            </w:r>
            <w:r>
              <w:t>GB 27632-2011</w:t>
            </w:r>
            <w:r>
              <w:rPr>
                <w:rFonts w:hint="eastAsia"/>
              </w:rPr>
              <w:t>）</w:t>
            </w:r>
            <w:r>
              <w:t>新建企业排放标准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continue"/>
            <w:vAlign w:val="center"/>
          </w:tcPr>
          <w:p>
            <w:pPr>
              <w:pStyle w:val="107"/>
            </w:pPr>
          </w:p>
        </w:tc>
        <w:tc>
          <w:tcPr>
            <w:tcW w:w="1296" w:type="dxa"/>
            <w:shd w:val="clear" w:color="auto" w:fill="auto"/>
            <w:vAlign w:val="center"/>
          </w:tcPr>
          <w:p>
            <w:pPr>
              <w:pStyle w:val="107"/>
            </w:pPr>
            <w:r>
              <w:rPr>
                <w:rFonts w:hint="eastAsia"/>
              </w:rPr>
              <w:t>开炼、硫化</w:t>
            </w:r>
            <w:r>
              <w:t>废气</w:t>
            </w:r>
          </w:p>
        </w:tc>
        <w:tc>
          <w:tcPr>
            <w:tcW w:w="26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喷淋塔+U</w:t>
            </w:r>
            <w:r>
              <w:rPr>
                <w:rStyle w:val="63"/>
                <w:color w:val="000000" w:themeColor="text1"/>
                <w14:textFill>
                  <w14:solidFill>
                    <w14:schemeClr w14:val="tx1"/>
                  </w14:solidFill>
                </w14:textFill>
              </w:rPr>
              <w:t>V</w:t>
            </w:r>
            <w:r>
              <w:rPr>
                <w:rStyle w:val="63"/>
                <w:rFonts w:hint="eastAsia"/>
                <w:color w:val="000000" w:themeColor="text1"/>
                <w14:textFill>
                  <w14:solidFill>
                    <w14:schemeClr w14:val="tx1"/>
                  </w14:solidFill>
                </w14:textFill>
              </w:rPr>
              <w:t>光解+</w:t>
            </w:r>
            <w:r>
              <w:rPr>
                <w:rStyle w:val="63"/>
                <w:color w:val="000000" w:themeColor="text1"/>
                <w14:textFill>
                  <w14:solidFill>
                    <w14:schemeClr w14:val="tx1"/>
                  </w14:solidFill>
                </w14:textFill>
              </w:rPr>
              <w:t>活性炭吸附</w:t>
            </w:r>
          </w:p>
        </w:tc>
        <w:tc>
          <w:tcPr>
            <w:tcW w:w="4412" w:type="dxa"/>
            <w:shd w:val="clear" w:color="auto" w:fill="auto"/>
            <w:vAlign w:val="center"/>
          </w:tcPr>
          <w:p>
            <w:pPr>
              <w:pStyle w:val="107"/>
              <w:jc w:val="left"/>
            </w:pPr>
            <w:r>
              <w:t>非甲烷总烃满足《橡胶制品工业污染物排放标准》</w:t>
            </w:r>
            <w:r>
              <w:rPr>
                <w:rFonts w:hint="eastAsia"/>
              </w:rPr>
              <w:t>（</w:t>
            </w:r>
            <w:r>
              <w:t>GB 27632-2011</w:t>
            </w:r>
            <w:r>
              <w:rPr>
                <w:rFonts w:hint="eastAsia"/>
              </w:rPr>
              <w:t>）</w:t>
            </w:r>
            <w:r>
              <w:t>新建企业排放标准；硫化氢满足《恶臭污染物排放标准》（GB 14554-93）的二级新扩改建排放标准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continue"/>
            <w:vAlign w:val="center"/>
          </w:tcPr>
          <w:p>
            <w:pPr>
              <w:pStyle w:val="107"/>
            </w:pPr>
          </w:p>
        </w:tc>
        <w:tc>
          <w:tcPr>
            <w:tcW w:w="1296" w:type="dxa"/>
            <w:shd w:val="clear" w:color="auto" w:fill="auto"/>
            <w:vAlign w:val="center"/>
          </w:tcPr>
          <w:p>
            <w:pPr>
              <w:pStyle w:val="107"/>
            </w:pPr>
            <w:r>
              <w:rPr>
                <w:rFonts w:hint="eastAsia"/>
              </w:rPr>
              <w:t>抛丸</w:t>
            </w:r>
            <w:r>
              <w:t>废气</w:t>
            </w:r>
          </w:p>
        </w:tc>
        <w:tc>
          <w:tcPr>
            <w:tcW w:w="2645" w:type="dxa"/>
            <w:shd w:val="clear" w:color="auto" w:fill="auto"/>
            <w:vAlign w:val="center"/>
          </w:tcPr>
          <w:p>
            <w:pPr>
              <w:pStyle w:val="107"/>
            </w:pPr>
            <w:r>
              <w:rPr>
                <w:rFonts w:hint="eastAsia"/>
              </w:rPr>
              <w:t>抛丸机自带收集除尘设施</w:t>
            </w:r>
            <w:r>
              <w:t>，去除率90%</w:t>
            </w:r>
          </w:p>
        </w:tc>
        <w:tc>
          <w:tcPr>
            <w:tcW w:w="4412" w:type="dxa"/>
            <w:shd w:val="clear" w:color="auto" w:fill="auto"/>
            <w:vAlign w:val="center"/>
          </w:tcPr>
          <w:p>
            <w:pPr>
              <w:pStyle w:val="107"/>
            </w:pPr>
            <w:r>
              <w:rPr>
                <w:rFonts w:hint="eastAsia"/>
              </w:rPr>
              <w:t>满足</w:t>
            </w:r>
            <w:bookmarkStart w:id="645" w:name="_Hlk12276512"/>
            <w:r>
              <w:rPr>
                <w:rFonts w:ascii="Times New Roman" w:hAnsi="Times New Roman" w:cs="Times New Roman"/>
                <w:kern w:val="2"/>
              </w:rPr>
              <w:t>广东省地方标准《大气污染物排放限值》（DB44/27-2001）第二时段二级标准</w:t>
            </w:r>
            <w:bookmarkEnd w:id="645"/>
            <w:r>
              <w:rPr>
                <w:rFonts w:ascii="Times New Roman" w:hAnsi="Times New Roman" w:cs="Times New Roman"/>
                <w:kern w:val="2"/>
              </w:rPr>
              <w:t>及无组织排放监控浓度限值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restart"/>
            <w:shd w:val="clear" w:color="auto" w:fill="auto"/>
            <w:vAlign w:val="center"/>
          </w:tcPr>
          <w:p>
            <w:pPr>
              <w:pStyle w:val="107"/>
            </w:pPr>
            <w:r>
              <w:t>废水</w:t>
            </w:r>
          </w:p>
        </w:tc>
        <w:tc>
          <w:tcPr>
            <w:tcW w:w="1296" w:type="dxa"/>
            <w:shd w:val="clear" w:color="auto" w:fill="auto"/>
            <w:vAlign w:val="center"/>
          </w:tcPr>
          <w:p>
            <w:pPr>
              <w:pStyle w:val="107"/>
            </w:pPr>
            <w:r>
              <w:t>生活污水</w:t>
            </w:r>
          </w:p>
        </w:tc>
        <w:tc>
          <w:tcPr>
            <w:tcW w:w="2645" w:type="dxa"/>
            <w:shd w:val="clear" w:color="auto" w:fill="auto"/>
            <w:vAlign w:val="center"/>
          </w:tcPr>
          <w:p>
            <w:pPr>
              <w:pStyle w:val="107"/>
            </w:pPr>
            <w:r>
              <w:rPr>
                <w:rFonts w:hint="eastAsia"/>
              </w:rPr>
              <w:t>化粪池</w:t>
            </w:r>
          </w:p>
        </w:tc>
        <w:tc>
          <w:tcPr>
            <w:tcW w:w="4412" w:type="dxa"/>
            <w:shd w:val="clear" w:color="auto" w:fill="auto"/>
            <w:vAlign w:val="center"/>
          </w:tcPr>
          <w:p>
            <w:pPr>
              <w:pStyle w:val="107"/>
              <w:jc w:val="left"/>
            </w:pPr>
            <w:r>
              <w:rPr>
                <w:rFonts w:hint="eastAsia" w:cs="Times New Roman"/>
                <w:bCs/>
              </w:rPr>
              <w:t>广东省《水污染物排放限值》（DB 44/26-2001）第二时段三级标准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continue"/>
            <w:vAlign w:val="center"/>
          </w:tcPr>
          <w:p>
            <w:pPr>
              <w:pStyle w:val="107"/>
            </w:pPr>
          </w:p>
        </w:tc>
        <w:tc>
          <w:tcPr>
            <w:tcW w:w="1296"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喷淋废水</w:t>
            </w:r>
          </w:p>
        </w:tc>
        <w:tc>
          <w:tcPr>
            <w:tcW w:w="2645"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定期交由有资质的单位处理，不外排</w:t>
            </w:r>
          </w:p>
        </w:tc>
        <w:tc>
          <w:tcPr>
            <w:tcW w:w="4412" w:type="dxa"/>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得到妥善处理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continue"/>
            <w:vAlign w:val="center"/>
          </w:tcPr>
          <w:p>
            <w:pPr>
              <w:pStyle w:val="107"/>
            </w:pPr>
          </w:p>
        </w:tc>
        <w:tc>
          <w:tcPr>
            <w:tcW w:w="1296" w:type="dxa"/>
            <w:shd w:val="clear" w:color="auto" w:fill="auto"/>
            <w:vAlign w:val="center"/>
          </w:tcPr>
          <w:p>
            <w:pPr>
              <w:pStyle w:val="107"/>
            </w:pPr>
            <w:r>
              <w:t>地下水污染防治</w:t>
            </w:r>
          </w:p>
        </w:tc>
        <w:tc>
          <w:tcPr>
            <w:tcW w:w="2645" w:type="dxa"/>
            <w:shd w:val="clear" w:color="auto" w:fill="auto"/>
            <w:vAlign w:val="center"/>
          </w:tcPr>
          <w:p>
            <w:pPr>
              <w:pStyle w:val="107"/>
            </w:pPr>
            <w:r>
              <w:t>做好化粪池、地面、仓库、车间等的防渗、硬化工作</w:t>
            </w:r>
          </w:p>
        </w:tc>
        <w:tc>
          <w:tcPr>
            <w:tcW w:w="4412" w:type="dxa"/>
            <w:shd w:val="clear" w:color="auto" w:fill="auto"/>
            <w:vAlign w:val="center"/>
          </w:tcPr>
          <w:p>
            <w:pPr>
              <w:pStyle w:val="107"/>
            </w:pPr>
            <w:r>
              <w:t>做好防渗、防漏等工作后预计项目废水对地下水环境影响很小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shd w:val="clear" w:color="auto" w:fill="auto"/>
            <w:vAlign w:val="center"/>
          </w:tcPr>
          <w:p>
            <w:pPr>
              <w:pStyle w:val="107"/>
            </w:pPr>
            <w:r>
              <w:t>噪声</w:t>
            </w:r>
          </w:p>
        </w:tc>
        <w:tc>
          <w:tcPr>
            <w:tcW w:w="1296" w:type="dxa"/>
            <w:shd w:val="clear" w:color="auto" w:fill="auto"/>
            <w:vAlign w:val="center"/>
          </w:tcPr>
          <w:p>
            <w:pPr>
              <w:pStyle w:val="107"/>
            </w:pPr>
            <w:r>
              <w:t>隔声、消声、减振等措施</w:t>
            </w:r>
          </w:p>
        </w:tc>
        <w:tc>
          <w:tcPr>
            <w:tcW w:w="2645" w:type="dxa"/>
            <w:shd w:val="clear" w:color="auto" w:fill="auto"/>
            <w:vAlign w:val="center"/>
          </w:tcPr>
          <w:p>
            <w:pPr>
              <w:pStyle w:val="107"/>
            </w:pPr>
            <w:r>
              <w:t>采用隔声减振设施。选择低噪声型号设备，合理平面布局，加强机械设备的保养与维护等措施</w:t>
            </w:r>
          </w:p>
        </w:tc>
        <w:tc>
          <w:tcPr>
            <w:tcW w:w="4412" w:type="dxa"/>
            <w:shd w:val="clear" w:color="auto" w:fill="auto"/>
            <w:vAlign w:val="center"/>
          </w:tcPr>
          <w:p>
            <w:pPr>
              <w:pStyle w:val="107"/>
            </w:pPr>
            <w:r>
              <w:t>厂界噪声达到《工业企业厂界噪声标准》（GB 12348-2008）2类标准要求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restart"/>
            <w:shd w:val="clear" w:color="auto" w:fill="auto"/>
            <w:vAlign w:val="center"/>
          </w:tcPr>
          <w:p>
            <w:pPr>
              <w:pStyle w:val="107"/>
            </w:pPr>
            <w:r>
              <w:t>固废</w:t>
            </w:r>
          </w:p>
        </w:tc>
        <w:tc>
          <w:tcPr>
            <w:tcW w:w="1296" w:type="dxa"/>
            <w:shd w:val="clear" w:color="auto" w:fill="auto"/>
            <w:vAlign w:val="center"/>
          </w:tcPr>
          <w:p>
            <w:pPr>
              <w:pStyle w:val="107"/>
            </w:pPr>
            <w:r>
              <w:t>一般固废</w:t>
            </w:r>
          </w:p>
        </w:tc>
        <w:tc>
          <w:tcPr>
            <w:tcW w:w="2645" w:type="dxa"/>
            <w:shd w:val="clear" w:color="auto" w:fill="auto"/>
            <w:vAlign w:val="center"/>
          </w:tcPr>
          <w:p>
            <w:pPr>
              <w:pStyle w:val="107"/>
            </w:pPr>
            <w:r>
              <w:t>收集后交由专业公司回收利用</w:t>
            </w:r>
          </w:p>
        </w:tc>
        <w:tc>
          <w:tcPr>
            <w:tcW w:w="4412" w:type="dxa"/>
            <w:vMerge w:val="restart"/>
            <w:shd w:val="clear" w:color="auto" w:fill="auto"/>
            <w:vAlign w:val="center"/>
          </w:tcPr>
          <w:p>
            <w:pPr>
              <w:pStyle w:val="107"/>
            </w:pPr>
            <w:r>
              <w:rPr>
                <w:rFonts w:hint="eastAsia"/>
              </w:rPr>
              <w:t>固体废物</w:t>
            </w:r>
            <w:r>
              <w:t>均得到合理处理处置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continue"/>
            <w:vAlign w:val="center"/>
          </w:tcPr>
          <w:p>
            <w:pPr>
              <w:pStyle w:val="107"/>
            </w:pPr>
          </w:p>
        </w:tc>
        <w:tc>
          <w:tcPr>
            <w:tcW w:w="1296" w:type="dxa"/>
            <w:shd w:val="clear" w:color="auto" w:fill="auto"/>
            <w:vAlign w:val="center"/>
          </w:tcPr>
          <w:p>
            <w:pPr>
              <w:pStyle w:val="107"/>
            </w:pPr>
            <w:r>
              <w:t>生活垃圾</w:t>
            </w:r>
          </w:p>
        </w:tc>
        <w:tc>
          <w:tcPr>
            <w:tcW w:w="2645" w:type="dxa"/>
            <w:shd w:val="clear" w:color="auto" w:fill="auto"/>
            <w:vAlign w:val="center"/>
          </w:tcPr>
          <w:p>
            <w:pPr>
              <w:pStyle w:val="107"/>
            </w:pPr>
            <w:r>
              <w:t>交环卫部门处理</w:t>
            </w:r>
          </w:p>
        </w:tc>
        <w:tc>
          <w:tcPr>
            <w:tcW w:w="4412" w:type="dxa"/>
            <w:vMerge w:val="continue"/>
            <w:vAlign w:val="center"/>
          </w:tcPr>
          <w:p>
            <w:pPr>
              <w:pStyle w:val="107"/>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Merge w:val="continue"/>
            <w:vAlign w:val="center"/>
          </w:tcPr>
          <w:p>
            <w:pPr>
              <w:pStyle w:val="107"/>
            </w:pPr>
          </w:p>
        </w:tc>
        <w:tc>
          <w:tcPr>
            <w:tcW w:w="1296" w:type="dxa"/>
            <w:shd w:val="clear" w:color="auto" w:fill="auto"/>
            <w:vAlign w:val="center"/>
          </w:tcPr>
          <w:p>
            <w:pPr>
              <w:pStyle w:val="107"/>
            </w:pPr>
            <w:r>
              <w:t>危险固废</w:t>
            </w:r>
          </w:p>
        </w:tc>
        <w:tc>
          <w:tcPr>
            <w:tcW w:w="2645" w:type="dxa"/>
            <w:shd w:val="clear" w:color="auto" w:fill="auto"/>
            <w:vAlign w:val="center"/>
          </w:tcPr>
          <w:p>
            <w:pPr>
              <w:pStyle w:val="107"/>
            </w:pPr>
            <w:r>
              <w:t>委托有危险废物处理资质的单位处置</w:t>
            </w:r>
          </w:p>
        </w:tc>
        <w:tc>
          <w:tcPr>
            <w:tcW w:w="4412" w:type="dxa"/>
            <w:vMerge w:val="continue"/>
            <w:vAlign w:val="center"/>
          </w:tcPr>
          <w:p>
            <w:pPr>
              <w:pStyle w:val="107"/>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87" w:type="dxa"/>
            <w:vAlign w:val="center"/>
          </w:tcPr>
          <w:p>
            <w:pPr>
              <w:pStyle w:val="107"/>
            </w:pPr>
            <w:r>
              <w:t>风险</w:t>
            </w:r>
          </w:p>
        </w:tc>
        <w:tc>
          <w:tcPr>
            <w:tcW w:w="1296" w:type="dxa"/>
            <w:shd w:val="clear" w:color="auto" w:fill="auto"/>
            <w:vAlign w:val="center"/>
          </w:tcPr>
          <w:p>
            <w:pPr>
              <w:pStyle w:val="107"/>
            </w:pPr>
            <w:r>
              <w:t>事故风险</w:t>
            </w:r>
          </w:p>
        </w:tc>
        <w:tc>
          <w:tcPr>
            <w:tcW w:w="2645" w:type="dxa"/>
            <w:shd w:val="clear" w:color="auto" w:fill="auto"/>
            <w:vAlign w:val="center"/>
          </w:tcPr>
          <w:p>
            <w:pPr>
              <w:pStyle w:val="107"/>
            </w:pPr>
            <w:r>
              <w:t>建设事故应急池</w:t>
            </w:r>
          </w:p>
        </w:tc>
        <w:tc>
          <w:tcPr>
            <w:tcW w:w="4412" w:type="dxa"/>
            <w:vAlign w:val="center"/>
          </w:tcPr>
          <w:p>
            <w:pPr>
              <w:pStyle w:val="107"/>
            </w:pPr>
            <w:r>
              <w:t>发生事故时废水不外排</w:t>
            </w:r>
          </w:p>
        </w:tc>
      </w:tr>
    </w:tbl>
    <w:p>
      <w:pPr>
        <w:ind w:firstLine="480"/>
      </w:pPr>
      <w:r>
        <w:rPr>
          <w:rFonts w:hint="eastAsia"/>
        </w:rPr>
        <w:t>通过对项目运营期的大气、水、噪声、固体废弃物等各项污染治理措施的经济技术可行性进行综合分析，这些措施即考虑了环境保护的需要，也充分考虑了项目的特点，提出的方案是合理可行的。</w:t>
      </w:r>
    </w:p>
    <w:p>
      <w:pPr>
        <w:ind w:firstLine="0" w:firstLineChars="0"/>
        <w:rPr>
          <w:rFonts w:eastAsiaTheme="minorEastAsia"/>
        </w:rPr>
        <w:sectPr>
          <w:pgSz w:w="11906" w:h="16838"/>
          <w:pgMar w:top="1418" w:right="1418" w:bottom="1418" w:left="1418" w:header="851" w:footer="992" w:gutter="0"/>
          <w:cols w:space="720" w:num="1"/>
          <w:docGrid w:type="lines" w:linePitch="312" w:charSpace="0"/>
        </w:sectPr>
      </w:pPr>
    </w:p>
    <w:p>
      <w:pPr>
        <w:pStyle w:val="3"/>
        <w:rPr>
          <w:rFonts w:eastAsiaTheme="minorEastAsia"/>
        </w:rPr>
      </w:pPr>
      <w:bookmarkStart w:id="646" w:name="_Toc307847927"/>
      <w:bookmarkStart w:id="647" w:name="_Toc29737"/>
      <w:bookmarkStart w:id="648" w:name="_Toc4581"/>
      <w:bookmarkStart w:id="649" w:name="_Toc3538814"/>
      <w:bookmarkStart w:id="650" w:name="_Toc331536288"/>
      <w:bookmarkStart w:id="651" w:name="_Toc329784238"/>
      <w:r>
        <w:rPr>
          <w:rFonts w:eastAsiaTheme="minorEastAsia"/>
        </w:rPr>
        <w:t>环境</w:t>
      </w:r>
      <w:r>
        <w:rPr>
          <w:rFonts w:hint="eastAsia" w:eastAsiaTheme="minorEastAsia"/>
        </w:rPr>
        <w:t>影响</w:t>
      </w:r>
      <w:r>
        <w:rPr>
          <w:rFonts w:eastAsiaTheme="minorEastAsia"/>
        </w:rPr>
        <w:t>经济损益分析</w:t>
      </w:r>
      <w:bookmarkEnd w:id="646"/>
      <w:bookmarkEnd w:id="647"/>
      <w:bookmarkEnd w:id="648"/>
      <w:bookmarkEnd w:id="649"/>
      <w:bookmarkEnd w:id="650"/>
      <w:bookmarkEnd w:id="651"/>
    </w:p>
    <w:p>
      <w:pPr>
        <w:ind w:firstLine="480"/>
      </w:pPr>
      <w:r>
        <w:rPr>
          <w:rFonts w:hint="eastAsia"/>
        </w:rPr>
        <w:t>对建设项目进行环境影响经济损益分析，目的是为了衡量该建设项目投入的环保投资所能收到的环保效果和经济实效，及可能收到的环境和社会效益，最大限度地控制污染，降低破坏环境的程度，合理利用自然资源，以最少的环境代价取得最大的经济效益和社会效益。</w:t>
      </w:r>
    </w:p>
    <w:p>
      <w:pPr>
        <w:ind w:firstLine="480"/>
      </w:pPr>
      <w:r>
        <w:rPr>
          <w:rFonts w:hint="eastAsia"/>
        </w:rPr>
        <w:t>本项目属于橡胶制品业，在生产过程中会产生废气、废水、噪声等污染源，是一个污染型工程，它的建设在一定程度上给周围环境质量带来一些负面影响，因此有必要进行经济效益、社会效益、环境效益的综合分析，使本建设项目的建设论证更加充分可靠，工程的设计和实施更加完善，以实现社会的良性发展、经济的持续增长和环境质量的保持与改善。</w:t>
      </w:r>
    </w:p>
    <w:p>
      <w:pPr>
        <w:ind w:firstLine="480"/>
      </w:pPr>
      <w:r>
        <w:rPr>
          <w:rFonts w:hint="eastAsia"/>
        </w:rPr>
        <w:t>关于建设项目的环境经济损益分析，国内目前尚无统一标准。此外，建设项目所排污染物作用于自然环境而造成的经济损失，其过程和机理是十分复杂的，其中有许多不确定因素。 而且， 许多因环境污染而造成的经济损失和由于污染防治而带来的环境收益，较难计算或是很难准确以货币形式来表达。为此，本报告在环境损益分析中，对于可计量部分给予定量表达，其它则采用类比分析方法予以估算，或者是给予忽略。</w:t>
      </w:r>
    </w:p>
    <w:p>
      <w:pPr>
        <w:pStyle w:val="4"/>
      </w:pPr>
      <w:bookmarkStart w:id="652" w:name="_Toc3538815"/>
      <w:r>
        <w:rPr>
          <w:rFonts w:hint="eastAsia"/>
        </w:rPr>
        <w:t>经济与社会效益</w:t>
      </w:r>
      <w:bookmarkEnd w:id="652"/>
    </w:p>
    <w:p>
      <w:pPr>
        <w:ind w:firstLine="480"/>
      </w:pPr>
      <w:r>
        <w:rPr>
          <w:rFonts w:hint="eastAsia" w:eastAsiaTheme="minorEastAsia"/>
          <w:lang w:val="zh-CN"/>
        </w:rPr>
        <w:t>项目的实施，在提高企业自身经济效益的同时，可通过纳税增加地方的财政收入，带动当地经济的发展，具有明显的社会效益。</w:t>
      </w:r>
    </w:p>
    <w:p>
      <w:pPr>
        <w:pStyle w:val="5"/>
      </w:pPr>
      <w:r>
        <w:rPr>
          <w:rFonts w:hint="eastAsia"/>
        </w:rPr>
        <w:t>建设项目直接经济效益</w:t>
      </w:r>
    </w:p>
    <w:p>
      <w:pPr>
        <w:tabs>
          <w:tab w:val="left" w:pos="525"/>
        </w:tabs>
        <w:autoSpaceDE w:val="0"/>
        <w:autoSpaceDN w:val="0"/>
        <w:adjustRightInd w:val="0"/>
        <w:ind w:firstLine="480"/>
        <w:rPr>
          <w:rFonts w:eastAsiaTheme="minorEastAsia"/>
          <w:color w:val="000000"/>
        </w:rPr>
      </w:pPr>
      <w:r>
        <w:rPr>
          <w:rFonts w:hint="eastAsia" w:eastAsiaTheme="minorEastAsia"/>
          <w:color w:val="000000"/>
        </w:rPr>
        <w:t>根据建设单位提供的资料，本项目总投资</w:t>
      </w:r>
      <w:r>
        <w:rPr>
          <w:rFonts w:eastAsiaTheme="minorEastAsia"/>
          <w:color w:val="000000"/>
        </w:rPr>
        <w:t>200</w:t>
      </w:r>
      <w:r>
        <w:rPr>
          <w:rFonts w:hint="eastAsia" w:eastAsiaTheme="minorEastAsia"/>
          <w:color w:val="000000"/>
        </w:rPr>
        <w:t xml:space="preserve">万元，预计项目营运期年产值将达 </w:t>
      </w:r>
      <w:r>
        <w:rPr>
          <w:rFonts w:eastAsiaTheme="minorEastAsia"/>
          <w:color w:val="000000"/>
        </w:rPr>
        <w:t>125</w:t>
      </w:r>
      <w:r>
        <w:rPr>
          <w:rFonts w:hint="eastAsia" w:eastAsiaTheme="minorEastAsia"/>
          <w:color w:val="000000"/>
        </w:rPr>
        <w:t>0万元。项目财务指标见下表。</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6.1</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w:t>
      </w:r>
      <w:r>
        <w:rPr>
          <w:rFonts w:hint="eastAsia"/>
        </w:rPr>
        <w:t>项目主要财务指标一览表</w:t>
      </w:r>
    </w:p>
    <w:tbl>
      <w:tblPr>
        <w:tblStyle w:val="56"/>
        <w:tblW w:w="8529"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81"/>
        <w:gridCol w:w="2624"/>
        <w:gridCol w:w="262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3281" w:type="dxa"/>
            <w:tcBorders>
              <w:tl2br w:val="nil"/>
              <w:tr2bl w:val="nil"/>
            </w:tcBorders>
            <w:shd w:val="clear" w:color="auto" w:fill="auto"/>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项目</w:t>
            </w:r>
          </w:p>
        </w:tc>
        <w:tc>
          <w:tcPr>
            <w:tcW w:w="2624" w:type="dxa"/>
            <w:tcBorders>
              <w:tl2br w:val="nil"/>
              <w:tr2bl w:val="nil"/>
            </w:tcBorders>
            <w:shd w:val="clear" w:color="auto" w:fill="auto"/>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单位</w:t>
            </w:r>
          </w:p>
        </w:tc>
        <w:tc>
          <w:tcPr>
            <w:tcW w:w="2624" w:type="dxa"/>
            <w:tcBorders>
              <w:tl2br w:val="nil"/>
              <w:tr2bl w:val="nil"/>
            </w:tcBorders>
            <w:shd w:val="clear" w:color="auto" w:fill="auto"/>
            <w:vAlign w:val="center"/>
          </w:tcPr>
          <w:p>
            <w:pPr>
              <w:spacing w:line="240" w:lineRule="auto"/>
              <w:ind w:firstLine="0" w:firstLineChars="0"/>
              <w:jc w:val="center"/>
              <w:rPr>
                <w:rFonts w:cs="Times New Roman" w:eastAsiaTheme="minorEastAsia"/>
                <w:b/>
                <w:sz w:val="21"/>
                <w:szCs w:val="21"/>
              </w:rPr>
            </w:pPr>
            <w:r>
              <w:rPr>
                <w:rFonts w:cs="Times New Roman" w:eastAsiaTheme="minorEastAsia"/>
                <w:b/>
                <w:sz w:val="21"/>
                <w:szCs w:val="21"/>
              </w:rPr>
              <w:t>指标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3281" w:type="dxa"/>
            <w:tcBorders>
              <w:tl2br w:val="nil"/>
              <w:tr2bl w:val="nil"/>
            </w:tcBorders>
            <w:shd w:val="clear" w:color="auto" w:fill="auto"/>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项目总投资</w:t>
            </w:r>
          </w:p>
        </w:tc>
        <w:tc>
          <w:tcPr>
            <w:tcW w:w="2624" w:type="dxa"/>
            <w:tcBorders>
              <w:tl2br w:val="nil"/>
              <w:tr2bl w:val="nil"/>
            </w:tcBorders>
            <w:shd w:val="clear" w:color="auto" w:fill="auto"/>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万元</w:t>
            </w:r>
          </w:p>
        </w:tc>
        <w:tc>
          <w:tcPr>
            <w:tcW w:w="2624" w:type="dxa"/>
            <w:tcBorders>
              <w:tl2br w:val="nil"/>
              <w:tr2bl w:val="nil"/>
            </w:tcBorders>
            <w:shd w:val="clear" w:color="auto" w:fill="auto"/>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3281" w:type="dxa"/>
            <w:tcBorders>
              <w:tl2br w:val="nil"/>
              <w:tr2bl w:val="nil"/>
            </w:tcBorders>
            <w:shd w:val="clear" w:color="auto" w:fill="auto"/>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年均生产总值</w:t>
            </w:r>
          </w:p>
        </w:tc>
        <w:tc>
          <w:tcPr>
            <w:tcW w:w="2624" w:type="dxa"/>
            <w:tcBorders>
              <w:tl2br w:val="nil"/>
              <w:tr2bl w:val="nil"/>
            </w:tcBorders>
            <w:shd w:val="clear" w:color="auto" w:fill="auto"/>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万元</w:t>
            </w:r>
          </w:p>
        </w:tc>
        <w:tc>
          <w:tcPr>
            <w:tcW w:w="2624" w:type="dxa"/>
            <w:tcBorders>
              <w:tl2br w:val="nil"/>
              <w:tr2bl w:val="nil"/>
            </w:tcBorders>
            <w:shd w:val="clear" w:color="auto" w:fill="auto"/>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1020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3281" w:type="dxa"/>
            <w:tcBorders>
              <w:tl2br w:val="nil"/>
              <w:tr2bl w:val="nil"/>
            </w:tcBorders>
            <w:shd w:val="clear" w:color="auto" w:fill="auto"/>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年均总成本费用</w:t>
            </w:r>
          </w:p>
        </w:tc>
        <w:tc>
          <w:tcPr>
            <w:tcW w:w="2624" w:type="dxa"/>
            <w:tcBorders>
              <w:tl2br w:val="nil"/>
              <w:tr2bl w:val="nil"/>
            </w:tcBorders>
            <w:shd w:val="clear" w:color="auto" w:fill="auto"/>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万元</w:t>
            </w:r>
          </w:p>
        </w:tc>
        <w:tc>
          <w:tcPr>
            <w:tcW w:w="2624" w:type="dxa"/>
            <w:tcBorders>
              <w:tl2br w:val="nil"/>
              <w:tr2bl w:val="nil"/>
            </w:tcBorders>
            <w:shd w:val="clear" w:color="auto" w:fill="auto"/>
            <w:vAlign w:val="center"/>
          </w:tcPr>
          <w:p>
            <w:pPr>
              <w:spacing w:line="240" w:lineRule="auto"/>
              <w:ind w:firstLine="0" w:firstLineChars="0"/>
              <w:jc w:val="center"/>
              <w:rPr>
                <w:rFonts w:cs="Times New Roman" w:eastAsiaTheme="minorEastAsia"/>
                <w:sz w:val="21"/>
                <w:szCs w:val="21"/>
              </w:rPr>
            </w:pPr>
            <w:r>
              <w:rPr>
                <w:rFonts w:hint="eastAsia" w:cs="Times New Roman" w:eastAsiaTheme="minorEastAsia"/>
                <w:sz w:val="21"/>
                <w:szCs w:val="21"/>
              </w:rPr>
              <w:t>1</w:t>
            </w:r>
            <w:r>
              <w:rPr>
                <w:rFonts w:cs="Times New Roman" w:eastAsiaTheme="minorEastAsia"/>
                <w:sz w:val="21"/>
                <w:szCs w:val="21"/>
              </w:rPr>
              <w:t>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3281" w:type="dxa"/>
            <w:tcBorders>
              <w:tl2br w:val="nil"/>
              <w:tr2bl w:val="nil"/>
            </w:tcBorders>
            <w:shd w:val="clear" w:color="auto" w:fill="auto"/>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年</w:t>
            </w:r>
            <w:r>
              <w:rPr>
                <w:rFonts w:hint="eastAsia" w:cs="Times New Roman" w:eastAsiaTheme="minorEastAsia"/>
                <w:sz w:val="21"/>
                <w:szCs w:val="21"/>
              </w:rPr>
              <w:t>均</w:t>
            </w:r>
            <w:r>
              <w:rPr>
                <w:rFonts w:cs="Times New Roman" w:eastAsiaTheme="minorEastAsia"/>
                <w:sz w:val="21"/>
                <w:szCs w:val="21"/>
              </w:rPr>
              <w:t>利润总额</w:t>
            </w:r>
          </w:p>
        </w:tc>
        <w:tc>
          <w:tcPr>
            <w:tcW w:w="2624" w:type="dxa"/>
            <w:tcBorders>
              <w:tl2br w:val="nil"/>
              <w:tr2bl w:val="nil"/>
            </w:tcBorders>
            <w:shd w:val="clear" w:color="auto" w:fill="auto"/>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万元</w:t>
            </w:r>
          </w:p>
        </w:tc>
        <w:tc>
          <w:tcPr>
            <w:tcW w:w="2624" w:type="dxa"/>
            <w:tcBorders>
              <w:tl2br w:val="nil"/>
              <w:tr2bl w:val="nil"/>
            </w:tcBorders>
            <w:shd w:val="clear" w:color="auto" w:fill="auto"/>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3281" w:type="dxa"/>
            <w:tcBorders>
              <w:tl2br w:val="nil"/>
              <w:tr2bl w:val="nil"/>
            </w:tcBorders>
            <w:shd w:val="clear" w:color="auto" w:fill="auto"/>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年投资回收期</w:t>
            </w:r>
          </w:p>
        </w:tc>
        <w:tc>
          <w:tcPr>
            <w:tcW w:w="2624" w:type="dxa"/>
            <w:tcBorders>
              <w:tl2br w:val="nil"/>
              <w:tr2bl w:val="nil"/>
            </w:tcBorders>
            <w:shd w:val="clear" w:color="auto" w:fill="auto"/>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年</w:t>
            </w:r>
          </w:p>
        </w:tc>
        <w:tc>
          <w:tcPr>
            <w:tcW w:w="2624" w:type="dxa"/>
            <w:tcBorders>
              <w:tl2br w:val="nil"/>
              <w:tr2bl w:val="nil"/>
            </w:tcBorders>
            <w:shd w:val="clear" w:color="auto" w:fill="auto"/>
            <w:vAlign w:val="center"/>
          </w:tcPr>
          <w:p>
            <w:pPr>
              <w:spacing w:line="240" w:lineRule="auto"/>
              <w:ind w:firstLine="0" w:firstLineChars="0"/>
              <w:jc w:val="center"/>
              <w:rPr>
                <w:rFonts w:cs="Times New Roman" w:eastAsiaTheme="minorEastAsia"/>
                <w:sz w:val="21"/>
                <w:szCs w:val="21"/>
              </w:rPr>
            </w:pPr>
            <w:r>
              <w:rPr>
                <w:rFonts w:cs="Times New Roman" w:eastAsiaTheme="minorEastAsia"/>
                <w:sz w:val="21"/>
                <w:szCs w:val="21"/>
              </w:rPr>
              <w:t>10</w:t>
            </w:r>
          </w:p>
        </w:tc>
      </w:tr>
    </w:tbl>
    <w:p>
      <w:pPr>
        <w:pStyle w:val="5"/>
      </w:pPr>
      <w:r>
        <w:rPr>
          <w:rFonts w:hint="eastAsia"/>
        </w:rPr>
        <w:t>建设项目间接经济效益和社会效益</w:t>
      </w:r>
    </w:p>
    <w:p>
      <w:pPr>
        <w:tabs>
          <w:tab w:val="left" w:pos="525"/>
        </w:tabs>
        <w:autoSpaceDE w:val="0"/>
        <w:autoSpaceDN w:val="0"/>
        <w:adjustRightInd w:val="0"/>
        <w:ind w:firstLine="480"/>
        <w:rPr>
          <w:rFonts w:eastAsiaTheme="minorEastAsia"/>
          <w:color w:val="000000"/>
        </w:rPr>
      </w:pPr>
      <w:r>
        <w:rPr>
          <w:rFonts w:hint="eastAsia" w:eastAsiaTheme="minorEastAsia"/>
          <w:color w:val="000000"/>
        </w:rPr>
        <w:t>建设项目生产在取得直接经济效益的同时，带来一系列的间接经济效益和社会效益：</w:t>
      </w:r>
    </w:p>
    <w:p>
      <w:pPr>
        <w:tabs>
          <w:tab w:val="left" w:pos="525"/>
        </w:tabs>
        <w:autoSpaceDE w:val="0"/>
        <w:autoSpaceDN w:val="0"/>
        <w:adjustRightInd w:val="0"/>
        <w:ind w:firstLine="480"/>
        <w:rPr>
          <w:rFonts w:eastAsiaTheme="minorEastAsia"/>
          <w:color w:val="000000"/>
        </w:rPr>
      </w:pPr>
      <w:r>
        <w:rPr>
          <w:rFonts w:hint="eastAsia" w:eastAsiaTheme="minorEastAsia"/>
          <w:color w:val="000000"/>
        </w:rPr>
        <w:t>1、本项目员工人数为</w:t>
      </w:r>
      <w:r>
        <w:rPr>
          <w:rFonts w:eastAsiaTheme="minorEastAsia"/>
          <w:color w:val="000000"/>
        </w:rPr>
        <w:t>3</w:t>
      </w:r>
      <w:r>
        <w:rPr>
          <w:rFonts w:hint="eastAsia" w:eastAsiaTheme="minorEastAsia"/>
          <w:color w:val="000000"/>
        </w:rPr>
        <w:t>0人，主要是吸纳项目所在地的居民，可增加当地的就业岗位和就业机会，缓解就业压力。</w:t>
      </w:r>
    </w:p>
    <w:p>
      <w:pPr>
        <w:tabs>
          <w:tab w:val="left" w:pos="525"/>
        </w:tabs>
        <w:autoSpaceDE w:val="0"/>
        <w:autoSpaceDN w:val="0"/>
        <w:adjustRightInd w:val="0"/>
        <w:ind w:firstLine="480"/>
        <w:rPr>
          <w:rFonts w:eastAsiaTheme="minorEastAsia"/>
          <w:color w:val="000000"/>
        </w:rPr>
      </w:pPr>
      <w:r>
        <w:rPr>
          <w:rFonts w:hint="eastAsia" w:eastAsiaTheme="minorEastAsia"/>
          <w:color w:val="000000"/>
        </w:rPr>
        <w:t>2、本项目建筑材料、水、电等的消耗为当地带来间接经济效益。</w:t>
      </w:r>
    </w:p>
    <w:p>
      <w:pPr>
        <w:tabs>
          <w:tab w:val="left" w:pos="525"/>
        </w:tabs>
        <w:autoSpaceDE w:val="0"/>
        <w:autoSpaceDN w:val="0"/>
        <w:adjustRightInd w:val="0"/>
        <w:ind w:firstLine="480"/>
        <w:rPr>
          <w:rFonts w:eastAsiaTheme="minorEastAsia"/>
          <w:color w:val="000000"/>
        </w:rPr>
      </w:pPr>
      <w:r>
        <w:rPr>
          <w:rFonts w:hint="eastAsia" w:eastAsiaTheme="minorEastAsia"/>
          <w:color w:val="000000"/>
        </w:rPr>
        <w:t>3、本项目生产设备及原辅材料的采购，将扩大市场需求，带动相关产业的快速发展，为上游行业的发展提供发展机遇，</w:t>
      </w:r>
      <w:r>
        <w:rPr>
          <w:rFonts w:hint="eastAsia" w:eastAsiaTheme="minorEastAsia"/>
          <w:lang w:val="zh-CN"/>
        </w:rPr>
        <w:t>可带动当地一批轻工企业、服务性商业企业的发展，促进区域经济竞争力的提升</w:t>
      </w:r>
      <w:r>
        <w:rPr>
          <w:rFonts w:hint="eastAsia" w:eastAsiaTheme="minorEastAsia"/>
          <w:color w:val="000000"/>
        </w:rPr>
        <w:t>。</w:t>
      </w:r>
    </w:p>
    <w:p>
      <w:pPr>
        <w:tabs>
          <w:tab w:val="left" w:pos="525"/>
        </w:tabs>
        <w:autoSpaceDE w:val="0"/>
        <w:autoSpaceDN w:val="0"/>
        <w:adjustRightInd w:val="0"/>
        <w:ind w:firstLine="480"/>
        <w:rPr>
          <w:rFonts w:eastAsiaTheme="minorEastAsia"/>
          <w:lang w:val="zh-CN"/>
        </w:rPr>
      </w:pPr>
      <w:r>
        <w:rPr>
          <w:rFonts w:hint="eastAsia"/>
        </w:rPr>
        <w:t>4、本项目</w:t>
      </w:r>
      <w:r>
        <w:rPr>
          <w:rFonts w:hint="eastAsia" w:eastAsiaTheme="minorEastAsia"/>
          <w:lang w:val="zh-CN"/>
        </w:rPr>
        <w:t>合法缴纳各项税款，增加地方政府财政收入。使政府能提供更优质、高效的公共服务，提高人民的生活条件。</w:t>
      </w:r>
    </w:p>
    <w:p>
      <w:pPr>
        <w:tabs>
          <w:tab w:val="left" w:pos="525"/>
        </w:tabs>
        <w:autoSpaceDE w:val="0"/>
        <w:autoSpaceDN w:val="0"/>
        <w:adjustRightInd w:val="0"/>
        <w:ind w:firstLine="480"/>
      </w:pPr>
      <w:r>
        <w:rPr>
          <w:rFonts w:hint="eastAsia"/>
        </w:rPr>
        <w:t>可见，项目的建设是能为当地带来良好的经济效益和社会效益。</w:t>
      </w:r>
    </w:p>
    <w:p>
      <w:pPr>
        <w:pStyle w:val="4"/>
      </w:pPr>
      <w:bookmarkStart w:id="653" w:name="_Toc3538816"/>
      <w:r>
        <w:rPr>
          <w:rFonts w:hint="eastAsia"/>
        </w:rPr>
        <w:t>环保投资费用分析</w:t>
      </w:r>
      <w:bookmarkEnd w:id="653"/>
    </w:p>
    <w:p>
      <w:pPr>
        <w:tabs>
          <w:tab w:val="left" w:pos="525"/>
        </w:tabs>
        <w:autoSpaceDE w:val="0"/>
        <w:autoSpaceDN w:val="0"/>
        <w:adjustRightInd w:val="0"/>
        <w:ind w:firstLine="480"/>
        <w:rPr>
          <w:rFonts w:cs="Times New Roman" w:eastAsiaTheme="minorEastAsia"/>
          <w:lang w:val="zh-CN"/>
        </w:rPr>
      </w:pPr>
      <w:r>
        <w:rPr>
          <w:rFonts w:hint="eastAsia" w:cs="Times New Roman" w:eastAsiaTheme="minorEastAsia"/>
          <w:lang w:val="zh-CN"/>
        </w:rPr>
        <w:t>根据《建设项目环境保护设计规定》中的有关条款和有关环境保护法规，结合环境保护和污染防治工作，本项目拟采用一些必要的工程措施。</w:t>
      </w:r>
    </w:p>
    <w:p>
      <w:pPr>
        <w:tabs>
          <w:tab w:val="left" w:pos="525"/>
        </w:tabs>
        <w:autoSpaceDE w:val="0"/>
        <w:autoSpaceDN w:val="0"/>
        <w:adjustRightInd w:val="0"/>
        <w:ind w:firstLine="480"/>
        <w:rPr>
          <w:rFonts w:eastAsiaTheme="minorEastAsia"/>
          <w:lang w:val="zh-CN"/>
        </w:rPr>
      </w:pPr>
      <w:r>
        <w:rPr>
          <w:rFonts w:hint="eastAsia" w:cs="Times New Roman" w:eastAsiaTheme="minorEastAsia"/>
          <w:lang w:val="zh-CN"/>
        </w:rPr>
        <w:t>根据本项目拟采取的环境保护措施和对策，本项目</w:t>
      </w:r>
      <w:r>
        <w:rPr>
          <w:rFonts w:cs="Times New Roman" w:eastAsiaTheme="minorEastAsia"/>
          <w:lang w:val="zh-CN"/>
        </w:rPr>
        <w:t>环境保护的</w:t>
      </w:r>
      <w:r>
        <w:rPr>
          <w:rFonts w:hint="eastAsia" w:cs="Times New Roman" w:eastAsiaTheme="minorEastAsia"/>
          <w:lang w:val="zh-CN"/>
        </w:rPr>
        <w:t>直接投资主要是废气治理方面，此外还包括污水处理措施、噪声防治措施投资、危险废物处置、</w:t>
      </w:r>
      <w:r>
        <w:rPr>
          <w:rFonts w:cs="Times New Roman" w:eastAsiaTheme="minorEastAsia"/>
          <w:lang w:val="zh-CN"/>
        </w:rPr>
        <w:t>事故应急池</w:t>
      </w:r>
      <w:r>
        <w:rPr>
          <w:rFonts w:hint="eastAsia" w:cs="Times New Roman" w:eastAsiaTheme="minorEastAsia"/>
          <w:lang w:val="zh-CN"/>
        </w:rPr>
        <w:t>等费用。</w:t>
      </w:r>
      <w:r>
        <w:rPr>
          <w:rFonts w:hint="eastAsia" w:eastAsiaTheme="minorEastAsia"/>
          <w:lang w:val="zh-CN"/>
        </w:rPr>
        <w:t>本项目投产后环境保护运转费用主要包括“三废”处理设施的运转费、折旧费、排污费和环保监测等管理费</w:t>
      </w:r>
      <w:r>
        <w:rPr>
          <w:rFonts w:hint="eastAsia" w:eastAsiaTheme="minorEastAsia"/>
        </w:rPr>
        <w:t>（包括工资和业务费）</w:t>
      </w:r>
      <w:r>
        <w:rPr>
          <w:rFonts w:hint="eastAsia" w:eastAsiaTheme="minorEastAsia"/>
          <w:lang w:val="zh-CN"/>
        </w:rPr>
        <w:t>。</w:t>
      </w:r>
    </w:p>
    <w:p>
      <w:pPr>
        <w:tabs>
          <w:tab w:val="left" w:pos="525"/>
        </w:tabs>
        <w:autoSpaceDE w:val="0"/>
        <w:autoSpaceDN w:val="0"/>
        <w:adjustRightInd w:val="0"/>
        <w:ind w:firstLine="480"/>
        <w:rPr>
          <w:rFonts w:eastAsiaTheme="minorEastAsia"/>
          <w:lang w:val="zh-CN"/>
        </w:rPr>
      </w:pPr>
      <w:r>
        <w:rPr>
          <w:rFonts w:hint="eastAsia" w:cs="Times New Roman" w:eastAsiaTheme="minorEastAsia"/>
          <w:lang w:val="zh-CN"/>
        </w:rPr>
        <w:t>本项目环境保护投资估算见</w:t>
      </w:r>
      <w:r>
        <w:rPr>
          <w:rFonts w:cs="Times New Roman" w:eastAsiaTheme="minorEastAsia"/>
          <w:lang w:val="zh-CN"/>
        </w:rPr>
        <w:fldChar w:fldCharType="begin"/>
      </w:r>
      <w:r>
        <w:rPr>
          <w:rFonts w:cs="Times New Roman" w:eastAsiaTheme="minorEastAsia"/>
          <w:lang w:val="zh-CN"/>
        </w:rPr>
        <w:instrText xml:space="preserve"> </w:instrText>
      </w:r>
      <w:r>
        <w:rPr>
          <w:rFonts w:hint="eastAsia" w:cs="Times New Roman" w:eastAsiaTheme="minorEastAsia"/>
          <w:lang w:val="zh-CN"/>
        </w:rPr>
        <w:instrText xml:space="preserve">REF _Ref529825391 \r \h</w:instrText>
      </w:r>
      <w:r>
        <w:rPr>
          <w:rFonts w:cs="Times New Roman" w:eastAsiaTheme="minorEastAsia"/>
          <w:lang w:val="zh-CN"/>
        </w:rPr>
        <w:instrText xml:space="preserve">  \* MERGEFORMAT </w:instrText>
      </w:r>
      <w:r>
        <w:rPr>
          <w:rFonts w:cs="Times New Roman" w:eastAsiaTheme="minorEastAsia"/>
          <w:lang w:val="zh-CN"/>
        </w:rPr>
        <w:fldChar w:fldCharType="separate"/>
      </w:r>
      <w:r>
        <w:rPr>
          <w:rFonts w:cs="Times New Roman" w:eastAsiaTheme="minorEastAsia"/>
          <w:lang w:val="zh-CN"/>
        </w:rPr>
        <w:t>5.7</w:t>
      </w:r>
      <w:r>
        <w:rPr>
          <w:rFonts w:cs="Times New Roman" w:eastAsiaTheme="minorEastAsia"/>
          <w:lang w:val="zh-CN"/>
        </w:rPr>
        <w:fldChar w:fldCharType="end"/>
      </w:r>
      <w:r>
        <w:rPr>
          <w:rFonts w:hint="eastAsia" w:cs="Times New Roman" w:eastAsiaTheme="minorEastAsia"/>
          <w:lang w:val="zh-CN"/>
        </w:rPr>
        <w:t>节</w:t>
      </w:r>
      <w:r>
        <w:rPr>
          <w:rFonts w:cs="Times New Roman" w:eastAsiaTheme="minorEastAsia"/>
          <w:lang w:val="zh-CN"/>
        </w:rPr>
        <w:fldChar w:fldCharType="begin"/>
      </w:r>
      <w:r>
        <w:rPr>
          <w:rFonts w:cs="Times New Roman" w:eastAsiaTheme="minorEastAsia"/>
          <w:lang w:val="zh-CN"/>
        </w:rPr>
        <w:instrText xml:space="preserve"> </w:instrText>
      </w:r>
      <w:r>
        <w:rPr>
          <w:rFonts w:hint="eastAsia" w:cs="Times New Roman" w:eastAsiaTheme="minorEastAsia"/>
          <w:lang w:val="zh-CN"/>
        </w:rPr>
        <w:instrText xml:space="preserve">REF _Ref529287955 \h</w:instrText>
      </w:r>
      <w:r>
        <w:rPr>
          <w:rFonts w:cs="Times New Roman" w:eastAsiaTheme="minorEastAsia"/>
          <w:lang w:val="zh-CN"/>
        </w:rPr>
        <w:instrText xml:space="preserve">  \* MERGEFORMAT </w:instrText>
      </w:r>
      <w:r>
        <w:rPr>
          <w:rFonts w:cs="Times New Roman" w:eastAsiaTheme="minorEastAsia"/>
          <w:lang w:val="zh-CN"/>
        </w:rPr>
        <w:fldChar w:fldCharType="separate"/>
      </w:r>
      <w:r>
        <w:rPr>
          <w:rFonts w:hint="eastAsia"/>
        </w:rPr>
        <w:t xml:space="preserve">表 </w:t>
      </w:r>
      <w:r>
        <w:t>5.7</w:t>
      </w:r>
      <w:r>
        <w:noBreakHyphen/>
      </w:r>
      <w:r>
        <w:t>1</w:t>
      </w:r>
      <w:r>
        <w:rPr>
          <w:rFonts w:cs="Times New Roman" w:eastAsiaTheme="minorEastAsia"/>
          <w:lang w:val="zh-CN"/>
        </w:rPr>
        <w:fldChar w:fldCharType="end"/>
      </w:r>
      <w:r>
        <w:rPr>
          <w:rFonts w:hint="eastAsia" w:cs="Times New Roman" w:eastAsiaTheme="minorEastAsia"/>
          <w:lang w:val="zh-CN"/>
        </w:rPr>
        <w:t>，可知</w:t>
      </w:r>
      <w:r>
        <w:rPr>
          <w:rFonts w:hint="eastAsia"/>
        </w:rPr>
        <w:t>环保设施建设投资初步估算约为</w:t>
      </w:r>
      <w:r>
        <w:t>3</w:t>
      </w:r>
      <w:r>
        <w:rPr>
          <w:rFonts w:hint="eastAsia"/>
        </w:rPr>
        <w:t>0万元，约占总投资的</w:t>
      </w:r>
      <w:r>
        <w:t>15</w:t>
      </w:r>
      <w:r>
        <w:rPr>
          <w:rFonts w:hint="eastAsia"/>
        </w:rPr>
        <w:t>%；环保设施运转费用约</w:t>
      </w:r>
      <w:r>
        <w:rPr>
          <w:rFonts w:eastAsiaTheme="minorEastAsia"/>
        </w:rPr>
        <w:t>4.5</w:t>
      </w:r>
      <w:r>
        <w:rPr>
          <w:rFonts w:hint="eastAsia" w:eastAsiaTheme="minorEastAsia"/>
        </w:rPr>
        <w:t>万元，约占年生产值的</w:t>
      </w:r>
      <w:r>
        <w:rPr>
          <w:rFonts w:eastAsiaTheme="minorEastAsia"/>
        </w:rPr>
        <w:t>0.44%</w:t>
      </w:r>
      <w:r>
        <w:rPr>
          <w:rFonts w:hint="eastAsia" w:eastAsiaTheme="minorEastAsia"/>
        </w:rPr>
        <w:t>。环保费用不高，其环保投资额度是基本合理的。</w:t>
      </w:r>
    </w:p>
    <w:p>
      <w:pPr>
        <w:pStyle w:val="4"/>
      </w:pPr>
      <w:bookmarkStart w:id="654" w:name="_Toc267548602"/>
      <w:bookmarkStart w:id="655" w:name="_Toc7099"/>
      <w:bookmarkStart w:id="656" w:name="_Toc9803"/>
      <w:bookmarkStart w:id="657" w:name="_Toc482175826"/>
      <w:bookmarkStart w:id="658" w:name="_Toc3538817"/>
      <w:bookmarkStart w:id="659" w:name="_Toc456647186"/>
      <w:bookmarkStart w:id="660" w:name="_Toc479599704"/>
      <w:r>
        <w:t>环境</w:t>
      </w:r>
      <w:r>
        <w:rPr>
          <w:rFonts w:hint="eastAsia"/>
        </w:rPr>
        <w:t>影响</w:t>
      </w:r>
      <w:r>
        <w:t>损益分析</w:t>
      </w:r>
      <w:bookmarkEnd w:id="654"/>
      <w:bookmarkEnd w:id="655"/>
      <w:bookmarkEnd w:id="656"/>
      <w:bookmarkEnd w:id="657"/>
      <w:bookmarkEnd w:id="658"/>
      <w:bookmarkEnd w:id="659"/>
      <w:bookmarkEnd w:id="660"/>
    </w:p>
    <w:p>
      <w:pPr>
        <w:pStyle w:val="5"/>
      </w:pPr>
      <w:r>
        <w:rPr>
          <w:rFonts w:hint="eastAsia"/>
        </w:rPr>
        <w:t>资源损失分析</w:t>
      </w:r>
    </w:p>
    <w:p>
      <w:pPr>
        <w:ind w:firstLine="480"/>
      </w:pPr>
      <w:r>
        <w:rPr>
          <w:rFonts w:hint="eastAsia"/>
        </w:rPr>
        <w:t>本项目资源损失主要是生产过程中裁切过程边角料、不合格品的损耗。原料和产品的流失量与员工的操作水平、清洁生产水平以及环保管理措施是否有效落实等因素有关，其情况较为复杂，不确定因素多，无法精确计算。由于本项目各种原材料的利用率较高，且边角料、废品均外卖给专业公司，因此生产过程资源流失量不大。</w:t>
      </w:r>
    </w:p>
    <w:p>
      <w:pPr>
        <w:pStyle w:val="5"/>
        <w:rPr>
          <w:lang w:val="zh-CN"/>
        </w:rPr>
      </w:pPr>
      <w:bookmarkStart w:id="661" w:name="_Toc267548603"/>
      <w:bookmarkStart w:id="662" w:name="_Toc479599705"/>
      <w:bookmarkStart w:id="663" w:name="_Toc456647187"/>
      <w:r>
        <w:rPr>
          <w:rFonts w:hint="eastAsia"/>
          <w:lang w:val="zh-CN"/>
        </w:rPr>
        <w:t>环境损害分析</w:t>
      </w:r>
    </w:p>
    <w:p>
      <w:pPr>
        <w:ind w:firstLine="480"/>
        <w:rPr>
          <w:rFonts w:eastAsiaTheme="minorEastAsia"/>
          <w:lang w:val="zh-CN"/>
        </w:rPr>
      </w:pPr>
      <w:r>
        <w:rPr>
          <w:rFonts w:hint="eastAsia" w:eastAsiaTheme="minorEastAsia"/>
          <w:lang w:val="zh-CN"/>
        </w:rPr>
        <w:t>工程的环境损害主要包括大气污染损害、水污染损害和噪声影响损害。</w:t>
      </w:r>
    </w:p>
    <w:p>
      <w:pPr>
        <w:ind w:firstLine="480"/>
        <w:rPr>
          <w:rFonts w:eastAsiaTheme="minorEastAsia"/>
          <w:lang w:val="zh-CN"/>
        </w:rPr>
      </w:pPr>
      <w:r>
        <w:rPr>
          <w:rFonts w:hint="eastAsia" w:eastAsiaTheme="minorEastAsia"/>
          <w:lang w:val="zh-CN"/>
        </w:rPr>
        <w:t>大气污染损害主要表现在生产过程中产生的粉尘、有机废气、硫化氢及恶臭等，废气排放后可能引起周围人群发病率增高，体质下降。通过工程分析及环境影响预测分析，只要加强管理，落实环保措施，上述废气达标排放时对周围环境和人体健康的影响不大，因此大气污染损害不大。但应该注意的是，在超标排放或出现事故、不利气象条件时，对周围环境空气质量的影响将明显增加，将引起比较大的大气环境损失。</w:t>
      </w:r>
    </w:p>
    <w:p>
      <w:pPr>
        <w:ind w:firstLine="480"/>
        <w:rPr>
          <w:rFonts w:eastAsiaTheme="minorEastAsia"/>
          <w:lang w:val="zh-CN"/>
        </w:rPr>
      </w:pPr>
      <w:r>
        <w:rPr>
          <w:rFonts w:hint="eastAsia" w:eastAsiaTheme="minorEastAsia"/>
          <w:lang w:val="zh-CN"/>
        </w:rPr>
        <w:t>项目不产生生产废水</w:t>
      </w:r>
      <w:r>
        <w:rPr>
          <w:rFonts w:hint="eastAsia"/>
        </w:rPr>
        <w:t>，废气处理系统的喷淋废水定期交由有资质的单位处理，不外排；生活污水经独立的处理设施处理后</w:t>
      </w:r>
      <w:r>
        <w:rPr>
          <w:rFonts w:hint="eastAsia" w:eastAsiaTheme="minorEastAsia"/>
          <w:lang w:val="zh-CN"/>
        </w:rPr>
        <w:t>达标排入附近排污渠，对环境影响不明显，因此水体污染损害不明显。</w:t>
      </w:r>
    </w:p>
    <w:p>
      <w:pPr>
        <w:ind w:firstLine="480"/>
        <w:rPr>
          <w:rFonts w:eastAsiaTheme="minorEastAsia"/>
          <w:lang w:val="zh-CN"/>
        </w:rPr>
      </w:pPr>
      <w:r>
        <w:rPr>
          <w:rFonts w:hint="eastAsia" w:eastAsiaTheme="minorEastAsia"/>
          <w:lang w:val="zh-CN"/>
        </w:rPr>
        <w:t>噪声影响损害表现在噪声可能使人们听力或健康受到损伤，降低人们的工作效率、 影响睡眠等。本项目距离最近的敏感点为</w:t>
      </w:r>
      <w:r>
        <w:rPr>
          <w:rFonts w:eastAsiaTheme="minorEastAsia"/>
          <w:lang w:val="zh-CN"/>
        </w:rPr>
        <w:t>220</w:t>
      </w:r>
      <w:r>
        <w:rPr>
          <w:rFonts w:hint="eastAsia" w:eastAsiaTheme="minorEastAsia"/>
          <w:lang w:val="zh-CN"/>
        </w:rPr>
        <w:t>m处的下莲塘，本项目噪声源强不大，再通过厂房墙体和围墙隔声以及距离衰减，对环境敏感点的影响不大，因此噪声影响损害不明显。</w:t>
      </w:r>
    </w:p>
    <w:p>
      <w:pPr>
        <w:pStyle w:val="5"/>
        <w:rPr>
          <w:lang w:val="zh-CN"/>
        </w:rPr>
      </w:pPr>
      <w:r>
        <w:rPr>
          <w:rFonts w:hint="eastAsia"/>
          <w:lang w:val="zh-CN"/>
        </w:rPr>
        <w:t>环境效益分析</w:t>
      </w:r>
    </w:p>
    <w:p>
      <w:pPr>
        <w:ind w:firstLine="480"/>
        <w:rPr>
          <w:rFonts w:eastAsiaTheme="minorEastAsia"/>
          <w:lang w:val="zh-CN"/>
        </w:rPr>
      </w:pPr>
      <w:r>
        <w:rPr>
          <w:rFonts w:hint="eastAsia" w:eastAsiaTheme="minorEastAsia"/>
          <w:lang w:val="zh-CN"/>
        </w:rPr>
        <w:t>（1）废水治理的环境效益</w:t>
      </w:r>
    </w:p>
    <w:p>
      <w:pPr>
        <w:ind w:firstLine="480"/>
        <w:rPr>
          <w:rFonts w:eastAsiaTheme="minorEastAsia"/>
          <w:lang w:val="zh-CN"/>
        </w:rPr>
      </w:pPr>
      <w:r>
        <w:rPr>
          <w:rFonts w:hint="eastAsia" w:eastAsiaTheme="minorEastAsia"/>
          <w:lang w:val="zh-CN"/>
        </w:rPr>
        <w:t>项目生活污水经处理后达标排放，不会对纳污水体造成明显影响，废水治理环境效益明显。</w:t>
      </w:r>
    </w:p>
    <w:p>
      <w:pPr>
        <w:ind w:firstLine="480"/>
        <w:rPr>
          <w:rFonts w:eastAsiaTheme="minorEastAsia"/>
          <w:lang w:val="zh-CN"/>
        </w:rPr>
      </w:pPr>
      <w:r>
        <w:rPr>
          <w:rFonts w:hint="eastAsia" w:eastAsiaTheme="minorEastAsia"/>
          <w:lang w:val="zh-CN"/>
        </w:rPr>
        <w:t>（2）废气治理的环境效益</w:t>
      </w:r>
    </w:p>
    <w:p>
      <w:pPr>
        <w:ind w:firstLine="480"/>
        <w:rPr>
          <w:rFonts w:eastAsiaTheme="minorEastAsia"/>
          <w:lang w:val="zh-CN"/>
        </w:rPr>
      </w:pPr>
      <w:r>
        <w:rPr>
          <w:rFonts w:hint="eastAsia" w:eastAsiaTheme="minorEastAsia"/>
          <w:lang w:val="zh-CN"/>
        </w:rPr>
        <w:t>本项目产生的废气种类不多，量也不大，通过有效治理，可大幅减少大气污染物的排放，减少对周围大气环境的影响，也避免了废气排放后引起人群发病率增高、体质下降的后果。</w:t>
      </w:r>
    </w:p>
    <w:p>
      <w:pPr>
        <w:ind w:firstLine="480"/>
        <w:rPr>
          <w:rFonts w:eastAsiaTheme="minorEastAsia"/>
          <w:lang w:val="zh-CN"/>
        </w:rPr>
      </w:pPr>
      <w:r>
        <w:rPr>
          <w:rFonts w:hint="eastAsia" w:eastAsiaTheme="minorEastAsia"/>
          <w:lang w:val="zh-CN"/>
        </w:rPr>
        <w:t>（3）环境风险防范的环境效益</w:t>
      </w:r>
    </w:p>
    <w:p>
      <w:pPr>
        <w:ind w:firstLine="480"/>
        <w:rPr>
          <w:rFonts w:eastAsiaTheme="minorEastAsia"/>
          <w:lang w:val="zh-CN"/>
        </w:rPr>
      </w:pPr>
      <w:r>
        <w:rPr>
          <w:rFonts w:hint="eastAsia" w:eastAsiaTheme="minorEastAsia"/>
          <w:lang w:val="zh-CN"/>
        </w:rPr>
        <w:t>项目化学品的贮存和使用量均不构成重大危险源，项目营运期间采取风险防范措施，完善风险应急预案，可以避免对周围环境的影响。</w:t>
      </w:r>
    </w:p>
    <w:p>
      <w:pPr>
        <w:ind w:firstLine="480"/>
        <w:rPr>
          <w:rFonts w:eastAsiaTheme="minorEastAsia"/>
          <w:lang w:val="zh-CN"/>
        </w:rPr>
      </w:pPr>
      <w:r>
        <w:rPr>
          <w:rFonts w:hint="eastAsia" w:eastAsiaTheme="minorEastAsia"/>
          <w:lang w:val="zh-CN"/>
        </w:rPr>
        <w:t>（4）固体废物处理的环境效益</w:t>
      </w:r>
    </w:p>
    <w:p>
      <w:pPr>
        <w:ind w:firstLine="480"/>
        <w:rPr>
          <w:rFonts w:eastAsiaTheme="minorEastAsia"/>
          <w:lang w:val="zh-CN"/>
        </w:rPr>
      </w:pPr>
      <w:r>
        <w:rPr>
          <w:rFonts w:hint="eastAsia" w:eastAsiaTheme="minorEastAsia"/>
          <w:lang w:val="zh-CN"/>
        </w:rPr>
        <w:t>本项目产生的一般工业固废外卖专业公司回收利用；危险废物（废饱和活性炭、</w:t>
      </w:r>
      <w:r>
        <w:rPr>
          <w:rFonts w:hint="eastAsia"/>
        </w:rPr>
        <w:t>废润滑油、含油废抹布</w:t>
      </w:r>
      <w:r>
        <w:rPr>
          <w:rFonts w:hint="eastAsia" w:eastAsiaTheme="minorEastAsia"/>
          <w:lang w:val="zh-CN"/>
        </w:rPr>
        <w:t>）交由有资质单位处理；员工办公生活垃圾拟按指定地点堆放，每日由环卫部门清理运走统一处理，并对垃圾堆放点进行定期的清洁消毒。因此，如处理与处置得当，可避免固体废物对周围环境的影响。</w:t>
      </w:r>
    </w:p>
    <w:bookmarkEnd w:id="661"/>
    <w:bookmarkEnd w:id="662"/>
    <w:bookmarkEnd w:id="663"/>
    <w:p>
      <w:pPr>
        <w:pStyle w:val="4"/>
        <w:rPr>
          <w:lang w:val="zh-CN"/>
        </w:rPr>
      </w:pPr>
      <w:bookmarkStart w:id="664" w:name="_Toc3538818"/>
      <w:bookmarkStart w:id="665" w:name="_Toc267548606"/>
      <w:bookmarkStart w:id="666" w:name="_Toc479599708"/>
      <w:bookmarkStart w:id="667" w:name="_Toc456647190"/>
      <w:r>
        <w:rPr>
          <w:rFonts w:hint="eastAsia"/>
          <w:lang w:val="zh-CN"/>
        </w:rPr>
        <w:t>综合评价</w:t>
      </w:r>
      <w:bookmarkEnd w:id="664"/>
    </w:p>
    <w:p>
      <w:pPr>
        <w:ind w:firstLine="480"/>
        <w:rPr>
          <w:rFonts w:eastAsiaTheme="minorEastAsia"/>
          <w:lang w:val="zh-CN"/>
        </w:rPr>
      </w:pPr>
      <w:r>
        <w:rPr>
          <w:rFonts w:hint="eastAsia" w:eastAsiaTheme="minorEastAsia"/>
          <w:lang w:val="zh-CN"/>
        </w:rPr>
        <w:t>在社会效益方面，本项目提供就业和地方税收，对促进地方的经济发展有重要贡献。</w:t>
      </w:r>
    </w:p>
    <w:p>
      <w:pPr>
        <w:ind w:firstLine="480"/>
        <w:rPr>
          <w:rFonts w:eastAsiaTheme="minorEastAsia"/>
          <w:lang w:val="zh-CN"/>
        </w:rPr>
      </w:pPr>
      <w:r>
        <w:rPr>
          <w:rFonts w:hint="eastAsia" w:eastAsiaTheme="minorEastAsia"/>
          <w:lang w:val="zh-CN"/>
        </w:rPr>
        <w:t>在环境效益方面，本项目的建设和运营会对环境产生一定的影响，但在工程建设中，只要严格执行有关的法律、法规，环保措施执行“三同时”制度，可保证对环境的影响控制在允许范围之内。</w:t>
      </w:r>
    </w:p>
    <w:p>
      <w:pPr>
        <w:ind w:firstLine="480"/>
        <w:rPr>
          <w:rFonts w:eastAsiaTheme="minorEastAsia"/>
          <w:lang w:val="zh-CN"/>
        </w:rPr>
      </w:pPr>
      <w:r>
        <w:rPr>
          <w:rFonts w:hint="eastAsia" w:eastAsiaTheme="minorEastAsia"/>
          <w:lang w:val="zh-CN"/>
        </w:rPr>
        <w:t>在经济效益方面，项目投资利润率与投资利税率较高，有较好的经济效益。</w:t>
      </w:r>
    </w:p>
    <w:p>
      <w:pPr>
        <w:ind w:firstLine="480"/>
        <w:rPr>
          <w:rFonts w:eastAsiaTheme="minorEastAsia"/>
          <w:lang w:val="zh-CN"/>
        </w:rPr>
      </w:pPr>
      <w:r>
        <w:rPr>
          <w:rFonts w:hint="eastAsia" w:eastAsiaTheme="minorEastAsia"/>
          <w:lang w:val="zh-CN"/>
        </w:rPr>
        <w:t>以上三方面的分析结果表明，本项目具有良好的经济效益和社会效益，对环境的影响损失较小，对促进地方的经济发展有积极意义。</w:t>
      </w:r>
    </w:p>
    <w:p>
      <w:pPr>
        <w:ind w:firstLine="480"/>
        <w:rPr>
          <w:rFonts w:eastAsiaTheme="minorEastAsia"/>
          <w:lang w:val="zh-CN"/>
        </w:rPr>
      </w:pPr>
      <w:r>
        <w:rPr>
          <w:rFonts w:hint="eastAsia" w:eastAsiaTheme="minorEastAsia"/>
          <w:lang w:val="zh-CN"/>
        </w:rPr>
        <w:t>综合以上分析，本项目的开发建设，将带来相当大社会效益，针对项目暴露出来的环境问题而采取相应污染防治措施后，其代价较小。本项目所带来的社会和环境效益远远大于资源和环境污染造成的损失，从环境经济方面来看，项目具备可行性。</w:t>
      </w:r>
    </w:p>
    <w:bookmarkEnd w:id="665"/>
    <w:bookmarkEnd w:id="666"/>
    <w:bookmarkEnd w:id="667"/>
    <w:p>
      <w:pPr>
        <w:ind w:firstLine="480"/>
        <w:rPr>
          <w:rFonts w:eastAsiaTheme="minorEastAsia"/>
        </w:rPr>
      </w:pPr>
      <w:r>
        <w:rPr>
          <w:rFonts w:eastAsiaTheme="minorEastAsia"/>
        </w:rPr>
        <w:br w:type="page"/>
      </w:r>
    </w:p>
    <w:p>
      <w:pPr>
        <w:pStyle w:val="3"/>
        <w:rPr>
          <w:rFonts w:eastAsiaTheme="minorEastAsia"/>
        </w:rPr>
      </w:pPr>
      <w:bookmarkStart w:id="668" w:name="_Toc329784242"/>
      <w:bookmarkStart w:id="669" w:name="_Toc307847933"/>
      <w:bookmarkStart w:id="670" w:name="_Toc21473"/>
      <w:bookmarkStart w:id="671" w:name="_Toc331536294"/>
      <w:bookmarkStart w:id="672" w:name="_Toc7426"/>
      <w:bookmarkStart w:id="673" w:name="_Toc3538819"/>
      <w:r>
        <w:rPr>
          <w:rFonts w:eastAsiaTheme="minorEastAsia"/>
        </w:rPr>
        <w:t>环境管理与监测计划</w:t>
      </w:r>
      <w:bookmarkEnd w:id="668"/>
      <w:bookmarkEnd w:id="669"/>
      <w:bookmarkEnd w:id="670"/>
      <w:bookmarkEnd w:id="671"/>
      <w:bookmarkEnd w:id="672"/>
      <w:bookmarkEnd w:id="673"/>
    </w:p>
    <w:p>
      <w:pPr>
        <w:ind w:firstLine="480"/>
      </w:pPr>
      <w:r>
        <w:rPr>
          <w:rFonts w:hint="eastAsia"/>
        </w:rPr>
        <w:t>企业的环境管理是指对企业环境保护措施的实施进行管理。项目建设完成投入运行后，其环境管理是一项长期的管理工作，必须建立完善的管理机构和体系，并在此基础上建立健全各项环境监督和管理制度。完善的环境管理是减少项目对周围环境的影响的重要条件。</w:t>
      </w:r>
    </w:p>
    <w:p>
      <w:pPr>
        <w:ind w:firstLine="480"/>
      </w:pPr>
      <w:r>
        <w:rPr>
          <w:rFonts w:hint="eastAsia"/>
        </w:rPr>
        <w:t>环境监测是企业环境管理的一个重要组成部分。通过对监测数据进行综合分析，可以掌握各种污染物含量和排放规律，指导制定有效的污染控制和治理方案。同时，对污染物排放口进行监测可以了解污染物是否达标排放。因此环境监测为企业的环境管理指出了方向，并为企业贯彻国家和地方有关环保政策、法律、规定、标准等提供依据。</w:t>
      </w:r>
    </w:p>
    <w:p>
      <w:pPr>
        <w:pStyle w:val="4"/>
      </w:pPr>
      <w:bookmarkStart w:id="674" w:name="_Toc331536295"/>
      <w:bookmarkStart w:id="675" w:name="_Toc8375"/>
      <w:bookmarkStart w:id="676" w:name="_Toc31526"/>
      <w:bookmarkStart w:id="677" w:name="_Toc307847934"/>
      <w:bookmarkStart w:id="678" w:name="_Toc329784243"/>
      <w:bookmarkStart w:id="679" w:name="_Toc3538820"/>
      <w:r>
        <w:t>环境管理</w:t>
      </w:r>
      <w:bookmarkEnd w:id="674"/>
      <w:bookmarkEnd w:id="675"/>
      <w:bookmarkEnd w:id="676"/>
      <w:bookmarkEnd w:id="677"/>
      <w:bookmarkEnd w:id="678"/>
      <w:r>
        <w:rPr>
          <w:rFonts w:hint="eastAsia"/>
        </w:rPr>
        <w:t>制度</w:t>
      </w:r>
      <w:bookmarkEnd w:id="679"/>
    </w:p>
    <w:p>
      <w:pPr>
        <w:pStyle w:val="5"/>
      </w:pPr>
      <w:bookmarkStart w:id="680" w:name="_Toc179530178"/>
      <w:bookmarkStart w:id="681" w:name="_Toc331536296"/>
      <w:bookmarkStart w:id="682" w:name="_Toc92651486"/>
      <w:bookmarkStart w:id="683" w:name="_Toc79812644"/>
      <w:bookmarkStart w:id="684" w:name="_Toc159038816"/>
      <w:bookmarkStart w:id="685" w:name="_Toc82771352"/>
      <w:r>
        <w:t>设立环境保护管理机构</w:t>
      </w:r>
      <w:bookmarkEnd w:id="680"/>
      <w:bookmarkEnd w:id="681"/>
      <w:bookmarkEnd w:id="682"/>
      <w:bookmarkEnd w:id="683"/>
      <w:bookmarkEnd w:id="684"/>
      <w:bookmarkEnd w:id="685"/>
    </w:p>
    <w:p>
      <w:pPr>
        <w:pStyle w:val="6"/>
      </w:pPr>
      <w:r>
        <w:t>环境保护管理</w:t>
      </w:r>
      <w:r>
        <w:rPr>
          <w:rFonts w:hint="eastAsia"/>
        </w:rPr>
        <w:t>机构设置</w:t>
      </w:r>
    </w:p>
    <w:p>
      <w:pPr>
        <w:ind w:firstLine="480"/>
        <w:rPr>
          <w:rFonts w:eastAsiaTheme="minorEastAsia"/>
        </w:rPr>
      </w:pPr>
      <w:r>
        <w:rPr>
          <w:rFonts w:hint="eastAsia" w:eastAsiaTheme="minorEastAsia"/>
        </w:rPr>
        <w:t>根据《建设项目环境保护设计规定》，新建、扩建企业应设置环境保护管理机构，负责组织、落实、监督本企业环保工作，因此，本工程需建立相应的管理机构，以落实和实施环境管理制度。</w:t>
      </w:r>
    </w:p>
    <w:p>
      <w:pPr>
        <w:ind w:firstLine="480"/>
        <w:rPr>
          <w:rFonts w:eastAsiaTheme="minorEastAsia"/>
        </w:rPr>
      </w:pPr>
      <w:r>
        <w:rPr>
          <w:rFonts w:hint="eastAsia" w:eastAsiaTheme="minorEastAsia"/>
        </w:rPr>
        <w:t>环保管理人员应具备生产管理经验和环保基础知识和清洁生产知识，熟悉企业生产特点，由责任心、组织能力强的人员担任；同时在各车间培训若干有经验、责任心强的技术人员担任车间兼职环保管理人员，以随时掌握企业生产状况和各项环保设施的运行情况，同时也有利于环保措施的落实。</w:t>
      </w:r>
    </w:p>
    <w:p>
      <w:pPr>
        <w:ind w:firstLine="480"/>
        <w:rPr>
          <w:rFonts w:eastAsiaTheme="minorEastAsia"/>
          <w:lang w:val="zh-CN"/>
        </w:rPr>
      </w:pPr>
      <w:r>
        <w:rPr>
          <w:rFonts w:hint="eastAsia" w:eastAsiaTheme="minorEastAsia"/>
          <w:lang w:val="zh-CN"/>
        </w:rPr>
        <w:t>建议设立内部环境保护管理机构，专人负责环境保护工作，实行定岗定员，岗位责任制，负责各生产环节的环境保护管理，保证环保设施的正常运行。</w:t>
      </w:r>
    </w:p>
    <w:p>
      <w:pPr>
        <w:ind w:firstLine="480"/>
        <w:rPr>
          <w:rFonts w:eastAsiaTheme="minorEastAsia"/>
          <w:lang w:val="zh-CN"/>
        </w:rPr>
      </w:pPr>
      <w:r>
        <w:rPr>
          <w:rFonts w:hint="eastAsia" w:eastAsiaTheme="minorEastAsia"/>
          <w:lang w:val="zh-CN"/>
        </w:rPr>
        <w:t>此外，为提高环保工作的质量，公司要加强环境管理人员、环境监测人员以及兼职环保员的业务培训，并有一定的经费保证培训的实施。环保专员需培训合格后方可上岗。</w:t>
      </w:r>
    </w:p>
    <w:p>
      <w:pPr>
        <w:pStyle w:val="6"/>
      </w:pPr>
      <w:r>
        <w:t>环境管理</w:t>
      </w:r>
      <w:r>
        <w:rPr>
          <w:rFonts w:hint="eastAsia"/>
        </w:rPr>
        <w:t>机构</w:t>
      </w:r>
      <w:r>
        <w:t>的具体职责</w:t>
      </w:r>
    </w:p>
    <w:p>
      <w:pPr>
        <w:ind w:firstLine="480"/>
        <w:rPr>
          <w:rFonts w:eastAsiaTheme="minorEastAsia"/>
          <w:lang w:val="zh-CN"/>
        </w:rPr>
      </w:pPr>
      <w:r>
        <w:rPr>
          <w:rFonts w:hint="eastAsia" w:eastAsiaTheme="minorEastAsia"/>
          <w:lang w:val="zh-CN"/>
        </w:rPr>
        <w:t>环境保护管理机构的具体职责包括：</w:t>
      </w:r>
    </w:p>
    <w:p>
      <w:pPr>
        <w:pStyle w:val="126"/>
        <w:numPr>
          <w:ilvl w:val="0"/>
          <w:numId w:val="68"/>
        </w:numPr>
        <w:ind w:firstLine="482"/>
        <w:rPr>
          <w:lang w:val="zh-CN"/>
        </w:rPr>
      </w:pPr>
      <w:r>
        <w:rPr>
          <w:rFonts w:hint="eastAsia"/>
          <w:lang w:val="zh-CN"/>
        </w:rPr>
        <w:t>配合环境保护行政主管部门的工作</w:t>
      </w:r>
    </w:p>
    <w:p>
      <w:pPr>
        <w:ind w:firstLine="480"/>
        <w:rPr>
          <w:lang w:val="zh-CN"/>
        </w:rPr>
      </w:pPr>
      <w:r>
        <w:rPr>
          <w:rFonts w:hint="eastAsia"/>
          <w:lang w:val="zh-CN"/>
        </w:rPr>
        <w:t>该部门应及时向当地环境保护主管部门申报登记污染物排放情况，积极配合政府环境监测部门的监督检查工作，并按要求上报各项环保工作的执行情况。</w:t>
      </w:r>
    </w:p>
    <w:p>
      <w:pPr>
        <w:pStyle w:val="126"/>
        <w:numPr>
          <w:ilvl w:val="0"/>
          <w:numId w:val="68"/>
        </w:numPr>
        <w:ind w:firstLine="482"/>
        <w:rPr>
          <w:lang w:val="zh-CN"/>
        </w:rPr>
      </w:pPr>
      <w:r>
        <w:rPr>
          <w:rFonts w:hint="eastAsia"/>
          <w:lang w:val="zh-CN"/>
        </w:rPr>
        <w:t>制定并实施企业环境保护计划</w:t>
      </w:r>
    </w:p>
    <w:p>
      <w:pPr>
        <w:ind w:firstLine="480"/>
        <w:rPr>
          <w:lang w:val="zh-CN"/>
        </w:rPr>
      </w:pPr>
      <w:r>
        <w:rPr>
          <w:rFonts w:hint="eastAsia"/>
          <w:lang w:val="zh-CN"/>
        </w:rPr>
        <w:t>该部门应根据企业的实际情况，制定企业的环境保护计划，并组织实施。</w:t>
      </w:r>
    </w:p>
    <w:p>
      <w:pPr>
        <w:pStyle w:val="126"/>
        <w:numPr>
          <w:ilvl w:val="0"/>
          <w:numId w:val="68"/>
        </w:numPr>
        <w:ind w:firstLine="482"/>
        <w:rPr>
          <w:lang w:val="zh-CN"/>
        </w:rPr>
      </w:pPr>
      <w:r>
        <w:rPr>
          <w:rFonts w:hint="eastAsia"/>
          <w:lang w:val="zh-CN"/>
        </w:rPr>
        <w:t>制定环境保护工程治理方案，建立环境保护设施</w:t>
      </w:r>
    </w:p>
    <w:p>
      <w:pPr>
        <w:ind w:firstLine="480"/>
        <w:rPr>
          <w:lang w:val="zh-CN"/>
        </w:rPr>
      </w:pPr>
      <w:r>
        <w:rPr>
          <w:rFonts w:hint="eastAsia"/>
          <w:lang w:val="zh-CN"/>
        </w:rPr>
        <w:t>该部门应根据项目产生的污染物状况以及企业的环境保护计划，制定环境保护工程治理方案，建立环境保护设施。环境保护设施必须保证与主体工程项目同时施工、同时投入运行。项目竣工后，环境保护设施必须经环保主管部门验收，合格后方可使用。</w:t>
      </w:r>
    </w:p>
    <w:p>
      <w:pPr>
        <w:pStyle w:val="126"/>
        <w:numPr>
          <w:ilvl w:val="0"/>
          <w:numId w:val="68"/>
        </w:numPr>
        <w:ind w:firstLine="482"/>
        <w:rPr>
          <w:lang w:val="zh-CN"/>
        </w:rPr>
      </w:pPr>
      <w:r>
        <w:rPr>
          <w:rFonts w:hint="eastAsia"/>
          <w:lang w:val="zh-CN"/>
        </w:rPr>
        <w:t>监督和检查环境保护设施运行状况</w:t>
      </w:r>
    </w:p>
    <w:p>
      <w:pPr>
        <w:ind w:firstLine="480"/>
        <w:rPr>
          <w:lang w:val="zh-CN"/>
        </w:rPr>
      </w:pPr>
      <w:r>
        <w:rPr>
          <w:rFonts w:hint="eastAsia"/>
          <w:lang w:val="zh-CN"/>
        </w:rPr>
        <w:t>项目运营期间，该部门应监督和检查环境保护设施运行状况，定期对环境保护设施进行保养和维护，确保设施正常运行。同时，应对环境保护设施的运行情况进行记录。搞好环保设施与生产主体设备的协调管理，使污染物防治措施的配备与生产主体相适应，并与主体设备同时运行及检修，污染防治措施出现故障时，环境管理机构应立即与生产部门共同采取措施，严防污染扩大。</w:t>
      </w:r>
    </w:p>
    <w:p>
      <w:pPr>
        <w:pStyle w:val="126"/>
        <w:numPr>
          <w:ilvl w:val="0"/>
          <w:numId w:val="68"/>
        </w:numPr>
        <w:ind w:firstLine="482"/>
        <w:rPr>
          <w:lang w:val="zh-CN"/>
        </w:rPr>
      </w:pPr>
      <w:r>
        <w:rPr>
          <w:rFonts w:hint="eastAsia"/>
          <w:lang w:val="zh-CN"/>
        </w:rPr>
        <w:t>建立环境监测设施，制定并实施环境监测方案</w:t>
      </w:r>
    </w:p>
    <w:p>
      <w:pPr>
        <w:ind w:firstLine="480"/>
        <w:rPr>
          <w:lang w:val="zh-CN"/>
        </w:rPr>
      </w:pPr>
      <w:r>
        <w:rPr>
          <w:rFonts w:hint="eastAsia"/>
          <w:lang w:val="zh-CN"/>
        </w:rPr>
        <w:t>该部门应通过环境监测监控污染物排放情况，指导环保设施的运行，并对意外情况作出应变，确保污染物达标排放。</w:t>
      </w:r>
    </w:p>
    <w:p>
      <w:pPr>
        <w:pStyle w:val="126"/>
        <w:numPr>
          <w:ilvl w:val="0"/>
          <w:numId w:val="68"/>
        </w:numPr>
        <w:ind w:firstLine="482"/>
        <w:rPr>
          <w:lang w:val="zh-CN"/>
        </w:rPr>
      </w:pPr>
      <w:r>
        <w:rPr>
          <w:rFonts w:hint="eastAsia"/>
          <w:lang w:val="zh-CN"/>
        </w:rPr>
        <w:t>处理企业意外污染事故</w:t>
      </w:r>
    </w:p>
    <w:p>
      <w:pPr>
        <w:ind w:firstLine="480"/>
        <w:rPr>
          <w:lang w:val="zh-CN"/>
        </w:rPr>
      </w:pPr>
      <w:r>
        <w:rPr>
          <w:rFonts w:hint="eastAsia"/>
          <w:lang w:val="zh-CN"/>
        </w:rPr>
        <w:t>当企业出现意外污染事故时，该部门应参与污染事故的调查与分析，并负责对污染进行跟踪监测，采取污染处理措施，减小污染事故对环境的影响程度。</w:t>
      </w:r>
    </w:p>
    <w:p>
      <w:pPr>
        <w:pStyle w:val="126"/>
        <w:numPr>
          <w:ilvl w:val="0"/>
          <w:numId w:val="68"/>
        </w:numPr>
        <w:ind w:firstLine="482"/>
        <w:rPr>
          <w:lang w:val="zh-CN"/>
        </w:rPr>
      </w:pPr>
      <w:r>
        <w:rPr>
          <w:rFonts w:hint="eastAsia"/>
          <w:lang w:val="zh-CN"/>
        </w:rPr>
        <w:t>建立环境科技档案及管理档案</w:t>
      </w:r>
    </w:p>
    <w:p>
      <w:pPr>
        <w:ind w:firstLine="480"/>
        <w:rPr>
          <w:lang w:val="zh-CN"/>
        </w:rPr>
      </w:pPr>
      <w:r>
        <w:rPr>
          <w:rFonts w:hint="eastAsia"/>
          <w:lang w:val="zh-CN"/>
        </w:rPr>
        <w:t>应建立环境保护工作中的各类档案资料，包括环评报告、环保工程验收报告、环境监测报告、环保设施运行记录以及有关的污染物排放标准、环保法规等；</w:t>
      </w:r>
    </w:p>
    <w:p>
      <w:pPr>
        <w:pStyle w:val="126"/>
        <w:numPr>
          <w:ilvl w:val="0"/>
          <w:numId w:val="68"/>
        </w:numPr>
        <w:ind w:firstLine="482"/>
        <w:rPr>
          <w:b w:val="0"/>
          <w:bCs w:val="0"/>
          <w:lang w:val="zh-CN"/>
        </w:rPr>
      </w:pPr>
      <w:r>
        <w:rPr>
          <w:rFonts w:hint="eastAsia"/>
          <w:b w:val="0"/>
          <w:bCs w:val="0"/>
          <w:lang w:val="zh-CN"/>
        </w:rPr>
        <w:t>配合搞好固体废物的综合利用、清洁生产以及污染物排放总量控制；</w:t>
      </w:r>
    </w:p>
    <w:p>
      <w:pPr>
        <w:pStyle w:val="126"/>
        <w:numPr>
          <w:ilvl w:val="0"/>
          <w:numId w:val="68"/>
        </w:numPr>
        <w:ind w:firstLine="482"/>
        <w:rPr>
          <w:b w:val="0"/>
          <w:bCs w:val="0"/>
          <w:lang w:val="zh-CN"/>
        </w:rPr>
      </w:pPr>
      <w:r>
        <w:rPr>
          <w:rFonts w:hint="eastAsia"/>
          <w:b w:val="0"/>
          <w:bCs w:val="0"/>
          <w:lang w:val="zh-CN"/>
        </w:rPr>
        <w:t>企业正常投产运行后，应尽早开展I</w:t>
      </w:r>
      <w:r>
        <w:rPr>
          <w:b w:val="0"/>
          <w:bCs w:val="0"/>
          <w:lang w:val="zh-CN"/>
        </w:rPr>
        <w:t>SO14001</w:t>
      </w:r>
      <w:r>
        <w:rPr>
          <w:rFonts w:hint="eastAsia"/>
          <w:b w:val="0"/>
          <w:bCs w:val="0"/>
          <w:lang w:val="zh-CN"/>
        </w:rPr>
        <w:t>认证工作；</w:t>
      </w:r>
    </w:p>
    <w:p>
      <w:pPr>
        <w:pStyle w:val="126"/>
        <w:numPr>
          <w:ilvl w:val="0"/>
          <w:numId w:val="68"/>
        </w:numPr>
        <w:ind w:firstLine="482"/>
        <w:rPr>
          <w:b w:val="0"/>
          <w:bCs w:val="0"/>
          <w:lang w:val="zh-CN"/>
        </w:rPr>
      </w:pPr>
      <w:r>
        <w:rPr>
          <w:rFonts w:hint="eastAsia"/>
          <w:b w:val="0"/>
          <w:bCs w:val="0"/>
          <w:lang w:val="zh-CN"/>
        </w:rPr>
        <w:t>负责公司的环境教育、培训、宣传，让环境保护意识深入职工心中；</w:t>
      </w:r>
    </w:p>
    <w:p>
      <w:pPr>
        <w:pStyle w:val="126"/>
        <w:numPr>
          <w:ilvl w:val="0"/>
          <w:numId w:val="68"/>
        </w:numPr>
        <w:ind w:firstLine="482"/>
        <w:rPr>
          <w:b w:val="0"/>
          <w:bCs w:val="0"/>
          <w:lang w:val="zh-CN"/>
        </w:rPr>
      </w:pPr>
      <w:r>
        <w:rPr>
          <w:rFonts w:hint="eastAsia"/>
          <w:b w:val="0"/>
          <w:bCs w:val="0"/>
          <w:lang w:val="zh-CN"/>
        </w:rPr>
        <w:t>处理与本项目有关的其它环境保护问题。</w:t>
      </w:r>
    </w:p>
    <w:p>
      <w:pPr>
        <w:pStyle w:val="6"/>
        <w:rPr>
          <w:lang w:val="zh-CN"/>
        </w:rPr>
      </w:pPr>
      <w:r>
        <w:rPr>
          <w:rFonts w:hint="eastAsia"/>
          <w:lang w:val="zh-CN"/>
        </w:rPr>
        <w:t>监测设备</w:t>
      </w:r>
    </w:p>
    <w:p>
      <w:pPr>
        <w:ind w:firstLine="480"/>
        <w:rPr>
          <w:lang w:val="zh-CN"/>
        </w:rPr>
      </w:pPr>
      <w:r>
        <w:rPr>
          <w:rFonts w:hint="eastAsia"/>
          <w:lang w:val="zh-CN"/>
        </w:rPr>
        <w:t>在条件允许的情况下，可以购买一些最基本的实验室分析设备，进行一些基本的环保项目的分析化验工作；条件不允许时可委托专业监测单位进行监测。</w:t>
      </w:r>
    </w:p>
    <w:p>
      <w:pPr>
        <w:pStyle w:val="5"/>
      </w:pPr>
      <w:bookmarkStart w:id="686" w:name="_Toc331536297"/>
      <w:bookmarkStart w:id="687" w:name="_Toc79812645"/>
      <w:bookmarkStart w:id="688" w:name="_Toc179530179"/>
      <w:bookmarkStart w:id="689" w:name="_Toc82771353"/>
      <w:bookmarkStart w:id="690" w:name="_Toc92651487"/>
      <w:bookmarkStart w:id="691" w:name="_Toc159038817"/>
      <w:r>
        <w:t>健全环境管理制度</w:t>
      </w:r>
      <w:bookmarkEnd w:id="686"/>
      <w:bookmarkEnd w:id="687"/>
      <w:bookmarkEnd w:id="688"/>
      <w:bookmarkEnd w:id="689"/>
      <w:bookmarkEnd w:id="690"/>
      <w:bookmarkEnd w:id="691"/>
    </w:p>
    <w:p>
      <w:pPr>
        <w:pStyle w:val="6"/>
      </w:pPr>
      <w:r>
        <w:rPr>
          <w:rFonts w:hint="eastAsia"/>
        </w:rPr>
        <w:t xml:space="preserve"> “三同时”制度 </w:t>
      </w:r>
    </w:p>
    <w:p>
      <w:pPr>
        <w:ind w:firstLine="480"/>
      </w:pPr>
      <w:r>
        <w:rPr>
          <w:rFonts w:hint="eastAsia"/>
        </w:rPr>
        <w:t>在建设项目筹备、实施和建设阶段，应严格执行“三同时”，确保各三废处理等环保设施能够和生产工艺“同时设计、同时施工、同时投产使用”。</w:t>
      </w:r>
    </w:p>
    <w:p>
      <w:pPr>
        <w:pStyle w:val="6"/>
      </w:pPr>
      <w:r>
        <w:rPr>
          <w:rFonts w:hint="eastAsia"/>
        </w:rPr>
        <w:t>报告制度</w:t>
      </w:r>
    </w:p>
    <w:p>
      <w:pPr>
        <w:ind w:firstLine="480"/>
      </w:pPr>
      <w:r>
        <w:rPr>
          <w:rFonts w:hint="eastAsia"/>
        </w:rPr>
        <w:t>按《建设项目环境保护管理条例》</w:t>
      </w:r>
      <w:r>
        <w:rPr>
          <w:rFonts w:hint="eastAsia" w:eastAsiaTheme="minorEastAsia"/>
        </w:rPr>
        <w:t>（国务院令第682号，2017年10月1日施行）</w:t>
      </w:r>
      <w:r>
        <w:rPr>
          <w:rFonts w:hint="eastAsia"/>
        </w:rPr>
        <w:t xml:space="preserve">中第十七条和十九条规定，本项目在正式投产前，应当按照国务院环境保护行政主管部门规定的标准和程序，对配套建设的环境保护设施进行验收，编制验收报告，经验收合格后，方可正式投入生产或者使用。 </w:t>
      </w:r>
    </w:p>
    <w:p>
      <w:pPr>
        <w:ind w:firstLine="480"/>
      </w:pPr>
      <w:r>
        <w:rPr>
          <w:rFonts w:hint="eastAsia"/>
        </w:rPr>
        <w:t>建设单位要定期向当地环保部门报告污染治理设施运行情况，污染物排放情况以及污染事故、污染纠纷等情况。</w:t>
      </w:r>
    </w:p>
    <w:p>
      <w:pPr>
        <w:ind w:firstLine="480"/>
      </w:pPr>
      <w:r>
        <w:rPr>
          <w:rFonts w:hint="eastAsia"/>
        </w:rPr>
        <w:t>企业排污发生重大变化、污染治理设施改变或企业改、扩建等都必须向当地环保部门申报，按《建设项目环境保护管理条例》、《中华人民共和国环境影响评价法》等相关文件要求实施。</w:t>
      </w:r>
    </w:p>
    <w:p>
      <w:pPr>
        <w:pStyle w:val="6"/>
      </w:pPr>
      <w:r>
        <w:rPr>
          <w:rFonts w:hint="eastAsia"/>
        </w:rPr>
        <w:t>污染治理设施的管理制度</w:t>
      </w:r>
    </w:p>
    <w:p>
      <w:pPr>
        <w:ind w:firstLine="480"/>
      </w:pPr>
      <w:r>
        <w:rPr>
          <w:rFonts w:hint="eastAsia"/>
        </w:rPr>
        <w:t>本项目完成后，必须确保污染处理设施长期、稳定、有效地运行，不得擅自拆除或者闲置污染处理设施，不得故意不正常使用污染处理设施。污染处理设施的管理必须与生产经营活动一起纳入企事业单位日常管理工作的范畴，落实责任人、操作人员、维修人员、运行经费、设备的备品备件、化学药品和其他原辅材料，同时要建立岗位责任制、操作规程和管理台账。企业应制定并逐步完善对各类生产和消防安全事故的环保处置预案、建设环保应急处置设施。报当地环保局备案，并定期组织演练。</w:t>
      </w:r>
    </w:p>
    <w:p>
      <w:pPr>
        <w:pStyle w:val="6"/>
      </w:pPr>
      <w:r>
        <w:rPr>
          <w:rFonts w:hint="eastAsia"/>
        </w:rPr>
        <w:t>环保奖惩条例</w:t>
      </w:r>
    </w:p>
    <w:p>
      <w:pPr>
        <w:ind w:firstLine="480"/>
      </w:pPr>
      <w:r>
        <w:rPr>
          <w:rFonts w:hint="eastAsia"/>
        </w:rPr>
        <w:t>企业应加强宣传教育，提高员工的污染隐患意识和环境风险意识；制定员工参与环保技术培训的计划，提高员工技术素质水平；设立岗位实责制，制定严格的奖、罚制度。建议企业设置环境保护奖励条例，纳入人员考核体系。对爱护环保设施、节能降耗、改善环境者实行奖励；对环保观念淡薄、不按环保管理要求，造成环保设施损坏、环境污染及资源和能源浪费者予以处罚。</w:t>
      </w:r>
    </w:p>
    <w:p>
      <w:pPr>
        <w:pStyle w:val="6"/>
      </w:pPr>
      <w:r>
        <w:rPr>
          <w:rFonts w:hint="eastAsia"/>
        </w:rPr>
        <w:t>固体废物管理制度</w:t>
      </w:r>
    </w:p>
    <w:p>
      <w:pPr>
        <w:ind w:firstLine="480"/>
      </w:pPr>
      <w:r>
        <w:rPr>
          <w:rFonts w:hint="eastAsia"/>
        </w:rPr>
        <w:t>（1）建设单位应通过“广东省固体废物管理信息系统平台”进行危险废物申报登记。将危险废物的实际产生、贮存、利用、处置等情况纳入生产记录，建立危险废物管理台账和企业内部产生和收集、贮存、转移等部门危险废物交接制度。</w:t>
      </w:r>
    </w:p>
    <w:p>
      <w:pPr>
        <w:ind w:firstLine="480"/>
        <w:rPr>
          <w:rFonts w:eastAsiaTheme="minorEastAsia"/>
        </w:rPr>
      </w:pPr>
      <w:r>
        <w:rPr>
          <w:rFonts w:hint="eastAsia"/>
        </w:rPr>
        <w:t>（2）建设单位作为固体废物污染防治的责任主体，应建立风险管理及应急救援体系，执行环境监测计划、转移联单管理制度及国家和省有关转移管理的相关规定、处置过程安全操作规程、人员培训考核制度、档案</w:t>
      </w:r>
      <w:r>
        <w:rPr>
          <w:rFonts w:hint="eastAsia" w:eastAsiaTheme="minorEastAsia"/>
        </w:rPr>
        <w:t xml:space="preserve">管理制度、处置全过程管理制度等。 </w:t>
      </w:r>
    </w:p>
    <w:p>
      <w:pPr>
        <w:ind w:firstLine="480"/>
        <w:rPr>
          <w:rFonts w:eastAsiaTheme="minorEastAsia"/>
        </w:rPr>
      </w:pPr>
      <w:r>
        <w:rPr>
          <w:rFonts w:hint="eastAsia"/>
        </w:rPr>
        <w:t>（3）危险废物贮存场所并按照要求设置警告标志，危废包装、容器和贮存场所应</w:t>
      </w:r>
      <w:r>
        <w:rPr>
          <w:rFonts w:hint="eastAsia" w:eastAsiaTheme="minorEastAsia"/>
        </w:rPr>
        <w:t>按照《危险废物贮存污染控制标准》（GB</w:t>
      </w:r>
      <w:r>
        <w:rPr>
          <w:rFonts w:eastAsiaTheme="minorEastAsia"/>
        </w:rPr>
        <w:t xml:space="preserve"> </w:t>
      </w:r>
      <w:r>
        <w:rPr>
          <w:rFonts w:hint="eastAsia" w:eastAsiaTheme="minorEastAsia"/>
        </w:rPr>
        <w:t>18597-2001）及2</w:t>
      </w:r>
      <w:r>
        <w:rPr>
          <w:rFonts w:eastAsiaTheme="minorEastAsia"/>
        </w:rPr>
        <w:t>013</w:t>
      </w:r>
      <w:r>
        <w:rPr>
          <w:rFonts w:hint="eastAsia" w:eastAsiaTheme="minorEastAsia"/>
        </w:rPr>
        <w:t>年修改单有关要求张贴标识。</w:t>
      </w:r>
    </w:p>
    <w:p>
      <w:pPr>
        <w:pStyle w:val="5"/>
      </w:pPr>
      <w:bookmarkStart w:id="692" w:name="_Toc310419910"/>
      <w:bookmarkStart w:id="693" w:name="_Toc23529"/>
      <w:bookmarkStart w:id="694" w:name="_Toc329784244"/>
      <w:bookmarkStart w:id="695" w:name="_Toc20442"/>
      <w:bookmarkStart w:id="696" w:name="_Toc331536298"/>
      <w:r>
        <w:t>环境管理</w:t>
      </w:r>
      <w:bookmarkEnd w:id="692"/>
      <w:bookmarkEnd w:id="693"/>
      <w:bookmarkEnd w:id="694"/>
      <w:bookmarkEnd w:id="695"/>
      <w:bookmarkEnd w:id="696"/>
      <w:r>
        <w:rPr>
          <w:rFonts w:hint="eastAsia"/>
        </w:rPr>
        <w:t>内容</w:t>
      </w:r>
    </w:p>
    <w:p>
      <w:pPr>
        <w:ind w:firstLine="480"/>
        <w:rPr>
          <w:rFonts w:eastAsiaTheme="minorEastAsia"/>
          <w:lang w:val="zh-CN"/>
        </w:rPr>
      </w:pPr>
      <w:r>
        <w:rPr>
          <w:rFonts w:hint="eastAsia" w:eastAsiaTheme="minorEastAsia"/>
          <w:lang w:val="zh-CN"/>
        </w:rPr>
        <w:t>在本项目设计以及施工与运营过程中必须制定环境管理与环境监测计划。环境管理由项目负责人直接领导，由具有环保知识和经验的工程技术人员担任环保员，负责协调有关环境监测的具体事项，环保业务上接受开平市环保局的技术指导和监督。</w:t>
      </w:r>
    </w:p>
    <w:p>
      <w:pPr>
        <w:pStyle w:val="6"/>
        <w:rPr>
          <w:lang w:val="zh-CN"/>
        </w:rPr>
      </w:pPr>
      <w:r>
        <w:rPr>
          <w:rFonts w:hint="eastAsia"/>
          <w:lang w:val="zh-CN"/>
        </w:rPr>
        <w:t>验收阶段环境管理</w:t>
      </w:r>
    </w:p>
    <w:p>
      <w:pPr>
        <w:ind w:firstLine="480"/>
        <w:rPr>
          <w:rFonts w:eastAsiaTheme="minorEastAsia"/>
          <w:lang w:val="zh-CN"/>
        </w:rPr>
      </w:pPr>
      <w:r>
        <w:rPr>
          <w:rFonts w:hint="eastAsia" w:eastAsiaTheme="minorEastAsia"/>
          <w:lang w:val="zh-CN"/>
        </w:rPr>
        <w:t>1、落实项目环保投资，确保污染治理措施执行“三同时”和各项环保治理措施达到设计要求；</w:t>
      </w:r>
    </w:p>
    <w:p>
      <w:pPr>
        <w:ind w:firstLine="480"/>
        <w:rPr>
          <w:rFonts w:eastAsiaTheme="minorEastAsia"/>
          <w:lang w:val="zh-CN"/>
        </w:rPr>
      </w:pPr>
      <w:r>
        <w:rPr>
          <w:rFonts w:hint="eastAsia" w:eastAsiaTheme="minorEastAsia"/>
          <w:lang w:val="zh-CN"/>
        </w:rPr>
        <w:t>2、建设项目竣工后，建设单位应当按照《建设项目环境保护管理条例》和《建设项目竣工环境保护验收暂行办法》等文件规定的标准和程序，对配套建设的环境保护设施进行验收，并参照《建设项目竣工环境保护验收技术指南 污染影响类》编制验收监测报告。环境保护设施经验收合格，方可投入生产或者使用。</w:t>
      </w:r>
    </w:p>
    <w:p>
      <w:pPr>
        <w:pStyle w:val="6"/>
      </w:pPr>
      <w:r>
        <w:t>营运期环境管理</w:t>
      </w:r>
    </w:p>
    <w:p>
      <w:pPr>
        <w:ind w:firstLine="480"/>
        <w:rPr>
          <w:rFonts w:eastAsiaTheme="minorEastAsia"/>
          <w:lang w:val="zh-CN"/>
        </w:rPr>
      </w:pPr>
      <w:r>
        <w:rPr>
          <w:rFonts w:hint="eastAsia" w:eastAsiaTheme="minorEastAsia"/>
          <w:lang w:val="zh-CN"/>
        </w:rPr>
        <w:t>开平市骑达橡胶制品厂主要负责人对全厂的环境保护工作负责，要求把环境管理工作纳入每天的日常工作管理范围，要全面统筹、合理部署、统一安排，积极贯彻“预防为主、防治结合”的方针，形成环境管理经常化、制度化；对运行中产生的问题需即时制定相应对策，加强与环境保护部门的联系与配合，结合环境监测的结果，及时掌握环境质量的变化情况，采取有效措施把污染控制在国家和地方标准允许的范围内。一旦发生环保污染事故、人身健康危害要及时与当地环保、环卫、市政、公安、医疗等部门密切结合，即时消除影响，防止环境污染，保证周围群众的安全保证。</w:t>
      </w:r>
    </w:p>
    <w:p>
      <w:pPr>
        <w:pStyle w:val="4"/>
      </w:pPr>
      <w:bookmarkStart w:id="697" w:name="_Toc3538821"/>
      <w:r>
        <w:rPr>
          <w:rFonts w:hint="eastAsia"/>
        </w:rPr>
        <w:t>污染物排放清单及管理要求</w:t>
      </w:r>
      <w:bookmarkEnd w:id="697"/>
    </w:p>
    <w:p>
      <w:pPr>
        <w:pStyle w:val="6"/>
      </w:pPr>
      <w:r>
        <w:rPr>
          <w:rFonts w:hint="eastAsia"/>
        </w:rPr>
        <w:t>工程组成及原辅材料组分要求</w:t>
      </w:r>
    </w:p>
    <w:p>
      <w:pPr>
        <w:ind w:firstLine="480"/>
        <w:rPr>
          <w:rFonts w:eastAsiaTheme="minorEastAsia"/>
          <w:lang w:val="zh-CN"/>
        </w:rPr>
      </w:pPr>
      <w:r>
        <w:rPr>
          <w:rFonts w:hint="eastAsia" w:eastAsiaTheme="minorEastAsia"/>
          <w:lang w:val="zh-CN"/>
        </w:rPr>
        <w:t>本项目工程组成见</w:t>
      </w:r>
      <w:r>
        <w:rPr>
          <w:rFonts w:eastAsiaTheme="minorEastAsia"/>
          <w:lang w:val="zh-CN"/>
        </w:rPr>
        <w:fldChar w:fldCharType="begin"/>
      </w:r>
      <w:r>
        <w:rPr>
          <w:rFonts w:eastAsiaTheme="minorEastAsia"/>
          <w:lang w:val="zh-CN"/>
        </w:rPr>
        <w:instrText xml:space="preserve"> </w:instrText>
      </w:r>
      <w:r>
        <w:rPr>
          <w:rFonts w:hint="eastAsia" w:eastAsiaTheme="minorEastAsia"/>
          <w:lang w:val="zh-CN"/>
        </w:rPr>
        <w:instrText xml:space="preserve">REF _Ref522735279 \h</w:instrText>
      </w:r>
      <w:r>
        <w:rPr>
          <w:rFonts w:eastAsiaTheme="minorEastAsia"/>
          <w:lang w:val="zh-CN"/>
        </w:rPr>
        <w:instrText xml:space="preserve"> </w:instrText>
      </w:r>
      <w:r>
        <w:rPr>
          <w:rFonts w:eastAsiaTheme="minorEastAsia"/>
          <w:lang w:val="zh-CN"/>
        </w:rPr>
        <w:fldChar w:fldCharType="separate"/>
      </w:r>
      <w:r>
        <w:rPr>
          <w:rFonts w:hint="eastAsia"/>
        </w:rPr>
        <w:t xml:space="preserve">表 </w:t>
      </w:r>
      <w:r>
        <w:t>2.1</w:t>
      </w:r>
      <w:r>
        <w:noBreakHyphen/>
      </w:r>
      <w:r>
        <w:t>1</w:t>
      </w:r>
      <w:r>
        <w:rPr>
          <w:rFonts w:eastAsiaTheme="minorEastAsia"/>
          <w:lang w:val="zh-CN"/>
        </w:rPr>
        <w:fldChar w:fldCharType="end"/>
      </w:r>
      <w:r>
        <w:rPr>
          <w:rFonts w:hint="eastAsia" w:eastAsiaTheme="minorEastAsia"/>
          <w:lang w:val="zh-CN"/>
        </w:rPr>
        <w:t>。</w:t>
      </w:r>
    </w:p>
    <w:p>
      <w:pPr>
        <w:ind w:firstLine="480"/>
        <w:rPr>
          <w:rFonts w:eastAsiaTheme="minorEastAsia"/>
        </w:rPr>
      </w:pPr>
      <w:r>
        <w:rPr>
          <w:rFonts w:hint="eastAsia" w:eastAsiaTheme="minorEastAsia"/>
          <w:lang w:val="zh-CN"/>
        </w:rPr>
        <w:t>原辅材料</w:t>
      </w:r>
      <w:r>
        <w:rPr>
          <w:rFonts w:hint="eastAsia" w:eastAsiaTheme="minorEastAsia"/>
        </w:rPr>
        <w:t>有天然胶、合成胶、钙粉、硬脂酸、氧化锌、钛白粉、白炭黑、硫磺粉等，橡胶、钙粉等材料本身无毒无害，其他的原辅材料毒害性质也较小，除硫磺粉外无其他危险化学品。</w:t>
      </w:r>
    </w:p>
    <w:p>
      <w:pPr>
        <w:ind w:firstLine="480"/>
        <w:rPr>
          <w:rFonts w:eastAsiaTheme="minorEastAsia"/>
        </w:rPr>
      </w:pPr>
      <w:r>
        <w:rPr>
          <w:rFonts w:hint="eastAsia" w:eastAsiaTheme="minorEastAsia"/>
        </w:rPr>
        <w:t>总体来说，项目所采取的原辅材料对环境和人体均无毒无害，属于环保型材料，适应环保要求。</w:t>
      </w:r>
    </w:p>
    <w:p>
      <w:pPr>
        <w:pStyle w:val="6"/>
      </w:pPr>
      <w:r>
        <w:rPr>
          <w:rFonts w:hint="eastAsia"/>
        </w:rPr>
        <w:t>污染物排放管理要求</w:t>
      </w:r>
    </w:p>
    <w:p>
      <w:pPr>
        <w:ind w:firstLine="480"/>
      </w:pPr>
      <w:r>
        <w:rPr>
          <w:rFonts w:hint="eastAsia"/>
        </w:rPr>
        <w:t>本项目排污口信息、拟采取的环保措施、排放的污染物种类、执行的环境标准、排放浓度和总量指标，环境风险防范措施等污染物排放管理的要求见</w:t>
      </w:r>
      <w:r>
        <w:fldChar w:fldCharType="begin"/>
      </w:r>
      <w:r>
        <w:instrText xml:space="preserve"> </w:instrText>
      </w:r>
      <w:r>
        <w:rPr>
          <w:rFonts w:hint="eastAsia"/>
        </w:rPr>
        <w:instrText xml:space="preserve">REF _Ref530422191 \h</w:instrText>
      </w:r>
      <w:r>
        <w:instrText xml:space="preserve"> </w:instrText>
      </w:r>
      <w:r>
        <w:fldChar w:fldCharType="separate"/>
      </w:r>
      <w:r>
        <w:rPr>
          <w:rFonts w:hint="eastAsia"/>
        </w:rPr>
        <w:t xml:space="preserve">表 </w:t>
      </w:r>
      <w:r>
        <w:t>7.2</w:t>
      </w:r>
      <w:r>
        <w:noBreakHyphen/>
      </w:r>
      <w:r>
        <w:t>1</w:t>
      </w:r>
      <w:r>
        <w:fldChar w:fldCharType="end"/>
      </w:r>
      <w:r>
        <w:rPr>
          <w:rFonts w:hint="eastAsia"/>
        </w:rPr>
        <w:t>。</w:t>
      </w:r>
    </w:p>
    <w:p>
      <w:pPr>
        <w:pStyle w:val="6"/>
      </w:pPr>
      <w:r>
        <w:rPr>
          <w:rFonts w:hint="eastAsia"/>
        </w:rPr>
        <w:t>项目信息公开方案</w:t>
      </w:r>
    </w:p>
    <w:p>
      <w:pPr>
        <w:ind w:firstLine="480"/>
      </w:pPr>
      <w:r>
        <w:rPr>
          <w:rFonts w:hint="eastAsia"/>
        </w:rPr>
        <w:t>根据《企业事业单位环境信息公开办法》（环境保护部令第31号），建设单位需定期向社会公众公开项目排污信息，包括主要污染物及特征污染物的名称、排放方式、排放口数量和分布情况、排放浓度和总量、超标情况，以及执行的污染物排放标准、核定的排放总量。</w:t>
      </w:r>
    </w:p>
    <w:p>
      <w:pPr>
        <w:ind w:left="480" w:firstLine="0" w:firstLineChars="0"/>
      </w:pPr>
    </w:p>
    <w:p>
      <w:pPr>
        <w:adjustRightInd w:val="0"/>
        <w:snapToGrid w:val="0"/>
        <w:spacing w:before="120" w:beforeLines="50"/>
        <w:ind w:firstLine="0" w:firstLineChars="0"/>
        <w:jc w:val="both"/>
        <w:rPr>
          <w:rFonts w:eastAsiaTheme="minorEastAsia"/>
          <w:b/>
          <w:sz w:val="21"/>
          <w:szCs w:val="21"/>
          <w:u w:val="single"/>
        </w:rPr>
        <w:sectPr>
          <w:pgSz w:w="11907" w:h="16840"/>
          <w:pgMar w:top="1418" w:right="1418" w:bottom="1418" w:left="1418" w:header="851" w:footer="992" w:gutter="0"/>
          <w:cols w:space="425" w:num="1"/>
          <w:docGrid w:linePitch="312" w:charSpace="0"/>
        </w:sectPr>
      </w:pPr>
    </w:p>
    <w:p>
      <w:pPr>
        <w:pStyle w:val="18"/>
      </w:pPr>
      <w:bookmarkStart w:id="698" w:name="_Ref530422191"/>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7.2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bookmarkEnd w:id="698"/>
      <w:r>
        <w:t xml:space="preserve"> </w:t>
      </w:r>
      <w:r>
        <w:rPr>
          <w:rFonts w:hint="eastAsia"/>
        </w:rPr>
        <w:t>本项目污染物排放清单及其管理要求一览表</w:t>
      </w:r>
    </w:p>
    <w:tbl>
      <w:tblPr>
        <w:tblStyle w:val="56"/>
        <w:tblW w:w="21125" w:type="dxa"/>
        <w:tblInd w:w="-5" w:type="dxa"/>
        <w:tblLayout w:type="fixed"/>
        <w:tblCellMar>
          <w:top w:w="0" w:type="dxa"/>
          <w:left w:w="108" w:type="dxa"/>
          <w:bottom w:w="0" w:type="dxa"/>
          <w:right w:w="108" w:type="dxa"/>
        </w:tblCellMar>
      </w:tblPr>
      <w:tblGrid>
        <w:gridCol w:w="402"/>
        <w:gridCol w:w="874"/>
        <w:gridCol w:w="1276"/>
        <w:gridCol w:w="1134"/>
        <w:gridCol w:w="709"/>
        <w:gridCol w:w="1417"/>
        <w:gridCol w:w="822"/>
        <w:gridCol w:w="850"/>
        <w:gridCol w:w="1248"/>
        <w:gridCol w:w="2151"/>
        <w:gridCol w:w="4535"/>
        <w:gridCol w:w="1134"/>
        <w:gridCol w:w="1106"/>
        <w:gridCol w:w="3403"/>
        <w:gridCol w:w="64"/>
      </w:tblGrid>
      <w:tr>
        <w:tblPrEx>
          <w:tblLayout w:type="fixed"/>
          <w:tblCellMar>
            <w:top w:w="0" w:type="dxa"/>
            <w:left w:w="108" w:type="dxa"/>
            <w:bottom w:w="0" w:type="dxa"/>
            <w:right w:w="108" w:type="dxa"/>
          </w:tblCellMar>
        </w:tblPrEx>
        <w:trPr>
          <w:gridAfter w:val="1"/>
          <w:wAfter w:w="64" w:type="dxa"/>
          <w:trHeight w:val="850" w:hRule="atLeast"/>
          <w:tblHeader/>
        </w:trPr>
        <w:tc>
          <w:tcPr>
            <w:tcW w:w="402"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pStyle w:val="107"/>
              <w:rPr>
                <w:b/>
                <w:color w:val="auto"/>
              </w:rPr>
            </w:pPr>
            <w:r>
              <w:rPr>
                <w:rFonts w:hint="eastAsia"/>
                <w:b/>
                <w:color w:val="auto"/>
              </w:rPr>
              <w:t>类别</w:t>
            </w:r>
          </w:p>
        </w:tc>
        <w:tc>
          <w:tcPr>
            <w:tcW w:w="874"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color w:val="auto"/>
              </w:rPr>
            </w:pPr>
            <w:r>
              <w:rPr>
                <w:rFonts w:hint="eastAsia"/>
                <w:b/>
                <w:color w:val="auto"/>
              </w:rPr>
              <w:t>污染源</w:t>
            </w:r>
          </w:p>
        </w:tc>
        <w:tc>
          <w:tcPr>
            <w:tcW w:w="1276"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color w:val="auto"/>
              </w:rPr>
            </w:pPr>
            <w:r>
              <w:rPr>
                <w:rFonts w:hint="eastAsia"/>
                <w:b/>
                <w:color w:val="auto"/>
              </w:rPr>
              <w:t>污染物</w:t>
            </w:r>
          </w:p>
        </w:tc>
        <w:tc>
          <w:tcPr>
            <w:tcW w:w="1134"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rFonts w:ascii="宋体" w:hAnsi="宋体"/>
                <w:b/>
                <w:bCs/>
                <w:color w:val="auto"/>
              </w:rPr>
            </w:pPr>
            <w:r>
              <w:rPr>
                <w:rFonts w:hint="eastAsia" w:ascii="宋体" w:hAnsi="宋体"/>
                <w:b/>
                <w:bCs/>
                <w:color w:val="auto"/>
              </w:rPr>
              <w:t>收集装置</w:t>
            </w:r>
          </w:p>
        </w:tc>
        <w:tc>
          <w:tcPr>
            <w:tcW w:w="709"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rFonts w:ascii="宋体" w:hAnsi="宋体"/>
                <w:b/>
                <w:bCs/>
                <w:color w:val="auto"/>
              </w:rPr>
            </w:pPr>
            <w:r>
              <w:rPr>
                <w:rFonts w:hint="eastAsia" w:ascii="宋体" w:hAnsi="宋体"/>
                <w:b/>
                <w:bCs/>
                <w:color w:val="auto"/>
              </w:rPr>
              <w:t>收集效率</w:t>
            </w:r>
          </w:p>
        </w:tc>
        <w:tc>
          <w:tcPr>
            <w:tcW w:w="1417"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color w:val="auto"/>
              </w:rPr>
            </w:pPr>
            <w:r>
              <w:rPr>
                <w:rFonts w:hint="eastAsia"/>
                <w:b/>
                <w:color w:val="auto"/>
              </w:rPr>
              <w:t>拟采取的环保措施</w:t>
            </w:r>
          </w:p>
        </w:tc>
        <w:tc>
          <w:tcPr>
            <w:tcW w:w="822"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color w:val="auto"/>
              </w:rPr>
            </w:pPr>
            <w:r>
              <w:rPr>
                <w:rFonts w:hint="eastAsia"/>
                <w:b/>
                <w:color w:val="auto"/>
              </w:rPr>
              <w:t>治理效率</w:t>
            </w:r>
          </w:p>
        </w:tc>
        <w:tc>
          <w:tcPr>
            <w:tcW w:w="850"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color w:val="auto"/>
              </w:rPr>
            </w:pPr>
            <w:r>
              <w:rPr>
                <w:rFonts w:hint="eastAsia"/>
                <w:b/>
                <w:color w:val="auto"/>
              </w:rPr>
              <w:t>运行参数</w:t>
            </w:r>
          </w:p>
        </w:tc>
        <w:tc>
          <w:tcPr>
            <w:tcW w:w="1248"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color w:val="auto"/>
              </w:rPr>
            </w:pPr>
            <w:r>
              <w:rPr>
                <w:rFonts w:hint="eastAsia"/>
                <w:b/>
                <w:color w:val="auto"/>
              </w:rPr>
              <w:t>排放浓度</w:t>
            </w:r>
          </w:p>
        </w:tc>
        <w:tc>
          <w:tcPr>
            <w:tcW w:w="2151"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color w:val="auto"/>
              </w:rPr>
            </w:pPr>
            <w:r>
              <w:rPr>
                <w:rFonts w:hint="eastAsia"/>
                <w:b/>
                <w:color w:val="auto"/>
              </w:rPr>
              <w:t>排放浓度限值</w:t>
            </w:r>
          </w:p>
        </w:tc>
        <w:tc>
          <w:tcPr>
            <w:tcW w:w="4535"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color w:val="auto"/>
              </w:rPr>
            </w:pPr>
            <w:r>
              <w:rPr>
                <w:rFonts w:hint="eastAsia"/>
                <w:b/>
                <w:color w:val="auto"/>
              </w:rPr>
              <w:t>执行的排放标准</w:t>
            </w:r>
          </w:p>
        </w:tc>
        <w:tc>
          <w:tcPr>
            <w:tcW w:w="1134"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color w:val="auto"/>
              </w:rPr>
            </w:pPr>
            <w:r>
              <w:rPr>
                <w:rFonts w:hint="eastAsia"/>
                <w:b/>
                <w:color w:val="auto"/>
              </w:rPr>
              <w:t>建议总量指标</w:t>
            </w:r>
          </w:p>
        </w:tc>
        <w:tc>
          <w:tcPr>
            <w:tcW w:w="1106"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color w:val="auto"/>
              </w:rPr>
            </w:pPr>
            <w:r>
              <w:rPr>
                <w:rFonts w:hint="eastAsia"/>
                <w:b/>
                <w:color w:val="auto"/>
              </w:rPr>
              <w:t>排污口</w:t>
            </w:r>
          </w:p>
        </w:tc>
        <w:tc>
          <w:tcPr>
            <w:tcW w:w="3403" w:type="dxa"/>
            <w:tcBorders>
              <w:top w:val="single" w:color="auto" w:sz="4" w:space="0"/>
              <w:left w:val="nil"/>
              <w:bottom w:val="single" w:color="auto" w:sz="4" w:space="0"/>
              <w:right w:val="single" w:color="auto" w:sz="4" w:space="0"/>
            </w:tcBorders>
            <w:shd w:val="clear" w:color="auto" w:fill="D8D8D8" w:themeFill="background1" w:themeFillShade="D9"/>
            <w:vAlign w:val="center"/>
          </w:tcPr>
          <w:p>
            <w:pPr>
              <w:pStyle w:val="107"/>
              <w:rPr>
                <w:b/>
                <w:color w:val="auto"/>
              </w:rPr>
            </w:pPr>
            <w:r>
              <w:rPr>
                <w:rFonts w:hint="eastAsia"/>
                <w:b/>
                <w:color w:val="auto"/>
              </w:rPr>
              <w:t>执行的环境标准</w:t>
            </w: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废气</w:t>
            </w:r>
          </w:p>
        </w:tc>
        <w:tc>
          <w:tcPr>
            <w:tcW w:w="874" w:type="dxa"/>
            <w:tcBorders>
              <w:top w:val="nil"/>
              <w:left w:val="nil"/>
              <w:bottom w:val="single" w:color="auto" w:sz="4" w:space="0"/>
              <w:right w:val="single" w:color="auto" w:sz="4" w:space="0"/>
            </w:tcBorders>
            <w:shd w:val="clear" w:color="auto" w:fill="auto"/>
            <w:vAlign w:val="center"/>
          </w:tcPr>
          <w:p>
            <w:pPr>
              <w:pStyle w:val="107"/>
              <w:rPr>
                <w:rStyle w:val="63"/>
                <w:color w:val="auto"/>
              </w:rPr>
            </w:pPr>
            <w:r>
              <w:rPr>
                <w:rStyle w:val="63"/>
                <w:rFonts w:hint="eastAsia"/>
                <w:color w:val="auto"/>
              </w:rPr>
              <w:t>配料、投料、密炼工序</w:t>
            </w:r>
          </w:p>
        </w:tc>
        <w:tc>
          <w:tcPr>
            <w:tcW w:w="1276"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颗粒物</w:t>
            </w:r>
          </w:p>
          <w:p>
            <w:pPr>
              <w:pStyle w:val="107"/>
              <w:rPr>
                <w:color w:val="auto"/>
              </w:rPr>
            </w:pPr>
            <w:r>
              <w:rPr>
                <w:rFonts w:hint="eastAsia"/>
                <w:color w:val="auto"/>
              </w:rPr>
              <w:t>N</w:t>
            </w:r>
            <w:r>
              <w:rPr>
                <w:color w:val="auto"/>
              </w:rPr>
              <w:t>MHC</w:t>
            </w:r>
          </w:p>
          <w:p>
            <w:pPr>
              <w:pStyle w:val="107"/>
              <w:rPr>
                <w:color w:val="auto"/>
              </w:rPr>
            </w:pPr>
            <w:r>
              <w:rPr>
                <w:rFonts w:hint="eastAsia"/>
                <w:color w:val="auto"/>
              </w:rPr>
              <w:t>硫化氢</w:t>
            </w:r>
          </w:p>
          <w:p>
            <w:pPr>
              <w:pStyle w:val="107"/>
              <w:rPr>
                <w:color w:val="auto"/>
              </w:rPr>
            </w:pPr>
          </w:p>
        </w:tc>
        <w:tc>
          <w:tcPr>
            <w:tcW w:w="1134" w:type="dxa"/>
            <w:tcBorders>
              <w:top w:val="nil"/>
              <w:left w:val="nil"/>
              <w:bottom w:val="single" w:color="auto" w:sz="4" w:space="0"/>
              <w:right w:val="single" w:color="auto" w:sz="4" w:space="0"/>
            </w:tcBorders>
            <w:shd w:val="clear" w:color="auto" w:fill="auto"/>
            <w:vAlign w:val="center"/>
          </w:tcPr>
          <w:p>
            <w:pPr>
              <w:pStyle w:val="107"/>
              <w:rPr>
                <w:color w:val="auto"/>
              </w:rPr>
            </w:pPr>
            <w:r>
              <w:rPr>
                <w:rStyle w:val="63"/>
                <w:rFonts w:hint="eastAsia"/>
                <w:color w:val="auto"/>
              </w:rPr>
              <w:t>局部收集+围蔽后整体负压抽风</w:t>
            </w:r>
          </w:p>
        </w:tc>
        <w:tc>
          <w:tcPr>
            <w:tcW w:w="709" w:type="dxa"/>
            <w:tcBorders>
              <w:top w:val="nil"/>
              <w:left w:val="nil"/>
              <w:bottom w:val="single" w:color="auto" w:sz="4" w:space="0"/>
              <w:right w:val="single" w:color="auto" w:sz="4" w:space="0"/>
            </w:tcBorders>
            <w:shd w:val="clear" w:color="auto" w:fill="auto"/>
            <w:vAlign w:val="center"/>
          </w:tcPr>
          <w:p>
            <w:pPr>
              <w:pStyle w:val="107"/>
              <w:rPr>
                <w:rStyle w:val="63"/>
                <w:color w:val="auto"/>
              </w:rPr>
            </w:pPr>
            <w:r>
              <w:rPr>
                <w:rStyle w:val="63"/>
                <w:rFonts w:hint="eastAsia"/>
                <w:color w:val="auto"/>
              </w:rPr>
              <w:t>95%</w:t>
            </w:r>
          </w:p>
        </w:tc>
        <w:tc>
          <w:tcPr>
            <w:tcW w:w="1417" w:type="dxa"/>
            <w:tcBorders>
              <w:top w:val="nil"/>
              <w:left w:val="nil"/>
              <w:bottom w:val="single" w:color="auto" w:sz="4" w:space="0"/>
              <w:right w:val="single" w:color="auto" w:sz="4" w:space="0"/>
            </w:tcBorders>
            <w:shd w:val="clear" w:color="auto" w:fill="auto"/>
            <w:vAlign w:val="center"/>
          </w:tcPr>
          <w:p>
            <w:pPr>
              <w:pStyle w:val="107"/>
              <w:rPr>
                <w:rStyle w:val="63"/>
                <w:color w:val="auto"/>
              </w:rPr>
            </w:pPr>
            <w:r>
              <w:rPr>
                <w:rStyle w:val="63"/>
                <w:rFonts w:hint="eastAsia"/>
                <w:color w:val="auto"/>
              </w:rPr>
              <w:t>通过袋式除尘器除尘处理后，再与开炼废气、硫化废气一同引至同一套“喷淋塔+UV光解+活性炭吸附”净化装置处理</w:t>
            </w:r>
          </w:p>
        </w:tc>
        <w:tc>
          <w:tcPr>
            <w:tcW w:w="822" w:type="dxa"/>
            <w:tcBorders>
              <w:top w:val="nil"/>
              <w:left w:val="nil"/>
              <w:bottom w:val="single" w:color="auto" w:sz="4" w:space="0"/>
              <w:right w:val="single" w:color="auto" w:sz="4" w:space="0"/>
            </w:tcBorders>
            <w:shd w:val="clear" w:color="auto" w:fill="auto"/>
            <w:vAlign w:val="center"/>
          </w:tcPr>
          <w:p>
            <w:pPr>
              <w:pStyle w:val="107"/>
              <w:rPr>
                <w:rStyle w:val="63"/>
                <w:color w:val="auto"/>
              </w:rPr>
            </w:pPr>
            <w:r>
              <w:rPr>
                <w:rStyle w:val="63"/>
                <w:rFonts w:hint="eastAsia"/>
                <w:color w:val="auto"/>
              </w:rPr>
              <w:t>99%对粉尘；9</w:t>
            </w:r>
            <w:r>
              <w:rPr>
                <w:rStyle w:val="63"/>
                <w:color w:val="auto"/>
              </w:rPr>
              <w:t>2%对有机废气</w:t>
            </w:r>
          </w:p>
        </w:tc>
        <w:tc>
          <w:tcPr>
            <w:tcW w:w="850" w:type="dxa"/>
            <w:vMerge w:val="restart"/>
            <w:tcBorders>
              <w:top w:val="nil"/>
              <w:left w:val="nil"/>
              <w:right w:val="single" w:color="auto" w:sz="4" w:space="0"/>
            </w:tcBorders>
            <w:shd w:val="clear" w:color="auto" w:fill="auto"/>
            <w:vAlign w:val="center"/>
          </w:tcPr>
          <w:p>
            <w:pPr>
              <w:pStyle w:val="107"/>
              <w:rPr>
                <w:rStyle w:val="63"/>
                <w:color w:val="auto"/>
              </w:rPr>
            </w:pPr>
            <w:r>
              <w:rPr>
                <w:rStyle w:val="63"/>
                <w:rFonts w:hint="eastAsia"/>
                <w:color w:val="auto"/>
              </w:rPr>
              <w:t>风量</w:t>
            </w:r>
            <w:r>
              <w:rPr>
                <w:rStyle w:val="63"/>
                <w:color w:val="auto"/>
              </w:rPr>
              <w:t>22</w:t>
            </w:r>
            <w:r>
              <w:rPr>
                <w:rStyle w:val="63"/>
                <w:rFonts w:hint="eastAsia"/>
                <w:color w:val="auto"/>
              </w:rPr>
              <w:t>000m³/h</w:t>
            </w:r>
          </w:p>
        </w:tc>
        <w:tc>
          <w:tcPr>
            <w:tcW w:w="124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Style w:val="63"/>
                <w:color w:val="auto"/>
              </w:rPr>
            </w:pPr>
            <w:r>
              <w:rPr>
                <w:rStyle w:val="63"/>
                <w:color w:val="auto"/>
              </w:rPr>
              <w:t>颗粒物</w:t>
            </w:r>
            <w:r>
              <w:rPr>
                <w:rStyle w:val="63"/>
                <w:rFonts w:hint="eastAsia"/>
                <w:color w:val="auto"/>
              </w:rPr>
              <w:t>:</w:t>
            </w:r>
          </w:p>
          <w:p>
            <w:pPr>
              <w:pStyle w:val="107"/>
              <w:rPr>
                <w:rStyle w:val="63"/>
                <w:color w:val="auto"/>
              </w:rPr>
            </w:pPr>
            <w:r>
              <w:rPr>
                <w:rStyle w:val="63"/>
                <w:rFonts w:hint="eastAsia"/>
                <w:color w:val="auto"/>
              </w:rPr>
              <w:t>0.</w:t>
            </w:r>
            <w:r>
              <w:rPr>
                <w:rStyle w:val="63"/>
                <w:color w:val="auto"/>
              </w:rPr>
              <w:t>077</w:t>
            </w:r>
            <w:r>
              <w:rPr>
                <w:rStyle w:val="63"/>
                <w:rFonts w:hint="eastAsia"/>
                <w:color w:val="auto"/>
              </w:rPr>
              <w:t>mg/m³</w:t>
            </w:r>
          </w:p>
          <w:p>
            <w:pPr>
              <w:pStyle w:val="107"/>
              <w:rPr>
                <w:rStyle w:val="63"/>
                <w:color w:val="auto"/>
              </w:rPr>
            </w:pPr>
          </w:p>
          <w:p>
            <w:pPr>
              <w:pStyle w:val="107"/>
              <w:rPr>
                <w:rStyle w:val="63"/>
                <w:color w:val="auto"/>
              </w:rPr>
            </w:pPr>
            <w:r>
              <w:rPr>
                <w:rStyle w:val="63"/>
                <w:color w:val="auto"/>
              </w:rPr>
              <w:t>NMHC:</w:t>
            </w:r>
          </w:p>
          <w:p>
            <w:pPr>
              <w:pStyle w:val="107"/>
              <w:rPr>
                <w:rStyle w:val="63"/>
                <w:color w:val="auto"/>
              </w:rPr>
            </w:pPr>
            <w:r>
              <w:rPr>
                <w:rStyle w:val="63"/>
                <w:color w:val="auto"/>
              </w:rPr>
              <w:t>0.42</w:t>
            </w:r>
            <w:r>
              <w:rPr>
                <w:rStyle w:val="63"/>
                <w:rFonts w:hint="eastAsia"/>
                <w:color w:val="auto"/>
              </w:rPr>
              <w:t>mg/m³</w:t>
            </w:r>
          </w:p>
          <w:p>
            <w:pPr>
              <w:pStyle w:val="107"/>
              <w:rPr>
                <w:rStyle w:val="63"/>
                <w:color w:val="auto"/>
              </w:rPr>
            </w:pPr>
          </w:p>
          <w:p>
            <w:pPr>
              <w:pStyle w:val="107"/>
              <w:rPr>
                <w:rStyle w:val="63"/>
                <w:color w:val="auto"/>
              </w:rPr>
            </w:pPr>
            <w:r>
              <w:rPr>
                <w:rStyle w:val="63"/>
                <w:color w:val="auto"/>
              </w:rPr>
              <w:t>硫化氢：</w:t>
            </w:r>
            <w:r>
              <w:rPr>
                <w:rStyle w:val="63"/>
                <w:rFonts w:hint="eastAsia"/>
                <w:color w:val="auto"/>
              </w:rPr>
              <w:t>0.01</w:t>
            </w:r>
            <w:r>
              <w:rPr>
                <w:rStyle w:val="63"/>
                <w:color w:val="auto"/>
              </w:rPr>
              <w:t>5</w:t>
            </w:r>
            <w:r>
              <w:rPr>
                <w:rStyle w:val="63"/>
                <w:rFonts w:hint="eastAsia"/>
                <w:color w:val="auto"/>
              </w:rPr>
              <w:t>mg/m³</w:t>
            </w:r>
          </w:p>
          <w:p>
            <w:pPr>
              <w:pStyle w:val="107"/>
              <w:rPr>
                <w:rStyle w:val="63"/>
                <w:color w:val="auto"/>
              </w:rPr>
            </w:pPr>
            <w:r>
              <w:rPr>
                <w:rStyle w:val="63"/>
                <w:rFonts w:hint="eastAsia"/>
                <w:color w:val="auto"/>
              </w:rPr>
              <w:t>（0</w:t>
            </w:r>
            <w:r>
              <w:rPr>
                <w:rStyle w:val="63"/>
                <w:color w:val="auto"/>
              </w:rPr>
              <w:t>.00034 kg/h</w:t>
            </w:r>
            <w:r>
              <w:rPr>
                <w:rStyle w:val="63"/>
                <w:rFonts w:hint="eastAsia"/>
                <w:color w:val="auto"/>
              </w:rPr>
              <w:t>）</w:t>
            </w:r>
          </w:p>
        </w:tc>
        <w:tc>
          <w:tcPr>
            <w:tcW w:w="2151" w:type="dxa"/>
            <w:vMerge w:val="restart"/>
            <w:tcBorders>
              <w:top w:val="single" w:color="auto" w:sz="4" w:space="0"/>
              <w:left w:val="nil"/>
              <w:bottom w:val="single" w:color="auto" w:sz="4" w:space="0"/>
              <w:right w:val="single" w:color="auto" w:sz="4" w:space="0"/>
            </w:tcBorders>
            <w:shd w:val="clear" w:color="auto" w:fill="auto"/>
            <w:vAlign w:val="center"/>
          </w:tcPr>
          <w:p>
            <w:pPr>
              <w:pStyle w:val="107"/>
              <w:rPr>
                <w:color w:val="auto"/>
              </w:rPr>
            </w:pPr>
            <w:r>
              <w:rPr>
                <w:rFonts w:hint="eastAsia" w:ascii="宋体" w:hAnsi="宋体"/>
                <w:color w:val="auto"/>
              </w:rPr>
              <w:t>颗粒物≤</w:t>
            </w:r>
            <w:r>
              <w:rPr>
                <w:rFonts w:cs="Arial"/>
                <w:color w:val="auto"/>
              </w:rPr>
              <w:t>12mg/m</w:t>
            </w:r>
            <w:r>
              <w:rPr>
                <w:rFonts w:cs="Arial"/>
                <w:color w:val="auto"/>
                <w:vertAlign w:val="superscript"/>
              </w:rPr>
              <w:t>3</w:t>
            </w:r>
            <w:r>
              <w:rPr>
                <w:rFonts w:hint="eastAsia" w:ascii="宋体" w:hAnsi="宋体"/>
                <w:color w:val="auto"/>
              </w:rPr>
              <w:t>，基准排气量：</w:t>
            </w:r>
            <w:r>
              <w:rPr>
                <w:rFonts w:cs="Arial"/>
                <w:color w:val="auto"/>
              </w:rPr>
              <w:t>2000</w:t>
            </w:r>
            <w:r>
              <w:rPr>
                <w:rFonts w:cs="Arial"/>
                <w:b/>
                <w:bCs/>
                <w:color w:val="auto"/>
              </w:rPr>
              <w:t xml:space="preserve"> </w:t>
            </w:r>
            <w:r>
              <w:rPr>
                <w:rFonts w:cs="Arial"/>
                <w:color w:val="auto"/>
              </w:rPr>
              <w:t>m</w:t>
            </w:r>
            <w:r>
              <w:rPr>
                <w:rFonts w:cs="Arial"/>
                <w:color w:val="auto"/>
                <w:vertAlign w:val="superscript"/>
              </w:rPr>
              <w:t>3</w:t>
            </w:r>
            <w:r>
              <w:rPr>
                <w:rFonts w:cs="Arial"/>
                <w:color w:val="auto"/>
              </w:rPr>
              <w:t>/t</w:t>
            </w:r>
            <w:r>
              <w:rPr>
                <w:rFonts w:hint="eastAsia" w:ascii="宋体" w:hAnsi="宋体"/>
                <w:color w:val="auto"/>
              </w:rPr>
              <w:t>胶；</w:t>
            </w:r>
          </w:p>
          <w:p>
            <w:pPr>
              <w:pStyle w:val="107"/>
              <w:rPr>
                <w:rFonts w:ascii="宋体" w:hAnsi="宋体"/>
                <w:color w:val="auto"/>
              </w:rPr>
            </w:pPr>
            <w:r>
              <w:rPr>
                <w:rFonts w:hint="eastAsia" w:ascii="宋体" w:hAnsi="宋体"/>
                <w:color w:val="auto"/>
              </w:rPr>
              <w:t>非甲烷总烃≤</w:t>
            </w:r>
            <w:r>
              <w:rPr>
                <w:rFonts w:cs="Arial"/>
                <w:color w:val="auto"/>
              </w:rPr>
              <w:t>10mg/m</w:t>
            </w:r>
            <w:r>
              <w:rPr>
                <w:rFonts w:cs="Arial"/>
                <w:color w:val="auto"/>
                <w:vertAlign w:val="superscript"/>
              </w:rPr>
              <w:t>3</w:t>
            </w:r>
            <w:r>
              <w:rPr>
                <w:rFonts w:hint="eastAsia" w:ascii="宋体" w:hAnsi="宋体"/>
                <w:color w:val="auto"/>
              </w:rPr>
              <w:t>，基准排气量：</w:t>
            </w:r>
            <w:r>
              <w:rPr>
                <w:rFonts w:cs="Arial"/>
                <w:color w:val="auto"/>
              </w:rPr>
              <w:t>2000</w:t>
            </w:r>
            <w:r>
              <w:rPr>
                <w:rFonts w:cs="Arial"/>
                <w:b/>
                <w:bCs/>
                <w:color w:val="auto"/>
              </w:rPr>
              <w:t xml:space="preserve"> </w:t>
            </w:r>
            <w:r>
              <w:rPr>
                <w:rFonts w:cs="Arial"/>
                <w:color w:val="auto"/>
              </w:rPr>
              <w:t>m</w:t>
            </w:r>
            <w:r>
              <w:rPr>
                <w:rFonts w:cs="Arial"/>
                <w:color w:val="auto"/>
                <w:vertAlign w:val="superscript"/>
              </w:rPr>
              <w:t>3</w:t>
            </w:r>
            <w:r>
              <w:rPr>
                <w:rFonts w:cs="Arial"/>
                <w:color w:val="auto"/>
              </w:rPr>
              <w:t>/t</w:t>
            </w:r>
            <w:r>
              <w:rPr>
                <w:rFonts w:hint="eastAsia" w:ascii="宋体" w:hAnsi="宋体"/>
                <w:color w:val="auto"/>
              </w:rPr>
              <w:t>胶；</w:t>
            </w:r>
          </w:p>
          <w:p>
            <w:pPr>
              <w:pStyle w:val="107"/>
              <w:rPr>
                <w:color w:val="auto"/>
              </w:rPr>
            </w:pPr>
            <w:r>
              <w:rPr>
                <w:rFonts w:cs="Arial"/>
                <w:color w:val="auto"/>
              </w:rPr>
              <w:t>H</w:t>
            </w:r>
            <w:r>
              <w:rPr>
                <w:rFonts w:cs="Arial"/>
                <w:color w:val="auto"/>
                <w:vertAlign w:val="subscript"/>
              </w:rPr>
              <w:t>2</w:t>
            </w:r>
            <w:r>
              <w:rPr>
                <w:rFonts w:cs="Arial"/>
                <w:color w:val="auto"/>
              </w:rPr>
              <w:t>S</w:t>
            </w:r>
            <w:r>
              <w:rPr>
                <w:rFonts w:hint="eastAsia" w:ascii="宋体" w:hAnsi="宋体"/>
                <w:color w:val="auto"/>
              </w:rPr>
              <w:t>≤</w:t>
            </w:r>
            <w:r>
              <w:rPr>
                <w:rFonts w:cs="Arial"/>
                <w:color w:val="auto"/>
              </w:rPr>
              <w:t>0.33 kg/h</w:t>
            </w:r>
          </w:p>
        </w:tc>
        <w:tc>
          <w:tcPr>
            <w:tcW w:w="4535" w:type="dxa"/>
            <w:vMerge w:val="restart"/>
            <w:tcBorders>
              <w:top w:val="single" w:color="auto" w:sz="4" w:space="0"/>
              <w:left w:val="nil"/>
              <w:bottom w:val="single" w:color="auto" w:sz="4" w:space="0"/>
              <w:right w:val="single" w:color="auto" w:sz="4" w:space="0"/>
            </w:tcBorders>
            <w:shd w:val="clear" w:color="auto" w:fill="auto"/>
            <w:vAlign w:val="center"/>
          </w:tcPr>
          <w:p>
            <w:pPr>
              <w:pStyle w:val="107"/>
              <w:rPr>
                <w:rFonts w:ascii="宋体" w:hAnsi="宋体"/>
                <w:color w:val="auto"/>
                <w:sz w:val="20"/>
                <w:szCs w:val="20"/>
              </w:rPr>
            </w:pPr>
            <w:r>
              <w:rPr>
                <w:rFonts w:hint="eastAsia" w:ascii="宋体" w:hAnsi="宋体"/>
                <w:color w:val="auto"/>
              </w:rPr>
              <w:t>《橡胶制品工业污染物排放标准》（</w:t>
            </w:r>
            <w:r>
              <w:rPr>
                <w:rFonts w:cs="Arial"/>
                <w:color w:val="auto"/>
              </w:rPr>
              <w:t>GB 27632-2011</w:t>
            </w:r>
            <w:r>
              <w:rPr>
                <w:rFonts w:hint="eastAsia" w:ascii="宋体" w:hAnsi="宋体"/>
                <w:color w:val="auto"/>
              </w:rPr>
              <w:t>）表</w:t>
            </w:r>
            <w:r>
              <w:rPr>
                <w:rFonts w:cs="Arial"/>
                <w:color w:val="auto"/>
              </w:rPr>
              <w:t>5</w:t>
            </w:r>
            <w:r>
              <w:rPr>
                <w:rFonts w:hint="eastAsia" w:ascii="宋体" w:hAnsi="宋体"/>
                <w:color w:val="auto"/>
              </w:rPr>
              <w:t>中的“轮胎企业及其他制品企业炼胶、硫化装置”颗粒物非甲烷总烃排放限值和表</w:t>
            </w:r>
            <w:r>
              <w:rPr>
                <w:rFonts w:cs="Arial"/>
                <w:color w:val="auto"/>
              </w:rPr>
              <w:t>6</w:t>
            </w:r>
            <w:r>
              <w:rPr>
                <w:rFonts w:hint="eastAsia" w:ascii="宋体" w:hAnsi="宋体"/>
                <w:color w:val="auto"/>
              </w:rPr>
              <w:t>现有和新建企业厂界无组织排放限值，《恶臭污染物排放标准》（</w:t>
            </w:r>
            <w:r>
              <w:rPr>
                <w:rFonts w:cs="Arial"/>
                <w:color w:val="auto"/>
              </w:rPr>
              <w:t>GB 14554-93</w:t>
            </w:r>
            <w:r>
              <w:rPr>
                <w:rFonts w:hint="eastAsia" w:ascii="宋体" w:hAnsi="宋体"/>
                <w:color w:val="auto"/>
              </w:rPr>
              <w:t>）</w:t>
            </w:r>
            <w:r>
              <w:rPr>
                <w:rFonts w:cs="Arial"/>
                <w:color w:val="auto"/>
              </w:rPr>
              <w:t>H</w:t>
            </w:r>
            <w:r>
              <w:rPr>
                <w:rFonts w:cs="Arial"/>
                <w:color w:val="auto"/>
                <w:vertAlign w:val="subscript"/>
              </w:rPr>
              <w:t>2</w:t>
            </w:r>
            <w:r>
              <w:rPr>
                <w:rFonts w:cs="Arial"/>
                <w:color w:val="auto"/>
              </w:rPr>
              <w:t>S 15m</w:t>
            </w:r>
            <w:r>
              <w:rPr>
                <w:rFonts w:hint="eastAsia" w:ascii="宋体" w:hAnsi="宋体"/>
                <w:color w:val="auto"/>
              </w:rPr>
              <w:t>排气筒排放速率限值和厂界标准值</w:t>
            </w: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VOCs（以非甲烷总烃计）</w:t>
            </w:r>
            <w:r>
              <w:rPr>
                <w:rStyle w:val="63"/>
                <w:color w:val="auto"/>
              </w:rPr>
              <w:t>0.021935</w:t>
            </w:r>
            <w:r>
              <w:rPr>
                <w:rFonts w:hint="eastAsia"/>
                <w:color w:val="auto"/>
              </w:rPr>
              <w:t>t/a。</w:t>
            </w:r>
          </w:p>
          <w:p>
            <w:pPr>
              <w:pStyle w:val="107"/>
              <w:rPr>
                <w:color w:val="auto"/>
              </w:rPr>
            </w:pPr>
            <w:r>
              <w:rPr>
                <w:rFonts w:hint="eastAsia"/>
              </w:rPr>
              <w:t>颗粒物0</w:t>
            </w:r>
            <w:r>
              <w:t>.20</w:t>
            </w:r>
            <w:r>
              <w:rPr>
                <w:rStyle w:val="63"/>
                <w:rFonts w:hint="eastAsia"/>
                <w:color w:val="000000" w:themeColor="text1"/>
                <w14:textFill>
                  <w14:solidFill>
                    <w14:schemeClr w14:val="tx1"/>
                  </w14:solidFill>
                </w14:textFill>
              </w:rPr>
              <w:t>4</w:t>
            </w:r>
            <w:r>
              <w:rPr>
                <w:rStyle w:val="63"/>
                <w:color w:val="000000" w:themeColor="text1"/>
                <w14:textFill>
                  <w14:solidFill>
                    <w14:schemeClr w14:val="tx1"/>
                  </w14:solidFill>
                </w14:textFill>
              </w:rPr>
              <w:t>067</w:t>
            </w:r>
            <w:r>
              <w:rPr>
                <w:rFonts w:hint="eastAsia"/>
              </w:rPr>
              <w:t>t/a</w:t>
            </w:r>
            <w:r>
              <w:rPr>
                <w:rFonts w:hint="eastAsia"/>
                <w:color w:val="auto"/>
              </w:rPr>
              <w:t>。</w:t>
            </w:r>
          </w:p>
        </w:tc>
        <w:tc>
          <w:tcPr>
            <w:tcW w:w="1106" w:type="dxa"/>
            <w:vMerge w:val="restart"/>
            <w:tcBorders>
              <w:top w:val="nil"/>
              <w:left w:val="nil"/>
              <w:right w:val="single" w:color="auto" w:sz="4" w:space="0"/>
            </w:tcBorders>
            <w:shd w:val="clear" w:color="auto" w:fill="auto"/>
            <w:vAlign w:val="center"/>
          </w:tcPr>
          <w:p>
            <w:pPr>
              <w:pStyle w:val="107"/>
              <w:rPr>
                <w:color w:val="auto"/>
              </w:rPr>
            </w:pPr>
            <w:r>
              <w:rPr>
                <w:rFonts w:hint="eastAsia"/>
                <w:color w:val="auto"/>
              </w:rPr>
              <w:t>15m高排气筒P</w:t>
            </w:r>
            <w:r>
              <w:rPr>
                <w:color w:val="auto"/>
              </w:rPr>
              <w:t>1</w:t>
            </w:r>
          </w:p>
        </w:tc>
        <w:tc>
          <w:tcPr>
            <w:tcW w:w="3403"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《环境空气质量标准》（GB 3095-2012）二级标准；非甲烷总烃（NMHC）参照执行《大气污染物综合排放标准详解》（中国环境科学出版社出版）中推荐的2.0mg/m³作为小时平均浓度计算依据；</w:t>
            </w:r>
            <w:r>
              <w:rPr>
                <w:rFonts w:cs="Times New Roman"/>
                <w:color w:val="auto"/>
              </w:rPr>
              <w:t>TVOC</w:t>
            </w:r>
            <w:r>
              <w:rPr>
                <w:rFonts w:hint="eastAsia" w:cs="Times New Roman"/>
                <w:color w:val="auto"/>
              </w:rPr>
              <w:t>、</w:t>
            </w:r>
            <w:r>
              <w:rPr>
                <w:color w:val="auto"/>
              </w:rPr>
              <w:t>H</w:t>
            </w:r>
            <w:r>
              <w:rPr>
                <w:color w:val="auto"/>
                <w:vertAlign w:val="subscript"/>
              </w:rPr>
              <w:t>2</w:t>
            </w:r>
            <w:r>
              <w:rPr>
                <w:color w:val="auto"/>
              </w:rPr>
              <w:t>S</w:t>
            </w:r>
            <w:r>
              <w:rPr>
                <w:rFonts w:hint="eastAsia"/>
                <w:color w:val="auto"/>
              </w:rPr>
              <w:t>空气质量浓度参考</w:t>
            </w:r>
            <w:r>
              <w:rPr>
                <w:color w:val="auto"/>
              </w:rPr>
              <w:t>《环境影响评价技术导则</w:t>
            </w:r>
            <w:r>
              <w:rPr>
                <w:rFonts w:hint="eastAsia"/>
                <w:color w:val="auto"/>
              </w:rPr>
              <w:t xml:space="preserve"> </w:t>
            </w:r>
            <w:r>
              <w:rPr>
                <w:color w:val="auto"/>
              </w:rPr>
              <w:t>大气环境》</w:t>
            </w:r>
            <w:r>
              <w:rPr>
                <w:rFonts w:hint="eastAsia"/>
                <w:color w:val="auto"/>
              </w:rPr>
              <w:t>（</w:t>
            </w:r>
            <w:r>
              <w:rPr>
                <w:color w:val="auto"/>
              </w:rPr>
              <w:t>HJ 2.2-2018</w:t>
            </w:r>
            <w:r>
              <w:rPr>
                <w:rFonts w:hint="eastAsia"/>
                <w:color w:val="auto"/>
              </w:rPr>
              <w:t>）附录D有关标准；臭气浓度参照《恶臭污染物排放标准》（GB 14554-93）中新扩改建厂界二级标准限值要求。</w:t>
            </w:r>
          </w:p>
        </w:tc>
      </w:tr>
      <w:tr>
        <w:tblPrEx>
          <w:tblLayout w:type="fixed"/>
          <w:tblCellMar>
            <w:top w:w="0" w:type="dxa"/>
            <w:left w:w="108" w:type="dxa"/>
            <w:bottom w:w="0" w:type="dxa"/>
            <w:right w:w="108" w:type="dxa"/>
          </w:tblCellMar>
        </w:tblPrEx>
        <w:trPr>
          <w:gridAfter w:val="1"/>
          <w:wAfter w:w="64" w:type="dxa"/>
          <w:trHeight w:val="170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874" w:type="dxa"/>
            <w:tcBorders>
              <w:top w:val="nil"/>
              <w:left w:val="single" w:color="auto" w:sz="4" w:space="0"/>
              <w:bottom w:val="single" w:color="auto" w:sz="4" w:space="0"/>
              <w:right w:val="single" w:color="auto" w:sz="4" w:space="0"/>
            </w:tcBorders>
            <w:shd w:val="clear" w:color="auto" w:fill="auto"/>
            <w:vAlign w:val="center"/>
          </w:tcPr>
          <w:p>
            <w:pPr>
              <w:pStyle w:val="107"/>
              <w:rPr>
                <w:rStyle w:val="63"/>
                <w:color w:val="auto"/>
              </w:rPr>
            </w:pPr>
            <w:r>
              <w:rPr>
                <w:rStyle w:val="63"/>
                <w:rFonts w:hint="eastAsia"/>
                <w:color w:val="auto"/>
              </w:rPr>
              <w:t>开炼和硫化工序</w:t>
            </w:r>
          </w:p>
        </w:tc>
        <w:tc>
          <w:tcPr>
            <w:tcW w:w="1276" w:type="dxa"/>
            <w:tcBorders>
              <w:top w:val="single" w:color="auto" w:sz="4" w:space="0"/>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N</w:t>
            </w:r>
            <w:r>
              <w:rPr>
                <w:color w:val="auto"/>
              </w:rPr>
              <w:t>MHC</w:t>
            </w:r>
          </w:p>
          <w:p>
            <w:pPr>
              <w:pStyle w:val="107"/>
              <w:rPr>
                <w:color w:val="auto"/>
              </w:rPr>
            </w:pPr>
            <w:r>
              <w:rPr>
                <w:rFonts w:hint="eastAsia"/>
                <w:color w:val="auto"/>
              </w:rPr>
              <w:t>硫化氢</w:t>
            </w:r>
          </w:p>
        </w:tc>
        <w:tc>
          <w:tcPr>
            <w:tcW w:w="1134" w:type="dxa"/>
            <w:tcBorders>
              <w:top w:val="nil"/>
              <w:left w:val="single" w:color="auto" w:sz="4" w:space="0"/>
              <w:bottom w:val="single" w:color="000000" w:sz="4" w:space="0"/>
              <w:right w:val="single" w:color="auto" w:sz="4" w:space="0"/>
            </w:tcBorders>
            <w:shd w:val="clear" w:color="auto" w:fill="auto"/>
            <w:vAlign w:val="center"/>
          </w:tcPr>
          <w:p>
            <w:pPr>
              <w:pStyle w:val="107"/>
              <w:rPr>
                <w:color w:val="auto"/>
              </w:rPr>
            </w:pPr>
            <w:r>
              <w:rPr>
                <w:rStyle w:val="63"/>
                <w:rFonts w:hint="eastAsia"/>
                <w:color w:val="auto"/>
              </w:rPr>
              <w:t>集气罩+局部围合抽气</w:t>
            </w:r>
          </w:p>
        </w:tc>
        <w:tc>
          <w:tcPr>
            <w:tcW w:w="709" w:type="dxa"/>
            <w:tcBorders>
              <w:top w:val="nil"/>
              <w:left w:val="single" w:color="auto" w:sz="4" w:space="0"/>
              <w:bottom w:val="single" w:color="000000" w:sz="4" w:space="0"/>
              <w:right w:val="single" w:color="auto" w:sz="4" w:space="0"/>
            </w:tcBorders>
            <w:shd w:val="clear" w:color="auto" w:fill="auto"/>
            <w:vAlign w:val="center"/>
          </w:tcPr>
          <w:p>
            <w:pPr>
              <w:pStyle w:val="107"/>
              <w:rPr>
                <w:rStyle w:val="63"/>
                <w:color w:val="auto"/>
              </w:rPr>
            </w:pPr>
            <w:r>
              <w:rPr>
                <w:rStyle w:val="63"/>
                <w:color w:val="auto"/>
              </w:rPr>
              <w:t>90%</w:t>
            </w:r>
          </w:p>
        </w:tc>
        <w:tc>
          <w:tcPr>
            <w:tcW w:w="1417" w:type="dxa"/>
            <w:tcBorders>
              <w:top w:val="nil"/>
              <w:left w:val="single" w:color="auto" w:sz="4" w:space="0"/>
              <w:bottom w:val="single" w:color="000000" w:sz="4" w:space="0"/>
              <w:right w:val="single" w:color="auto" w:sz="4" w:space="0"/>
            </w:tcBorders>
            <w:shd w:val="clear" w:color="auto" w:fill="auto"/>
            <w:vAlign w:val="center"/>
          </w:tcPr>
          <w:p>
            <w:pPr>
              <w:pStyle w:val="107"/>
              <w:rPr>
                <w:rStyle w:val="63"/>
                <w:color w:val="auto"/>
              </w:rPr>
            </w:pPr>
            <w:r>
              <w:rPr>
                <w:rStyle w:val="63"/>
                <w:rFonts w:hint="eastAsia"/>
                <w:color w:val="auto"/>
              </w:rPr>
              <w:t>1套“喷淋塔+UV光解+活性炭吸附”净化装置</w:t>
            </w:r>
          </w:p>
        </w:tc>
        <w:tc>
          <w:tcPr>
            <w:tcW w:w="822" w:type="dxa"/>
            <w:tcBorders>
              <w:top w:val="nil"/>
              <w:left w:val="single" w:color="auto" w:sz="4" w:space="0"/>
              <w:bottom w:val="single" w:color="000000" w:sz="4" w:space="0"/>
              <w:right w:val="single" w:color="auto" w:sz="4" w:space="0"/>
            </w:tcBorders>
            <w:shd w:val="clear" w:color="auto" w:fill="auto"/>
            <w:vAlign w:val="center"/>
          </w:tcPr>
          <w:p>
            <w:pPr>
              <w:pStyle w:val="107"/>
              <w:rPr>
                <w:rStyle w:val="63"/>
                <w:color w:val="auto"/>
              </w:rPr>
            </w:pPr>
            <w:r>
              <w:rPr>
                <w:rStyle w:val="63"/>
                <w:rFonts w:hint="eastAsia"/>
                <w:color w:val="auto"/>
              </w:rPr>
              <w:t>9</w:t>
            </w:r>
            <w:r>
              <w:rPr>
                <w:rStyle w:val="63"/>
                <w:color w:val="auto"/>
              </w:rPr>
              <w:t>2</w:t>
            </w:r>
            <w:r>
              <w:rPr>
                <w:rStyle w:val="63"/>
                <w:rFonts w:hint="eastAsia"/>
                <w:color w:val="auto"/>
              </w:rPr>
              <w:t>%</w:t>
            </w:r>
          </w:p>
        </w:tc>
        <w:tc>
          <w:tcPr>
            <w:tcW w:w="850" w:type="dxa"/>
            <w:vMerge w:val="continue"/>
            <w:tcBorders>
              <w:left w:val="single" w:color="auto" w:sz="4" w:space="0"/>
              <w:bottom w:val="single" w:color="000000" w:sz="4" w:space="0"/>
              <w:right w:val="single" w:color="auto" w:sz="4" w:space="0"/>
            </w:tcBorders>
            <w:shd w:val="clear" w:color="auto" w:fill="auto"/>
            <w:vAlign w:val="center"/>
          </w:tcPr>
          <w:p>
            <w:pPr>
              <w:pStyle w:val="107"/>
              <w:rPr>
                <w:color w:val="auto"/>
              </w:rPr>
            </w:pPr>
          </w:p>
        </w:tc>
        <w:tc>
          <w:tcPr>
            <w:tcW w:w="124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color w:val="auto"/>
              </w:rPr>
            </w:pPr>
          </w:p>
        </w:tc>
        <w:tc>
          <w:tcPr>
            <w:tcW w:w="215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宋体" w:hAnsi="宋体"/>
                <w:color w:val="auto"/>
              </w:rPr>
            </w:pPr>
          </w:p>
        </w:tc>
        <w:tc>
          <w:tcPr>
            <w:tcW w:w="45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rFonts w:ascii="宋体" w:hAnsi="宋体"/>
                <w:color w:val="auto"/>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06" w:type="dxa"/>
            <w:vMerge w:val="continue"/>
            <w:tcBorders>
              <w:left w:val="single" w:color="auto" w:sz="4" w:space="0"/>
              <w:right w:val="single" w:color="auto" w:sz="4" w:space="0"/>
            </w:tcBorders>
            <w:shd w:val="clear" w:color="auto" w:fill="auto"/>
            <w:vAlign w:val="center"/>
          </w:tcPr>
          <w:p>
            <w:pPr>
              <w:pStyle w:val="107"/>
              <w:rPr>
                <w:color w:val="auto"/>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874"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上述工序</w:t>
            </w:r>
          </w:p>
        </w:tc>
        <w:tc>
          <w:tcPr>
            <w:tcW w:w="1276" w:type="dxa"/>
            <w:tcBorders>
              <w:top w:val="single" w:color="auto" w:sz="4" w:space="0"/>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臭气浓度</w:t>
            </w:r>
          </w:p>
        </w:tc>
        <w:tc>
          <w:tcPr>
            <w:tcW w:w="1134"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上述装置</w:t>
            </w:r>
          </w:p>
        </w:tc>
        <w:tc>
          <w:tcPr>
            <w:tcW w:w="709"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c>
          <w:tcPr>
            <w:tcW w:w="1417"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上述措施</w:t>
            </w:r>
          </w:p>
        </w:tc>
        <w:tc>
          <w:tcPr>
            <w:tcW w:w="822"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c>
          <w:tcPr>
            <w:tcW w:w="850"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c>
          <w:tcPr>
            <w:tcW w:w="124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color w:val="auto"/>
              </w:rPr>
            </w:pPr>
            <w:r>
              <w:rPr>
                <w:color w:val="auto"/>
              </w:rPr>
              <w:t>10</w:t>
            </w:r>
            <w:r>
              <w:rPr>
                <w:rFonts w:hint="eastAsia"/>
                <w:color w:val="auto"/>
              </w:rPr>
              <w:t>0（无量纲）</w:t>
            </w:r>
          </w:p>
        </w:tc>
        <w:tc>
          <w:tcPr>
            <w:tcW w:w="2151" w:type="dxa"/>
            <w:tcBorders>
              <w:top w:val="single" w:color="auto" w:sz="4" w:space="0"/>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臭气浓度≤20</w:t>
            </w:r>
            <w:r>
              <w:rPr>
                <w:color w:val="auto"/>
              </w:rPr>
              <w:t>00</w:t>
            </w:r>
            <w:r>
              <w:rPr>
                <w:rFonts w:hint="eastAsia"/>
                <w:color w:val="auto"/>
              </w:rPr>
              <w:t>（无量纲）</w:t>
            </w:r>
          </w:p>
        </w:tc>
        <w:tc>
          <w:tcPr>
            <w:tcW w:w="4535" w:type="dxa"/>
            <w:tcBorders>
              <w:top w:val="single" w:color="auto" w:sz="4" w:space="0"/>
              <w:left w:val="nil"/>
              <w:bottom w:val="single" w:color="auto" w:sz="4" w:space="0"/>
              <w:right w:val="single" w:color="auto" w:sz="4" w:space="0"/>
            </w:tcBorders>
            <w:shd w:val="clear" w:color="auto" w:fill="auto"/>
            <w:vAlign w:val="center"/>
          </w:tcPr>
          <w:p>
            <w:pPr>
              <w:pStyle w:val="107"/>
              <w:rPr>
                <w:rFonts w:ascii="宋体" w:hAnsi="宋体"/>
                <w:color w:val="auto"/>
              </w:rPr>
            </w:pPr>
            <w:r>
              <w:rPr>
                <w:rFonts w:hint="eastAsia" w:ascii="宋体" w:hAnsi="宋体"/>
                <w:color w:val="auto"/>
              </w:rPr>
              <w:t>《恶臭污染物排放标准》（</w:t>
            </w:r>
            <w:r>
              <w:rPr>
                <w:rFonts w:cs="Arial"/>
                <w:color w:val="auto"/>
              </w:rPr>
              <w:t>GB 14554-93</w:t>
            </w:r>
            <w:r>
              <w:rPr>
                <w:rFonts w:hint="eastAsia" w:ascii="宋体" w:hAnsi="宋体"/>
                <w:color w:val="auto"/>
              </w:rPr>
              <w:t>）新扩改建二级标准值</w:t>
            </w:r>
          </w:p>
        </w:tc>
        <w:tc>
          <w:tcPr>
            <w:tcW w:w="113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06"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c>
          <w:tcPr>
            <w:tcW w:w="3403"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874"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抛丸废气</w:t>
            </w:r>
          </w:p>
        </w:tc>
        <w:tc>
          <w:tcPr>
            <w:tcW w:w="1276"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颗粒物</w:t>
            </w:r>
          </w:p>
        </w:tc>
        <w:tc>
          <w:tcPr>
            <w:tcW w:w="1134"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抛丸机自带收尘装置</w:t>
            </w:r>
          </w:p>
        </w:tc>
        <w:tc>
          <w:tcPr>
            <w:tcW w:w="709" w:type="dxa"/>
            <w:tcBorders>
              <w:top w:val="nil"/>
              <w:left w:val="nil"/>
              <w:bottom w:val="single" w:color="auto" w:sz="4" w:space="0"/>
              <w:right w:val="single" w:color="auto" w:sz="4" w:space="0"/>
            </w:tcBorders>
            <w:shd w:val="clear" w:color="auto" w:fill="auto"/>
            <w:vAlign w:val="center"/>
          </w:tcPr>
          <w:p>
            <w:pPr>
              <w:pStyle w:val="107"/>
              <w:rPr>
                <w:color w:val="auto"/>
              </w:rPr>
            </w:pPr>
            <w:r>
              <w:rPr>
                <w:color w:val="auto"/>
              </w:rPr>
              <w:t>100</w:t>
            </w:r>
            <w:r>
              <w:rPr>
                <w:rFonts w:hint="eastAsia"/>
                <w:color w:val="auto"/>
              </w:rPr>
              <w:t>%</w:t>
            </w:r>
          </w:p>
        </w:tc>
        <w:tc>
          <w:tcPr>
            <w:tcW w:w="1417"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抛丸机自带废气除尘器处理后由</w:t>
            </w:r>
            <w:r>
              <w:rPr>
                <w:color w:val="auto"/>
              </w:rPr>
              <w:t>15m</w:t>
            </w:r>
            <w:r>
              <w:rPr>
                <w:rFonts w:hint="eastAsia"/>
                <w:color w:val="auto"/>
              </w:rPr>
              <w:t>排气筒排放</w:t>
            </w:r>
          </w:p>
        </w:tc>
        <w:tc>
          <w:tcPr>
            <w:tcW w:w="822" w:type="dxa"/>
            <w:tcBorders>
              <w:top w:val="nil"/>
              <w:left w:val="nil"/>
              <w:bottom w:val="single" w:color="auto" w:sz="4" w:space="0"/>
              <w:right w:val="single" w:color="auto" w:sz="4" w:space="0"/>
            </w:tcBorders>
            <w:shd w:val="clear" w:color="auto" w:fill="auto"/>
            <w:vAlign w:val="center"/>
          </w:tcPr>
          <w:p>
            <w:pPr>
              <w:pStyle w:val="107"/>
              <w:rPr>
                <w:color w:val="auto"/>
              </w:rPr>
            </w:pPr>
            <w:r>
              <w:rPr>
                <w:color w:val="auto"/>
              </w:rPr>
              <w:t>9</w:t>
            </w:r>
            <w:r>
              <w:rPr>
                <w:rFonts w:hint="eastAsia"/>
                <w:color w:val="auto"/>
              </w:rPr>
              <w:t>0%</w:t>
            </w:r>
          </w:p>
        </w:tc>
        <w:tc>
          <w:tcPr>
            <w:tcW w:w="850"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风量</w:t>
            </w:r>
            <w:r>
              <w:rPr>
                <w:color w:val="auto"/>
              </w:rPr>
              <w:t>6</w:t>
            </w:r>
            <w:r>
              <w:rPr>
                <w:rFonts w:hint="eastAsia"/>
                <w:color w:val="auto"/>
              </w:rPr>
              <w:t>000</w:t>
            </w:r>
          </w:p>
          <w:p>
            <w:pPr>
              <w:pStyle w:val="107"/>
              <w:rPr>
                <w:color w:val="auto"/>
              </w:rPr>
            </w:pPr>
            <w:r>
              <w:rPr>
                <w:rFonts w:hint="eastAsia"/>
                <w:color w:val="auto"/>
              </w:rPr>
              <w:t>m³/h</w:t>
            </w:r>
          </w:p>
        </w:tc>
        <w:tc>
          <w:tcPr>
            <w:tcW w:w="1248" w:type="dxa"/>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color w:val="auto"/>
              </w:rPr>
              <w:t>13.9</w:t>
            </w:r>
            <w:r>
              <w:rPr>
                <w:rFonts w:hint="eastAsia"/>
                <w:color w:val="auto"/>
              </w:rPr>
              <w:t>mg/m³</w:t>
            </w:r>
          </w:p>
        </w:tc>
        <w:tc>
          <w:tcPr>
            <w:tcW w:w="2151"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粉尘≤</w:t>
            </w:r>
            <w:r>
              <w:rPr>
                <w:color w:val="auto"/>
              </w:rPr>
              <w:t>120</w:t>
            </w:r>
            <w:r>
              <w:rPr>
                <w:rFonts w:hint="eastAsia"/>
                <w:color w:val="auto"/>
              </w:rPr>
              <w:t xml:space="preserve"> mg/m³</w:t>
            </w:r>
          </w:p>
        </w:tc>
        <w:tc>
          <w:tcPr>
            <w:tcW w:w="4535" w:type="dxa"/>
            <w:tcBorders>
              <w:top w:val="nil"/>
              <w:left w:val="nil"/>
              <w:bottom w:val="single" w:color="auto" w:sz="4" w:space="0"/>
              <w:right w:val="single" w:color="auto" w:sz="4" w:space="0"/>
            </w:tcBorders>
            <w:shd w:val="clear" w:color="auto" w:fill="auto"/>
            <w:vAlign w:val="center"/>
          </w:tcPr>
          <w:p>
            <w:pPr>
              <w:pStyle w:val="107"/>
              <w:jc w:val="left"/>
              <w:rPr>
                <w:rFonts w:ascii="宋体" w:hAnsi="宋体"/>
                <w:color w:val="auto"/>
              </w:rPr>
            </w:pPr>
            <w:r>
              <w:rPr>
                <w:rFonts w:ascii="Times New Roman" w:hAnsi="Times New Roman" w:cs="Times New Roman"/>
                <w:kern w:val="2"/>
              </w:rPr>
              <w:t>广东省地方标准《大气污染物排放限值》（DB44/27-2001）第二时段二级标准及无组织排放监控浓度限值</w:t>
            </w:r>
          </w:p>
        </w:tc>
        <w:tc>
          <w:tcPr>
            <w:tcW w:w="113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06"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15m高排气筒P</w:t>
            </w:r>
            <w:r>
              <w:rPr>
                <w:color w:val="auto"/>
              </w:rPr>
              <w:t>2</w:t>
            </w:r>
          </w:p>
        </w:tc>
        <w:tc>
          <w:tcPr>
            <w:tcW w:w="3403"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874"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污水处理站</w:t>
            </w:r>
          </w:p>
        </w:tc>
        <w:tc>
          <w:tcPr>
            <w:tcW w:w="1276"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恶臭</w:t>
            </w:r>
          </w:p>
        </w:tc>
        <w:tc>
          <w:tcPr>
            <w:tcW w:w="1134"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c>
          <w:tcPr>
            <w:tcW w:w="709" w:type="dxa"/>
            <w:tcBorders>
              <w:top w:val="nil"/>
              <w:left w:val="nil"/>
              <w:bottom w:val="single" w:color="auto" w:sz="4" w:space="0"/>
              <w:right w:val="single" w:color="auto" w:sz="4" w:space="0"/>
            </w:tcBorders>
            <w:shd w:val="clear" w:color="auto" w:fill="auto"/>
            <w:vAlign w:val="center"/>
          </w:tcPr>
          <w:p>
            <w:pPr>
              <w:pStyle w:val="107"/>
              <w:rPr>
                <w:rFonts w:ascii="宋体" w:hAnsi="宋体"/>
                <w:color w:val="auto"/>
              </w:rPr>
            </w:pPr>
            <w:r>
              <w:rPr>
                <w:rFonts w:hint="eastAsia" w:ascii="宋体" w:hAnsi="宋体"/>
                <w:color w:val="auto"/>
              </w:rPr>
              <w:t>/</w:t>
            </w:r>
          </w:p>
        </w:tc>
        <w:tc>
          <w:tcPr>
            <w:tcW w:w="1417" w:type="dxa"/>
            <w:tcBorders>
              <w:top w:val="nil"/>
              <w:left w:val="nil"/>
              <w:bottom w:val="single" w:color="auto" w:sz="4" w:space="0"/>
              <w:right w:val="single" w:color="auto" w:sz="4" w:space="0"/>
            </w:tcBorders>
            <w:shd w:val="clear" w:color="auto" w:fill="auto"/>
            <w:vAlign w:val="center"/>
          </w:tcPr>
          <w:p>
            <w:pPr>
              <w:pStyle w:val="107"/>
              <w:rPr>
                <w:rFonts w:ascii="宋体" w:hAnsi="宋体"/>
                <w:color w:val="auto"/>
              </w:rPr>
            </w:pPr>
            <w:r>
              <w:rPr>
                <w:rFonts w:hint="eastAsia" w:ascii="宋体" w:hAnsi="宋体"/>
                <w:color w:val="auto"/>
              </w:rPr>
              <w:t>各构筑物设密封盖板</w:t>
            </w:r>
          </w:p>
        </w:tc>
        <w:tc>
          <w:tcPr>
            <w:tcW w:w="822" w:type="dxa"/>
            <w:tcBorders>
              <w:top w:val="nil"/>
              <w:left w:val="nil"/>
              <w:bottom w:val="single" w:color="auto" w:sz="4" w:space="0"/>
              <w:right w:val="single" w:color="auto" w:sz="4" w:space="0"/>
            </w:tcBorders>
            <w:shd w:val="clear" w:color="auto" w:fill="auto"/>
            <w:vAlign w:val="center"/>
          </w:tcPr>
          <w:p>
            <w:pPr>
              <w:pStyle w:val="107"/>
              <w:rPr>
                <w:rFonts w:ascii="宋体" w:hAnsi="宋体"/>
                <w:color w:val="auto"/>
              </w:rPr>
            </w:pPr>
            <w:r>
              <w:rPr>
                <w:rFonts w:hint="eastAsia" w:ascii="宋体" w:hAnsi="宋体"/>
                <w:color w:val="auto"/>
              </w:rPr>
              <w:t>/</w:t>
            </w:r>
          </w:p>
        </w:tc>
        <w:tc>
          <w:tcPr>
            <w:tcW w:w="850" w:type="dxa"/>
            <w:tcBorders>
              <w:top w:val="nil"/>
              <w:left w:val="nil"/>
              <w:bottom w:val="single" w:color="auto" w:sz="4" w:space="0"/>
              <w:right w:val="single" w:color="auto" w:sz="4" w:space="0"/>
            </w:tcBorders>
            <w:shd w:val="clear" w:color="auto" w:fill="auto"/>
            <w:vAlign w:val="center"/>
          </w:tcPr>
          <w:p>
            <w:pPr>
              <w:pStyle w:val="107"/>
              <w:rPr>
                <w:rFonts w:ascii="宋体" w:hAnsi="宋体"/>
                <w:color w:val="auto"/>
              </w:rPr>
            </w:pPr>
            <w:r>
              <w:rPr>
                <w:rFonts w:hint="eastAsia" w:ascii="宋体" w:hAnsi="宋体"/>
                <w:color w:val="auto"/>
              </w:rPr>
              <w:t>/</w:t>
            </w:r>
          </w:p>
        </w:tc>
        <w:tc>
          <w:tcPr>
            <w:tcW w:w="1248" w:type="dxa"/>
            <w:tcBorders>
              <w:top w:val="nil"/>
              <w:left w:val="nil"/>
              <w:bottom w:val="single" w:color="auto" w:sz="4" w:space="0"/>
              <w:right w:val="single" w:color="auto" w:sz="4" w:space="0"/>
            </w:tcBorders>
            <w:shd w:val="clear" w:color="auto" w:fill="auto"/>
            <w:vAlign w:val="center"/>
          </w:tcPr>
          <w:p>
            <w:pPr>
              <w:pStyle w:val="107"/>
              <w:rPr>
                <w:rFonts w:ascii="宋体" w:hAnsi="宋体"/>
                <w:color w:val="auto"/>
              </w:rPr>
            </w:pPr>
            <w:r>
              <w:rPr>
                <w:rFonts w:hint="eastAsia" w:ascii="宋体" w:hAnsi="宋体"/>
                <w:color w:val="auto"/>
              </w:rPr>
              <w:t>较少</w:t>
            </w:r>
          </w:p>
        </w:tc>
        <w:tc>
          <w:tcPr>
            <w:tcW w:w="2151"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臭气浓度≤20（无量纲）</w:t>
            </w:r>
          </w:p>
        </w:tc>
        <w:tc>
          <w:tcPr>
            <w:tcW w:w="4535" w:type="dxa"/>
            <w:tcBorders>
              <w:top w:val="nil"/>
              <w:left w:val="nil"/>
              <w:bottom w:val="single" w:color="auto" w:sz="4" w:space="0"/>
              <w:right w:val="single" w:color="auto" w:sz="4" w:space="0"/>
            </w:tcBorders>
            <w:shd w:val="clear" w:color="auto" w:fill="auto"/>
            <w:vAlign w:val="center"/>
          </w:tcPr>
          <w:p>
            <w:pPr>
              <w:pStyle w:val="107"/>
              <w:rPr>
                <w:rFonts w:ascii="宋体" w:hAnsi="宋体"/>
                <w:color w:val="auto"/>
              </w:rPr>
            </w:pPr>
            <w:r>
              <w:rPr>
                <w:rFonts w:hint="eastAsia" w:ascii="宋体" w:hAnsi="宋体"/>
                <w:color w:val="auto"/>
              </w:rPr>
              <w:t>《恶臭污染物排放标准》（</w:t>
            </w:r>
            <w:r>
              <w:rPr>
                <w:rFonts w:cs="Arial"/>
                <w:color w:val="auto"/>
              </w:rPr>
              <w:t>GB 14554-93</w:t>
            </w:r>
            <w:r>
              <w:rPr>
                <w:rFonts w:hint="eastAsia" w:ascii="宋体" w:hAnsi="宋体"/>
                <w:color w:val="auto"/>
              </w:rPr>
              <w:t>）新扩改建二级标准值</w:t>
            </w:r>
          </w:p>
        </w:tc>
        <w:tc>
          <w:tcPr>
            <w:tcW w:w="113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06"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c>
          <w:tcPr>
            <w:tcW w:w="3403"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废水</w:t>
            </w:r>
          </w:p>
        </w:tc>
        <w:tc>
          <w:tcPr>
            <w:tcW w:w="874"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生活污水</w:t>
            </w:r>
          </w:p>
        </w:tc>
        <w:tc>
          <w:tcPr>
            <w:tcW w:w="1276" w:type="dxa"/>
            <w:tcBorders>
              <w:top w:val="nil"/>
              <w:left w:val="nil"/>
              <w:bottom w:val="single" w:color="auto" w:sz="4" w:space="0"/>
              <w:right w:val="single" w:color="auto" w:sz="4" w:space="0"/>
            </w:tcBorders>
            <w:shd w:val="clear" w:color="auto" w:fill="auto"/>
            <w:vAlign w:val="center"/>
          </w:tcPr>
          <w:p>
            <w:pPr>
              <w:pStyle w:val="107"/>
              <w:rPr>
                <w:rFonts w:cs="Arial"/>
                <w:color w:val="auto"/>
              </w:rPr>
            </w:pPr>
            <w:r>
              <w:rPr>
                <w:rFonts w:cs="Arial"/>
                <w:color w:val="auto"/>
              </w:rPr>
              <w:t>COD</w:t>
            </w:r>
            <w:r>
              <w:rPr>
                <w:rFonts w:cs="Arial"/>
                <w:color w:val="auto"/>
                <w:vertAlign w:val="subscript"/>
              </w:rPr>
              <w:t>Cr</w:t>
            </w:r>
          </w:p>
        </w:tc>
        <w:tc>
          <w:tcPr>
            <w:tcW w:w="1134"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rFonts w:ascii="宋体" w:hAnsi="宋体"/>
                <w:color w:val="auto"/>
              </w:rPr>
            </w:pPr>
            <w:r>
              <w:rPr>
                <w:rFonts w:hint="eastAsia" w:ascii="宋体" w:hAnsi="宋体"/>
                <w:color w:val="auto"/>
              </w:rPr>
              <w:t>污水管道</w:t>
            </w:r>
          </w:p>
        </w:tc>
        <w:tc>
          <w:tcPr>
            <w:tcW w:w="709"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rFonts w:cs="Arial"/>
                <w:color w:val="auto"/>
              </w:rPr>
            </w:pPr>
            <w:r>
              <w:rPr>
                <w:rFonts w:cs="Arial"/>
                <w:color w:val="auto"/>
              </w:rPr>
              <w:t>/</w:t>
            </w:r>
          </w:p>
        </w:tc>
        <w:tc>
          <w:tcPr>
            <w:tcW w:w="1417"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独立生活污水处理设施</w:t>
            </w:r>
          </w:p>
        </w:tc>
        <w:tc>
          <w:tcPr>
            <w:tcW w:w="822"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color w:val="auto"/>
              </w:rPr>
            </w:pPr>
            <w:r>
              <w:rPr>
                <w:rFonts w:hint="eastAsia"/>
                <w:color w:val="auto"/>
              </w:rPr>
              <w:t>80%</w:t>
            </w:r>
          </w:p>
        </w:tc>
        <w:tc>
          <w:tcPr>
            <w:tcW w:w="850"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color w:val="auto"/>
              </w:rPr>
            </w:pPr>
            <w:r>
              <w:rPr>
                <w:rFonts w:hint="eastAsia"/>
                <w:color w:val="auto"/>
              </w:rPr>
              <w:t>日处理量</w:t>
            </w:r>
            <w:r>
              <w:rPr>
                <w:color w:val="auto"/>
              </w:rPr>
              <w:t>1</w:t>
            </w:r>
            <w:r>
              <w:rPr>
                <w:rFonts w:hint="eastAsia"/>
                <w:color w:val="auto"/>
              </w:rPr>
              <w:t>.08m³/d以上</w:t>
            </w:r>
          </w:p>
        </w:tc>
        <w:tc>
          <w:tcPr>
            <w:tcW w:w="1248" w:type="dxa"/>
            <w:tcBorders>
              <w:top w:val="nil"/>
              <w:left w:val="nil"/>
              <w:bottom w:val="single" w:color="auto" w:sz="4" w:space="0"/>
              <w:right w:val="single" w:color="auto" w:sz="4" w:space="0"/>
            </w:tcBorders>
            <w:shd w:val="clear" w:color="auto" w:fill="auto"/>
            <w:vAlign w:val="center"/>
          </w:tcPr>
          <w:p>
            <w:pPr>
              <w:pStyle w:val="107"/>
              <w:rPr>
                <w:color w:val="auto"/>
              </w:rPr>
            </w:pPr>
            <w:r>
              <w:rPr>
                <w:color w:val="auto"/>
              </w:rPr>
              <w:t>4</w:t>
            </w:r>
            <w:r>
              <w:rPr>
                <w:rFonts w:hint="eastAsia"/>
                <w:color w:val="auto"/>
              </w:rPr>
              <w:t>0mg/L</w:t>
            </w:r>
          </w:p>
        </w:tc>
        <w:tc>
          <w:tcPr>
            <w:tcW w:w="2151"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COD</w:t>
            </w:r>
            <w:r>
              <w:rPr>
                <w:rFonts w:hint="eastAsia"/>
                <w:color w:val="auto"/>
                <w:vertAlign w:val="subscript"/>
              </w:rPr>
              <w:t>Cr</w:t>
            </w:r>
            <w:r>
              <w:rPr>
                <w:rFonts w:hint="eastAsia"/>
                <w:color w:val="auto"/>
              </w:rPr>
              <w:t>≤300mg/L</w:t>
            </w:r>
            <w:r>
              <w:rPr>
                <w:rFonts w:hint="eastAsia"/>
                <w:color w:val="auto"/>
              </w:rPr>
              <w:br w:type="textWrapping"/>
            </w:r>
            <w:r>
              <w:rPr>
                <w:rFonts w:hint="eastAsia"/>
                <w:color w:val="auto"/>
              </w:rPr>
              <w:t>BOD</w:t>
            </w:r>
            <w:r>
              <w:rPr>
                <w:rFonts w:hint="eastAsia"/>
                <w:color w:val="auto"/>
                <w:vertAlign w:val="subscript"/>
              </w:rPr>
              <w:t>5</w:t>
            </w:r>
            <w:r>
              <w:rPr>
                <w:rFonts w:hint="eastAsia"/>
                <w:color w:val="auto"/>
              </w:rPr>
              <w:t>≤80mg/L</w:t>
            </w:r>
            <w:r>
              <w:rPr>
                <w:rFonts w:hint="eastAsia"/>
                <w:color w:val="auto"/>
              </w:rPr>
              <w:br w:type="textWrapping"/>
            </w:r>
            <w:r>
              <w:rPr>
                <w:rFonts w:hint="eastAsia"/>
                <w:color w:val="auto"/>
              </w:rPr>
              <w:t>SS≤150mg/L</w:t>
            </w:r>
            <w:r>
              <w:rPr>
                <w:rFonts w:hint="eastAsia"/>
                <w:color w:val="auto"/>
              </w:rPr>
              <w:br w:type="textWrapping"/>
            </w:r>
            <w:r>
              <w:rPr>
                <w:rFonts w:hint="eastAsia"/>
                <w:color w:val="auto"/>
              </w:rPr>
              <w:t>NH</w:t>
            </w:r>
            <w:r>
              <w:rPr>
                <w:rFonts w:hint="eastAsia"/>
                <w:color w:val="auto"/>
                <w:vertAlign w:val="subscript"/>
              </w:rPr>
              <w:t>3</w:t>
            </w:r>
            <w:r>
              <w:rPr>
                <w:rFonts w:hint="eastAsia"/>
                <w:color w:val="auto"/>
              </w:rPr>
              <w:t>-N≤30mg/L</w:t>
            </w:r>
            <w:r>
              <w:rPr>
                <w:rFonts w:hint="eastAsia"/>
                <w:color w:val="auto"/>
              </w:rPr>
              <w:br w:type="textWrapping"/>
            </w:r>
            <w:r>
              <w:rPr>
                <w:rFonts w:hint="eastAsia"/>
                <w:color w:val="auto"/>
              </w:rPr>
              <w:t>动植物油≤100mg/L</w:t>
            </w:r>
          </w:p>
        </w:tc>
        <w:tc>
          <w:tcPr>
            <w:tcW w:w="4535"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《橡胶制品工业污染物排放标准》（GB 27632-2011）表 2 新建企业水污染物排放限值（间接排放限值），和广东省《水污染物排放限值》（DB 44/26-2001）第二时段三级标准中较严者</w:t>
            </w: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无。</w:t>
            </w:r>
          </w:p>
        </w:tc>
        <w:tc>
          <w:tcPr>
            <w:tcW w:w="1106"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污水排放口1处</w:t>
            </w:r>
          </w:p>
        </w:tc>
        <w:tc>
          <w:tcPr>
            <w:tcW w:w="3403"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宋体" w:hAnsi="宋体"/>
                <w:color w:val="auto"/>
              </w:rPr>
            </w:pPr>
            <w:r>
              <w:rPr>
                <w:rFonts w:hint="eastAsia" w:ascii="宋体" w:hAnsi="宋体"/>
                <w:color w:val="auto"/>
              </w:rPr>
              <w:t>镇海水执行《地表水环境质量标准》（</w:t>
            </w:r>
            <w:r>
              <w:rPr>
                <w:rFonts w:cs="Arial"/>
                <w:color w:val="auto"/>
              </w:rPr>
              <w:t>GB 3838-2002</w:t>
            </w:r>
            <w:r>
              <w:rPr>
                <w:rFonts w:hint="eastAsia" w:ascii="宋体" w:hAnsi="宋体"/>
                <w:color w:val="auto"/>
              </w:rPr>
              <w:t>）</w:t>
            </w:r>
            <w:r>
              <w:rPr>
                <w:rFonts w:cs="Arial"/>
                <w:color w:val="auto"/>
              </w:rPr>
              <w:t>III</w:t>
            </w:r>
            <w:r>
              <w:rPr>
                <w:rFonts w:hint="eastAsia" w:ascii="宋体" w:hAnsi="宋体"/>
                <w:color w:val="auto"/>
              </w:rPr>
              <w:t>类标准，潭江执行《地表水环境质量标准》（</w:t>
            </w:r>
            <w:r>
              <w:rPr>
                <w:rFonts w:cs="Arial"/>
                <w:color w:val="auto"/>
              </w:rPr>
              <w:t>GB 3838-2002</w:t>
            </w:r>
            <w:r>
              <w:rPr>
                <w:rFonts w:hint="eastAsia" w:ascii="宋体" w:hAnsi="宋体"/>
                <w:color w:val="auto"/>
              </w:rPr>
              <w:t>）</w:t>
            </w:r>
            <w:r>
              <w:rPr>
                <w:rFonts w:cs="Arial"/>
                <w:color w:val="auto"/>
              </w:rPr>
              <w:t>II</w:t>
            </w:r>
            <w:r>
              <w:rPr>
                <w:rFonts w:hint="eastAsia" w:ascii="宋体" w:hAnsi="宋体"/>
                <w:color w:val="auto"/>
              </w:rPr>
              <w:t>类标准；地下水执行《地下水质量标准》（</w:t>
            </w:r>
            <w:r>
              <w:rPr>
                <w:rFonts w:cs="Arial"/>
                <w:color w:val="auto"/>
              </w:rPr>
              <w:t>GB/T 14848-2017</w:t>
            </w:r>
            <w:r>
              <w:rPr>
                <w:rFonts w:hint="eastAsia" w:ascii="宋体" w:hAnsi="宋体"/>
                <w:color w:val="auto"/>
              </w:rPr>
              <w:t>）</w:t>
            </w:r>
            <w:r>
              <w:rPr>
                <w:rFonts w:cs="Arial"/>
                <w:color w:val="auto"/>
              </w:rPr>
              <w:t>III</w:t>
            </w:r>
            <w:r>
              <w:rPr>
                <w:rFonts w:hint="eastAsia" w:ascii="宋体" w:hAnsi="宋体"/>
                <w:color w:val="auto"/>
              </w:rPr>
              <w:t>类标准</w:t>
            </w: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87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276" w:type="dxa"/>
            <w:tcBorders>
              <w:top w:val="nil"/>
              <w:left w:val="nil"/>
              <w:bottom w:val="single" w:color="auto" w:sz="4" w:space="0"/>
              <w:right w:val="single" w:color="auto" w:sz="4" w:space="0"/>
            </w:tcBorders>
            <w:shd w:val="clear" w:color="auto" w:fill="auto"/>
            <w:vAlign w:val="center"/>
          </w:tcPr>
          <w:p>
            <w:pPr>
              <w:pStyle w:val="107"/>
              <w:rPr>
                <w:rFonts w:cs="Arial"/>
                <w:color w:val="auto"/>
              </w:rPr>
            </w:pPr>
            <w:r>
              <w:rPr>
                <w:rFonts w:cs="Arial"/>
                <w:color w:val="auto"/>
              </w:rPr>
              <w:t>BOD</w:t>
            </w:r>
            <w:r>
              <w:rPr>
                <w:rFonts w:cs="Arial"/>
                <w:color w:val="auto"/>
                <w:vertAlign w:val="subscript"/>
              </w:rPr>
              <w:t>5</w:t>
            </w:r>
          </w:p>
        </w:tc>
        <w:tc>
          <w:tcPr>
            <w:tcW w:w="1134" w:type="dxa"/>
            <w:vMerge w:val="continue"/>
            <w:tcBorders>
              <w:top w:val="nil"/>
              <w:left w:val="single" w:color="auto" w:sz="4" w:space="0"/>
              <w:bottom w:val="single" w:color="000000" w:sz="4" w:space="0"/>
              <w:right w:val="single" w:color="auto" w:sz="4" w:space="0"/>
            </w:tcBorders>
            <w:vAlign w:val="center"/>
          </w:tcPr>
          <w:p>
            <w:pPr>
              <w:pStyle w:val="107"/>
              <w:rPr>
                <w:rFonts w:ascii="宋体" w:hAnsi="宋体"/>
                <w:color w:val="auto"/>
              </w:rPr>
            </w:pPr>
          </w:p>
        </w:tc>
        <w:tc>
          <w:tcPr>
            <w:tcW w:w="709" w:type="dxa"/>
            <w:vMerge w:val="continue"/>
            <w:tcBorders>
              <w:top w:val="nil"/>
              <w:left w:val="single" w:color="auto" w:sz="4" w:space="0"/>
              <w:bottom w:val="single" w:color="000000" w:sz="4" w:space="0"/>
              <w:right w:val="single" w:color="auto" w:sz="4" w:space="0"/>
            </w:tcBorders>
            <w:vAlign w:val="center"/>
          </w:tcPr>
          <w:p>
            <w:pPr>
              <w:pStyle w:val="107"/>
              <w:rPr>
                <w:rFonts w:cs="Arial"/>
                <w:color w:val="auto"/>
              </w:rPr>
            </w:pPr>
          </w:p>
        </w:tc>
        <w:tc>
          <w:tcPr>
            <w:tcW w:w="1417"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822"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850"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1248"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10mg/L</w:t>
            </w:r>
          </w:p>
        </w:tc>
        <w:tc>
          <w:tcPr>
            <w:tcW w:w="2151"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4535"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宋体" w:hAnsi="宋体"/>
                <w:color w:val="auto"/>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87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276" w:type="dxa"/>
            <w:tcBorders>
              <w:top w:val="nil"/>
              <w:left w:val="nil"/>
              <w:bottom w:val="single" w:color="auto" w:sz="4" w:space="0"/>
              <w:right w:val="single" w:color="auto" w:sz="4" w:space="0"/>
            </w:tcBorders>
            <w:shd w:val="clear" w:color="auto" w:fill="auto"/>
            <w:vAlign w:val="center"/>
          </w:tcPr>
          <w:p>
            <w:pPr>
              <w:pStyle w:val="107"/>
              <w:rPr>
                <w:rFonts w:cs="Arial"/>
                <w:color w:val="auto"/>
              </w:rPr>
            </w:pPr>
            <w:r>
              <w:rPr>
                <w:rFonts w:cs="Arial"/>
                <w:color w:val="auto"/>
              </w:rPr>
              <w:t>SS</w:t>
            </w:r>
          </w:p>
        </w:tc>
        <w:tc>
          <w:tcPr>
            <w:tcW w:w="1134" w:type="dxa"/>
            <w:vMerge w:val="continue"/>
            <w:tcBorders>
              <w:top w:val="nil"/>
              <w:left w:val="single" w:color="auto" w:sz="4" w:space="0"/>
              <w:bottom w:val="single" w:color="000000" w:sz="4" w:space="0"/>
              <w:right w:val="single" w:color="auto" w:sz="4" w:space="0"/>
            </w:tcBorders>
            <w:vAlign w:val="center"/>
          </w:tcPr>
          <w:p>
            <w:pPr>
              <w:pStyle w:val="107"/>
              <w:rPr>
                <w:rFonts w:ascii="宋体" w:hAnsi="宋体"/>
                <w:color w:val="auto"/>
              </w:rPr>
            </w:pPr>
          </w:p>
        </w:tc>
        <w:tc>
          <w:tcPr>
            <w:tcW w:w="709" w:type="dxa"/>
            <w:vMerge w:val="continue"/>
            <w:tcBorders>
              <w:top w:val="nil"/>
              <w:left w:val="single" w:color="auto" w:sz="4" w:space="0"/>
              <w:bottom w:val="single" w:color="000000" w:sz="4" w:space="0"/>
              <w:right w:val="single" w:color="auto" w:sz="4" w:space="0"/>
            </w:tcBorders>
            <w:vAlign w:val="center"/>
          </w:tcPr>
          <w:p>
            <w:pPr>
              <w:pStyle w:val="107"/>
              <w:rPr>
                <w:rFonts w:cs="Arial"/>
                <w:color w:val="auto"/>
              </w:rPr>
            </w:pPr>
          </w:p>
        </w:tc>
        <w:tc>
          <w:tcPr>
            <w:tcW w:w="1417"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822"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850"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1248"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10mg/L</w:t>
            </w:r>
          </w:p>
        </w:tc>
        <w:tc>
          <w:tcPr>
            <w:tcW w:w="2151"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4535"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宋体" w:hAnsi="宋体"/>
                <w:color w:val="auto"/>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87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276" w:type="dxa"/>
            <w:tcBorders>
              <w:top w:val="nil"/>
              <w:left w:val="nil"/>
              <w:bottom w:val="single" w:color="auto" w:sz="4" w:space="0"/>
              <w:right w:val="single" w:color="auto" w:sz="4" w:space="0"/>
            </w:tcBorders>
            <w:shd w:val="clear" w:color="auto" w:fill="auto"/>
            <w:vAlign w:val="center"/>
          </w:tcPr>
          <w:p>
            <w:pPr>
              <w:pStyle w:val="107"/>
              <w:rPr>
                <w:rFonts w:cs="Arial"/>
                <w:color w:val="auto"/>
              </w:rPr>
            </w:pPr>
            <w:r>
              <w:rPr>
                <w:rFonts w:cs="Arial"/>
                <w:color w:val="auto"/>
              </w:rPr>
              <w:t>NH</w:t>
            </w:r>
            <w:r>
              <w:rPr>
                <w:rFonts w:cs="Arial"/>
                <w:color w:val="auto"/>
                <w:vertAlign w:val="subscript"/>
              </w:rPr>
              <w:t>3</w:t>
            </w:r>
            <w:r>
              <w:rPr>
                <w:rFonts w:cs="Arial"/>
                <w:color w:val="auto"/>
              </w:rPr>
              <w:t>-N</w:t>
            </w:r>
          </w:p>
        </w:tc>
        <w:tc>
          <w:tcPr>
            <w:tcW w:w="1134" w:type="dxa"/>
            <w:vMerge w:val="continue"/>
            <w:tcBorders>
              <w:top w:val="nil"/>
              <w:left w:val="single" w:color="auto" w:sz="4" w:space="0"/>
              <w:bottom w:val="single" w:color="000000" w:sz="4" w:space="0"/>
              <w:right w:val="single" w:color="auto" w:sz="4" w:space="0"/>
            </w:tcBorders>
            <w:vAlign w:val="center"/>
          </w:tcPr>
          <w:p>
            <w:pPr>
              <w:pStyle w:val="107"/>
              <w:rPr>
                <w:rFonts w:ascii="宋体" w:hAnsi="宋体"/>
                <w:color w:val="auto"/>
              </w:rPr>
            </w:pPr>
          </w:p>
        </w:tc>
        <w:tc>
          <w:tcPr>
            <w:tcW w:w="709" w:type="dxa"/>
            <w:vMerge w:val="continue"/>
            <w:tcBorders>
              <w:top w:val="nil"/>
              <w:left w:val="single" w:color="auto" w:sz="4" w:space="0"/>
              <w:bottom w:val="single" w:color="000000" w:sz="4" w:space="0"/>
              <w:right w:val="single" w:color="auto" w:sz="4" w:space="0"/>
            </w:tcBorders>
            <w:vAlign w:val="center"/>
          </w:tcPr>
          <w:p>
            <w:pPr>
              <w:pStyle w:val="107"/>
              <w:rPr>
                <w:rFonts w:cs="Arial"/>
                <w:color w:val="auto"/>
              </w:rPr>
            </w:pPr>
          </w:p>
        </w:tc>
        <w:tc>
          <w:tcPr>
            <w:tcW w:w="1417"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822"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850"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1248"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5mg/L</w:t>
            </w:r>
          </w:p>
        </w:tc>
        <w:tc>
          <w:tcPr>
            <w:tcW w:w="2151"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4535"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宋体" w:hAnsi="宋体"/>
                <w:color w:val="auto"/>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87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276" w:type="dxa"/>
            <w:tcBorders>
              <w:top w:val="nil"/>
              <w:left w:val="nil"/>
              <w:bottom w:val="single" w:color="auto" w:sz="4" w:space="0"/>
              <w:right w:val="single" w:color="auto" w:sz="4" w:space="0"/>
            </w:tcBorders>
            <w:shd w:val="clear" w:color="auto" w:fill="auto"/>
            <w:vAlign w:val="center"/>
          </w:tcPr>
          <w:p>
            <w:pPr>
              <w:pStyle w:val="107"/>
              <w:rPr>
                <w:rFonts w:ascii="宋体" w:hAnsi="宋体"/>
                <w:color w:val="auto"/>
              </w:rPr>
            </w:pPr>
            <w:r>
              <w:rPr>
                <w:rFonts w:hint="eastAsia" w:ascii="宋体" w:hAnsi="宋体"/>
                <w:color w:val="auto"/>
              </w:rPr>
              <w:t>动植物油</w:t>
            </w:r>
          </w:p>
        </w:tc>
        <w:tc>
          <w:tcPr>
            <w:tcW w:w="1134" w:type="dxa"/>
            <w:vMerge w:val="continue"/>
            <w:tcBorders>
              <w:top w:val="nil"/>
              <w:left w:val="single" w:color="auto" w:sz="4" w:space="0"/>
              <w:bottom w:val="single" w:color="000000" w:sz="4" w:space="0"/>
              <w:right w:val="single" w:color="auto" w:sz="4" w:space="0"/>
            </w:tcBorders>
            <w:vAlign w:val="center"/>
          </w:tcPr>
          <w:p>
            <w:pPr>
              <w:pStyle w:val="107"/>
              <w:rPr>
                <w:rFonts w:ascii="宋体" w:hAnsi="宋体"/>
                <w:color w:val="auto"/>
              </w:rPr>
            </w:pPr>
          </w:p>
        </w:tc>
        <w:tc>
          <w:tcPr>
            <w:tcW w:w="709" w:type="dxa"/>
            <w:vMerge w:val="continue"/>
            <w:tcBorders>
              <w:top w:val="nil"/>
              <w:left w:val="single" w:color="auto" w:sz="4" w:space="0"/>
              <w:bottom w:val="single" w:color="000000" w:sz="4" w:space="0"/>
              <w:right w:val="single" w:color="auto" w:sz="4" w:space="0"/>
            </w:tcBorders>
            <w:vAlign w:val="center"/>
          </w:tcPr>
          <w:p>
            <w:pPr>
              <w:pStyle w:val="107"/>
              <w:rPr>
                <w:rFonts w:cs="Arial"/>
                <w:color w:val="auto"/>
              </w:rPr>
            </w:pPr>
          </w:p>
        </w:tc>
        <w:tc>
          <w:tcPr>
            <w:tcW w:w="1417"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822"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850"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248"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3mg/L</w:t>
            </w:r>
          </w:p>
        </w:tc>
        <w:tc>
          <w:tcPr>
            <w:tcW w:w="2151"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4535"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rFonts w:ascii="宋体" w:hAnsi="宋体"/>
                <w:color w:val="auto"/>
              </w:rPr>
            </w:pPr>
          </w:p>
        </w:tc>
      </w:tr>
      <w:tr>
        <w:tblPrEx>
          <w:tblLayout w:type="fixed"/>
          <w:tblCellMar>
            <w:top w:w="0" w:type="dxa"/>
            <w:left w:w="108" w:type="dxa"/>
            <w:bottom w:w="0" w:type="dxa"/>
            <w:right w:w="108" w:type="dxa"/>
          </w:tblCellMar>
        </w:tblPrEx>
        <w:trPr>
          <w:gridAfter w:val="1"/>
          <w:wAfter w:w="64" w:type="dxa"/>
          <w:trHeight w:val="1387" w:hRule="atLeast"/>
        </w:trPr>
        <w:tc>
          <w:tcPr>
            <w:tcW w:w="402" w:type="dxa"/>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噪声</w:t>
            </w:r>
          </w:p>
        </w:tc>
        <w:tc>
          <w:tcPr>
            <w:tcW w:w="874"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生产设备</w:t>
            </w:r>
          </w:p>
        </w:tc>
        <w:tc>
          <w:tcPr>
            <w:tcW w:w="1276" w:type="dxa"/>
            <w:tcBorders>
              <w:top w:val="nil"/>
              <w:left w:val="nil"/>
              <w:bottom w:val="single" w:color="auto" w:sz="4" w:space="0"/>
              <w:right w:val="single" w:color="auto" w:sz="4" w:space="0"/>
            </w:tcBorders>
            <w:shd w:val="clear" w:color="auto" w:fill="auto"/>
            <w:vAlign w:val="center"/>
          </w:tcPr>
          <w:p>
            <w:pPr>
              <w:pStyle w:val="107"/>
              <w:rPr>
                <w:rFonts w:cs="Arial"/>
                <w:color w:val="auto"/>
              </w:rPr>
            </w:pPr>
            <w:r>
              <w:rPr>
                <w:rFonts w:hint="eastAsia" w:ascii="宋体" w:hAnsi="宋体" w:cs="Arial"/>
                <w:color w:val="auto"/>
              </w:rPr>
              <w:t>连续等效</w:t>
            </w:r>
            <w:r>
              <w:rPr>
                <w:rFonts w:cs="Arial"/>
                <w:color w:val="auto"/>
              </w:rPr>
              <w:t>A</w:t>
            </w:r>
            <w:r>
              <w:rPr>
                <w:rFonts w:hint="eastAsia" w:ascii="宋体" w:hAnsi="宋体" w:cs="Arial"/>
                <w:color w:val="auto"/>
              </w:rPr>
              <w:t>声级</w:t>
            </w:r>
            <w:r>
              <w:rPr>
                <w:rFonts w:cs="Arial"/>
                <w:color w:val="auto"/>
              </w:rPr>
              <w:t>Leq(A)</w:t>
            </w:r>
          </w:p>
        </w:tc>
        <w:tc>
          <w:tcPr>
            <w:tcW w:w="1134" w:type="dxa"/>
            <w:tcBorders>
              <w:top w:val="nil"/>
              <w:left w:val="nil"/>
              <w:bottom w:val="single" w:color="auto" w:sz="4" w:space="0"/>
              <w:right w:val="single" w:color="auto" w:sz="4" w:space="0"/>
            </w:tcBorders>
            <w:shd w:val="clear" w:color="auto" w:fill="auto"/>
            <w:vAlign w:val="center"/>
          </w:tcPr>
          <w:p>
            <w:pPr>
              <w:pStyle w:val="107"/>
              <w:rPr>
                <w:rFonts w:cs="Arial"/>
                <w:color w:val="auto"/>
              </w:rPr>
            </w:pPr>
            <w:r>
              <w:rPr>
                <w:rFonts w:cs="Arial"/>
                <w:color w:val="auto"/>
              </w:rPr>
              <w:t>/</w:t>
            </w:r>
          </w:p>
        </w:tc>
        <w:tc>
          <w:tcPr>
            <w:tcW w:w="709" w:type="dxa"/>
            <w:tcBorders>
              <w:top w:val="nil"/>
              <w:left w:val="nil"/>
              <w:bottom w:val="single" w:color="auto" w:sz="4" w:space="0"/>
              <w:right w:val="single" w:color="auto" w:sz="4" w:space="0"/>
            </w:tcBorders>
            <w:shd w:val="clear" w:color="auto" w:fill="auto"/>
            <w:vAlign w:val="center"/>
          </w:tcPr>
          <w:p>
            <w:pPr>
              <w:pStyle w:val="107"/>
              <w:rPr>
                <w:rFonts w:cs="Arial"/>
                <w:color w:val="auto"/>
              </w:rPr>
            </w:pPr>
            <w:r>
              <w:rPr>
                <w:rFonts w:cs="Arial"/>
                <w:color w:val="auto"/>
              </w:rPr>
              <w:t>/</w:t>
            </w:r>
          </w:p>
        </w:tc>
        <w:tc>
          <w:tcPr>
            <w:tcW w:w="1417"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车间墙体隔声， 设备隔声罩、消声器、减震等</w:t>
            </w:r>
          </w:p>
        </w:tc>
        <w:tc>
          <w:tcPr>
            <w:tcW w:w="822" w:type="dxa"/>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c>
          <w:tcPr>
            <w:tcW w:w="850"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c>
          <w:tcPr>
            <w:tcW w:w="1248"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c>
          <w:tcPr>
            <w:tcW w:w="2151" w:type="dxa"/>
            <w:tcBorders>
              <w:top w:val="nil"/>
              <w:left w:val="nil"/>
              <w:bottom w:val="single" w:color="auto" w:sz="4" w:space="0"/>
              <w:right w:val="single" w:color="auto" w:sz="4" w:space="0"/>
            </w:tcBorders>
            <w:shd w:val="clear" w:color="auto" w:fill="auto"/>
            <w:vAlign w:val="center"/>
          </w:tcPr>
          <w:p>
            <w:pPr>
              <w:pStyle w:val="107"/>
              <w:rPr>
                <w:rFonts w:ascii="宋体" w:hAnsi="宋体"/>
                <w:color w:val="auto"/>
              </w:rPr>
            </w:pPr>
            <w:r>
              <w:rPr>
                <w:rFonts w:hint="eastAsia" w:ascii="宋体" w:hAnsi="宋体"/>
                <w:color w:val="auto"/>
              </w:rPr>
              <w:t>四周厂界（厂界外</w:t>
            </w:r>
            <w:r>
              <w:rPr>
                <w:rFonts w:cs="Arial"/>
                <w:color w:val="auto"/>
              </w:rPr>
              <w:t>1</w:t>
            </w:r>
            <w:r>
              <w:rPr>
                <w:rFonts w:hint="eastAsia" w:ascii="宋体" w:hAnsi="宋体"/>
                <w:color w:val="auto"/>
              </w:rPr>
              <w:t>米）昼间≤</w:t>
            </w:r>
            <w:r>
              <w:rPr>
                <w:rFonts w:cs="Arial"/>
                <w:color w:val="auto"/>
              </w:rPr>
              <w:t>60dB(A)</w:t>
            </w:r>
            <w:r>
              <w:rPr>
                <w:rFonts w:hint="eastAsia" w:ascii="宋体" w:hAnsi="宋体"/>
                <w:color w:val="auto"/>
              </w:rPr>
              <w:t>，夜间≤</w:t>
            </w:r>
            <w:r>
              <w:rPr>
                <w:rFonts w:cs="Arial"/>
                <w:color w:val="auto"/>
              </w:rPr>
              <w:t>50dB(A)</w:t>
            </w:r>
          </w:p>
        </w:tc>
        <w:tc>
          <w:tcPr>
            <w:tcW w:w="4535" w:type="dxa"/>
            <w:tcBorders>
              <w:top w:val="nil"/>
              <w:left w:val="nil"/>
              <w:bottom w:val="single" w:color="auto" w:sz="4" w:space="0"/>
              <w:right w:val="single" w:color="auto" w:sz="4" w:space="0"/>
            </w:tcBorders>
            <w:shd w:val="clear" w:color="auto" w:fill="auto"/>
            <w:vAlign w:val="center"/>
          </w:tcPr>
          <w:p>
            <w:pPr>
              <w:pStyle w:val="107"/>
              <w:rPr>
                <w:rFonts w:ascii="宋体" w:hAnsi="宋体"/>
                <w:color w:val="auto"/>
              </w:rPr>
            </w:pPr>
            <w:bookmarkStart w:id="699" w:name="RANGE!K15"/>
            <w:r>
              <w:rPr>
                <w:rFonts w:hint="eastAsia" w:ascii="宋体" w:hAnsi="宋体"/>
                <w:color w:val="auto"/>
              </w:rPr>
              <w:t>《工业企业厂界环境噪声排放标准》（</w:t>
            </w:r>
            <w:r>
              <w:rPr>
                <w:rFonts w:cs="Arial"/>
                <w:color w:val="auto"/>
              </w:rPr>
              <w:t>GB 12348-2008</w:t>
            </w:r>
            <w:r>
              <w:rPr>
                <w:rFonts w:hint="eastAsia" w:ascii="宋体" w:hAnsi="宋体"/>
                <w:color w:val="auto"/>
              </w:rPr>
              <w:t>）中</w:t>
            </w:r>
            <w:r>
              <w:rPr>
                <w:rFonts w:cs="Arial"/>
                <w:color w:val="auto"/>
              </w:rPr>
              <w:t>2</w:t>
            </w:r>
            <w:r>
              <w:rPr>
                <w:rFonts w:hint="eastAsia" w:ascii="宋体" w:hAnsi="宋体"/>
                <w:color w:val="auto"/>
              </w:rPr>
              <w:t>类区标准</w:t>
            </w:r>
            <w:bookmarkEnd w:id="699"/>
          </w:p>
        </w:tc>
        <w:tc>
          <w:tcPr>
            <w:tcW w:w="1134"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c>
          <w:tcPr>
            <w:tcW w:w="1106"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c>
          <w:tcPr>
            <w:tcW w:w="3403" w:type="dxa"/>
            <w:tcBorders>
              <w:top w:val="nil"/>
              <w:left w:val="nil"/>
              <w:bottom w:val="single" w:color="auto" w:sz="4" w:space="0"/>
              <w:right w:val="single" w:color="auto" w:sz="4" w:space="0"/>
            </w:tcBorders>
            <w:shd w:val="clear" w:color="auto" w:fill="auto"/>
            <w:vAlign w:val="center"/>
          </w:tcPr>
          <w:p>
            <w:pPr>
              <w:pStyle w:val="107"/>
              <w:rPr>
                <w:rFonts w:ascii="宋体" w:hAnsi="宋体"/>
                <w:color w:val="auto"/>
              </w:rPr>
            </w:pPr>
            <w:r>
              <w:rPr>
                <w:rFonts w:hint="eastAsia" w:ascii="宋体" w:hAnsi="宋体"/>
                <w:color w:val="auto"/>
              </w:rPr>
              <w:t>《声环境质量标准》</w:t>
            </w:r>
            <w:r>
              <w:rPr>
                <w:rFonts w:cs="Arial"/>
                <w:color w:val="auto"/>
              </w:rPr>
              <w:t>(GB 3096-2008)2</w:t>
            </w:r>
            <w:r>
              <w:rPr>
                <w:rFonts w:hint="eastAsia" w:ascii="宋体" w:hAnsi="宋体"/>
                <w:color w:val="auto"/>
              </w:rPr>
              <w:t>类声环境功能区限值</w:t>
            </w:r>
          </w:p>
        </w:tc>
      </w:tr>
      <w:tr>
        <w:tblPrEx>
          <w:tblLayout w:type="fixed"/>
          <w:tblCellMar>
            <w:top w:w="0" w:type="dxa"/>
            <w:left w:w="108" w:type="dxa"/>
            <w:bottom w:w="0" w:type="dxa"/>
            <w:right w:w="108" w:type="dxa"/>
          </w:tblCellMar>
        </w:tblPrEx>
        <w:trPr>
          <w:gridAfter w:val="1"/>
          <w:wAfter w:w="64" w:type="dxa"/>
          <w:trHeight w:val="1710" w:hRule="atLeast"/>
        </w:trPr>
        <w:tc>
          <w:tcPr>
            <w:tcW w:w="402" w:type="dxa"/>
            <w:vMerge w:val="restart"/>
            <w:tcBorders>
              <w:top w:val="nil"/>
              <w:left w:val="single" w:color="auto" w:sz="4" w:space="0"/>
              <w:bottom w:val="single" w:color="000000" w:sz="4" w:space="0"/>
              <w:right w:val="single" w:color="auto" w:sz="4" w:space="0"/>
            </w:tcBorders>
            <w:shd w:val="clear" w:color="auto" w:fill="auto"/>
            <w:vAlign w:val="center"/>
          </w:tcPr>
          <w:p>
            <w:pPr>
              <w:pStyle w:val="107"/>
              <w:rPr>
                <w:color w:val="auto"/>
              </w:rPr>
            </w:pPr>
            <w:r>
              <w:rPr>
                <w:rFonts w:hint="eastAsia"/>
                <w:color w:val="auto"/>
              </w:rPr>
              <w:t>固废</w:t>
            </w:r>
          </w:p>
        </w:tc>
        <w:tc>
          <w:tcPr>
            <w:tcW w:w="874" w:type="dxa"/>
            <w:tcBorders>
              <w:top w:val="single" w:color="auto" w:sz="4" w:space="0"/>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有机废气治理</w:t>
            </w:r>
          </w:p>
        </w:tc>
        <w:tc>
          <w:tcPr>
            <w:tcW w:w="1276" w:type="dxa"/>
            <w:tcBorders>
              <w:top w:val="single" w:color="auto" w:sz="4" w:space="0"/>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废饱和活性炭</w:t>
            </w:r>
          </w:p>
        </w:tc>
        <w:tc>
          <w:tcPr>
            <w:tcW w:w="1843" w:type="dxa"/>
            <w:gridSpan w:val="2"/>
            <w:tcBorders>
              <w:top w:val="single" w:color="auto" w:sz="4" w:space="0"/>
              <w:left w:val="single" w:color="auto" w:sz="4" w:space="0"/>
              <w:bottom w:val="single" w:color="000000" w:sz="4" w:space="0"/>
              <w:right w:val="single" w:color="000000" w:sz="4" w:space="0"/>
            </w:tcBorders>
            <w:shd w:val="clear" w:color="auto" w:fill="auto"/>
            <w:vAlign w:val="center"/>
          </w:tcPr>
          <w:p>
            <w:pPr>
              <w:pStyle w:val="107"/>
              <w:rPr>
                <w:color w:val="auto"/>
              </w:rPr>
            </w:pPr>
            <w:r>
              <w:rPr>
                <w:rFonts w:hint="eastAsia"/>
                <w:color w:val="auto"/>
              </w:rPr>
              <w:t>分类收集、存放于危险废物暂存仓库</w:t>
            </w: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交有资质危险废物处理单位处理</w:t>
            </w:r>
          </w:p>
        </w:tc>
        <w:tc>
          <w:tcPr>
            <w:tcW w:w="822" w:type="dxa"/>
            <w:vMerge w:val="restart"/>
            <w:tcBorders>
              <w:top w:val="single" w:color="auto" w:sz="4" w:space="0"/>
              <w:left w:val="single" w:color="auto" w:sz="4" w:space="0"/>
              <w:bottom w:val="single" w:color="000000" w:sz="4" w:space="0"/>
              <w:right w:val="single" w:color="auto" w:sz="4" w:space="0"/>
            </w:tcBorders>
            <w:vAlign w:val="center"/>
          </w:tcPr>
          <w:p>
            <w:pPr>
              <w:pStyle w:val="107"/>
              <w:rPr>
                <w:color w:val="auto"/>
              </w:rPr>
            </w:pPr>
            <w:r>
              <w:rPr>
                <w:rFonts w:hint="eastAsia"/>
                <w:color w:val="auto"/>
              </w:rPr>
              <w:t>100%</w:t>
            </w:r>
          </w:p>
        </w:tc>
        <w:tc>
          <w:tcPr>
            <w:tcW w:w="850"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c>
          <w:tcPr>
            <w:tcW w:w="1248"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c>
          <w:tcPr>
            <w:tcW w:w="2151"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c>
          <w:tcPr>
            <w:tcW w:w="4535" w:type="dxa"/>
            <w:tcBorders>
              <w:top w:val="nil"/>
              <w:left w:val="single" w:color="auto" w:sz="4" w:space="0"/>
              <w:bottom w:val="single" w:color="auto" w:sz="4" w:space="0"/>
              <w:right w:val="single" w:color="auto" w:sz="4" w:space="0"/>
            </w:tcBorders>
            <w:shd w:val="clear" w:color="auto" w:fill="auto"/>
            <w:vAlign w:val="center"/>
          </w:tcPr>
          <w:p>
            <w:pPr>
              <w:pStyle w:val="107"/>
              <w:rPr>
                <w:rFonts w:ascii="宋体" w:hAnsi="宋体"/>
                <w:color w:val="auto"/>
              </w:rPr>
            </w:pPr>
            <w:r>
              <w:rPr>
                <w:rFonts w:hint="eastAsia" w:ascii="宋体" w:hAnsi="宋体"/>
                <w:color w:val="auto"/>
              </w:rPr>
              <w:t>《危险废物贮存污染控制标准》（</w:t>
            </w:r>
            <w:r>
              <w:rPr>
                <w:rFonts w:cs="Arial"/>
                <w:color w:val="auto"/>
              </w:rPr>
              <w:t>GB 18597</w:t>
            </w:r>
            <w:r>
              <w:rPr>
                <w:rFonts w:hint="eastAsia" w:ascii="宋体" w:hAnsi="宋体"/>
                <w:color w:val="auto"/>
              </w:rPr>
              <w:t>－</w:t>
            </w:r>
            <w:r>
              <w:rPr>
                <w:rFonts w:cs="Arial"/>
                <w:color w:val="auto"/>
              </w:rPr>
              <w:t>2001</w:t>
            </w:r>
            <w:r>
              <w:rPr>
                <w:rFonts w:hint="eastAsia" w:ascii="宋体" w:hAnsi="宋体"/>
                <w:color w:val="auto"/>
              </w:rPr>
              <w:t>）及</w:t>
            </w:r>
            <w:r>
              <w:rPr>
                <w:rFonts w:cs="Arial"/>
                <w:color w:val="auto"/>
              </w:rPr>
              <w:t>2013</w:t>
            </w:r>
            <w:r>
              <w:rPr>
                <w:rFonts w:hint="eastAsia" w:ascii="宋体" w:hAnsi="宋体"/>
                <w:color w:val="auto"/>
              </w:rPr>
              <w:t>年修改单要求</w:t>
            </w:r>
          </w:p>
        </w:tc>
        <w:tc>
          <w:tcPr>
            <w:tcW w:w="1134"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c>
          <w:tcPr>
            <w:tcW w:w="1106"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设置相应的固废暂存点</w:t>
            </w:r>
          </w:p>
        </w:tc>
        <w:tc>
          <w:tcPr>
            <w:tcW w:w="3403"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r>
      <w:tr>
        <w:tblPrEx>
          <w:tblLayout w:type="fixed"/>
          <w:tblCellMar>
            <w:top w:w="0" w:type="dxa"/>
            <w:left w:w="108" w:type="dxa"/>
            <w:bottom w:w="0" w:type="dxa"/>
            <w:right w:w="108" w:type="dxa"/>
          </w:tblCellMar>
        </w:tblPrEx>
        <w:trPr>
          <w:gridAfter w:val="1"/>
          <w:wAfter w:w="64" w:type="dxa"/>
          <w:trHeight w:val="310" w:hRule="atLeast"/>
        </w:trPr>
        <w:tc>
          <w:tcPr>
            <w:tcW w:w="402"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874" w:type="dxa"/>
            <w:tcBorders>
              <w:top w:val="single" w:color="auto" w:sz="4" w:space="0"/>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布袋除尘</w:t>
            </w:r>
          </w:p>
        </w:tc>
        <w:tc>
          <w:tcPr>
            <w:tcW w:w="1276" w:type="dxa"/>
            <w:tcBorders>
              <w:top w:val="single" w:color="auto" w:sz="4" w:space="0"/>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除尘灰</w:t>
            </w:r>
          </w:p>
        </w:tc>
        <w:tc>
          <w:tcPr>
            <w:tcW w:w="3260" w:type="dxa"/>
            <w:gridSpan w:val="3"/>
            <w:vMerge w:val="restart"/>
            <w:tcBorders>
              <w:top w:val="single" w:color="auto" w:sz="4" w:space="0"/>
              <w:left w:val="single" w:color="auto" w:sz="4" w:space="0"/>
              <w:right w:val="single" w:color="auto" w:sz="4" w:space="0"/>
            </w:tcBorders>
            <w:shd w:val="clear" w:color="auto" w:fill="auto"/>
            <w:vAlign w:val="center"/>
          </w:tcPr>
          <w:p>
            <w:pPr>
              <w:pStyle w:val="107"/>
              <w:rPr>
                <w:color w:val="auto"/>
              </w:rPr>
            </w:pPr>
            <w:r>
              <w:rPr>
                <w:rFonts w:hint="eastAsia"/>
                <w:color w:val="auto"/>
              </w:rPr>
              <w:t>回用于生产</w:t>
            </w:r>
          </w:p>
        </w:tc>
        <w:tc>
          <w:tcPr>
            <w:tcW w:w="822"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850"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248"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2151"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4535" w:type="dxa"/>
            <w:vMerge w:val="restart"/>
            <w:tcBorders>
              <w:top w:val="nil"/>
              <w:left w:val="single" w:color="auto" w:sz="4" w:space="0"/>
              <w:bottom w:val="single" w:color="auto" w:sz="4" w:space="0"/>
              <w:right w:val="single" w:color="auto" w:sz="4" w:space="0"/>
            </w:tcBorders>
            <w:shd w:val="clear" w:color="auto" w:fill="auto"/>
            <w:vAlign w:val="center"/>
          </w:tcPr>
          <w:p>
            <w:pPr>
              <w:pStyle w:val="107"/>
              <w:rPr>
                <w:rFonts w:ascii="宋体" w:hAnsi="宋体"/>
                <w:color w:val="auto"/>
              </w:rPr>
            </w:pPr>
            <w:r>
              <w:rPr>
                <w:rFonts w:hint="eastAsia" w:ascii="宋体" w:hAnsi="宋体"/>
                <w:color w:val="auto"/>
              </w:rPr>
              <w:t>《一般工业固体废物贮存、处置场污染控制标准》（</w:t>
            </w:r>
            <w:r>
              <w:rPr>
                <w:rFonts w:cs="Arial"/>
                <w:color w:val="auto"/>
              </w:rPr>
              <w:t>GB 18599-2001</w:t>
            </w:r>
            <w:r>
              <w:rPr>
                <w:rFonts w:hint="eastAsia" w:ascii="宋体" w:hAnsi="宋体"/>
                <w:color w:val="auto"/>
              </w:rPr>
              <w:t>）及</w:t>
            </w:r>
            <w:r>
              <w:rPr>
                <w:rFonts w:cs="Arial"/>
                <w:color w:val="auto"/>
              </w:rPr>
              <w:t>2013</w:t>
            </w:r>
            <w:r>
              <w:rPr>
                <w:rFonts w:hint="eastAsia" w:ascii="宋体" w:hAnsi="宋体"/>
                <w:color w:val="auto"/>
              </w:rPr>
              <w:t>年修改单要求</w:t>
            </w:r>
          </w:p>
        </w:tc>
        <w:tc>
          <w:tcPr>
            <w:tcW w:w="113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r>
      <w:tr>
        <w:tblPrEx>
          <w:tblLayout w:type="fixed"/>
          <w:tblCellMar>
            <w:top w:w="0" w:type="dxa"/>
            <w:left w:w="108" w:type="dxa"/>
            <w:bottom w:w="0" w:type="dxa"/>
            <w:right w:w="108" w:type="dxa"/>
          </w:tblCellMar>
        </w:tblPrEx>
        <w:trPr>
          <w:gridAfter w:val="1"/>
          <w:wAfter w:w="64" w:type="dxa"/>
          <w:trHeight w:val="525" w:hRule="atLeast"/>
        </w:trPr>
        <w:tc>
          <w:tcPr>
            <w:tcW w:w="402"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874" w:type="dxa"/>
            <w:tcBorders>
              <w:top w:val="single" w:color="auto" w:sz="4" w:space="0"/>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切胶</w:t>
            </w:r>
          </w:p>
        </w:tc>
        <w:tc>
          <w:tcPr>
            <w:tcW w:w="1276" w:type="dxa"/>
            <w:tcBorders>
              <w:top w:val="single" w:color="auto" w:sz="4" w:space="0"/>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橡胶边角料</w:t>
            </w:r>
          </w:p>
        </w:tc>
        <w:tc>
          <w:tcPr>
            <w:tcW w:w="3260" w:type="dxa"/>
            <w:gridSpan w:val="3"/>
            <w:vMerge w:val="continue"/>
            <w:tcBorders>
              <w:left w:val="single" w:color="auto" w:sz="4" w:space="0"/>
              <w:bottom w:val="single" w:color="auto" w:sz="4" w:space="0"/>
              <w:right w:val="single" w:color="auto" w:sz="4" w:space="0"/>
            </w:tcBorders>
            <w:shd w:val="clear" w:color="auto" w:fill="auto"/>
            <w:vAlign w:val="center"/>
          </w:tcPr>
          <w:p>
            <w:pPr>
              <w:pStyle w:val="107"/>
              <w:rPr>
                <w:color w:val="auto"/>
              </w:rPr>
            </w:pPr>
          </w:p>
        </w:tc>
        <w:tc>
          <w:tcPr>
            <w:tcW w:w="822"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850"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248"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2151"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4535" w:type="dxa"/>
            <w:vMerge w:val="continue"/>
            <w:tcBorders>
              <w:top w:val="nil"/>
              <w:left w:val="single" w:color="auto" w:sz="4" w:space="0"/>
              <w:bottom w:val="single" w:color="auto" w:sz="4" w:space="0"/>
              <w:right w:val="single" w:color="auto" w:sz="4" w:space="0"/>
            </w:tcBorders>
            <w:shd w:val="clear" w:color="auto" w:fill="auto"/>
            <w:vAlign w:val="center"/>
          </w:tcPr>
          <w:p>
            <w:pPr>
              <w:pStyle w:val="107"/>
              <w:rPr>
                <w:rFonts w:ascii="宋体" w:hAnsi="宋体"/>
                <w:color w:val="auto"/>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874"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投料</w:t>
            </w:r>
          </w:p>
        </w:tc>
        <w:tc>
          <w:tcPr>
            <w:tcW w:w="1276"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废包装材料</w:t>
            </w:r>
          </w:p>
        </w:tc>
        <w:tc>
          <w:tcPr>
            <w:tcW w:w="1843" w:type="dxa"/>
            <w:gridSpan w:val="2"/>
            <w:vMerge w:val="restart"/>
            <w:tcBorders>
              <w:top w:val="single" w:color="auto" w:sz="4" w:space="0"/>
              <w:left w:val="nil"/>
              <w:bottom w:val="single" w:color="auto" w:sz="4" w:space="0"/>
              <w:right w:val="single" w:color="auto" w:sz="4" w:space="0"/>
            </w:tcBorders>
            <w:vAlign w:val="center"/>
          </w:tcPr>
          <w:p>
            <w:pPr>
              <w:pStyle w:val="107"/>
              <w:rPr>
                <w:color w:val="auto"/>
              </w:rPr>
            </w:pPr>
            <w:r>
              <w:rPr>
                <w:rFonts w:hint="eastAsia"/>
                <w:color w:val="auto"/>
              </w:rPr>
              <w:t>单独收集存放（不与危险废物混合）</w:t>
            </w:r>
          </w:p>
        </w:tc>
        <w:tc>
          <w:tcPr>
            <w:tcW w:w="1417" w:type="dxa"/>
            <w:vMerge w:val="restart"/>
            <w:tcBorders>
              <w:top w:val="single" w:color="auto" w:sz="4" w:space="0"/>
              <w:left w:val="single" w:color="auto" w:sz="4" w:space="0"/>
              <w:bottom w:val="single" w:color="auto" w:sz="4" w:space="0"/>
              <w:right w:val="single" w:color="auto" w:sz="4" w:space="0"/>
            </w:tcBorders>
            <w:vAlign w:val="center"/>
          </w:tcPr>
          <w:p>
            <w:pPr>
              <w:pStyle w:val="107"/>
              <w:rPr>
                <w:color w:val="auto"/>
              </w:rPr>
            </w:pPr>
            <w:r>
              <w:rPr>
                <w:rFonts w:hint="eastAsia"/>
                <w:color w:val="auto"/>
              </w:rPr>
              <w:t>收集后交资源回收单位综合利用</w:t>
            </w:r>
          </w:p>
        </w:tc>
        <w:tc>
          <w:tcPr>
            <w:tcW w:w="822"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850"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248"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2151"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4535" w:type="dxa"/>
            <w:vMerge w:val="continue"/>
            <w:tcBorders>
              <w:top w:val="nil"/>
              <w:left w:val="single" w:color="auto" w:sz="4" w:space="0"/>
              <w:bottom w:val="single" w:color="auto" w:sz="4" w:space="0"/>
              <w:right w:val="single" w:color="auto" w:sz="4" w:space="0"/>
            </w:tcBorders>
            <w:vAlign w:val="center"/>
          </w:tcPr>
          <w:p>
            <w:pPr>
              <w:pStyle w:val="107"/>
              <w:rPr>
                <w:rFonts w:ascii="宋体" w:hAnsi="宋体"/>
                <w:color w:val="auto"/>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874"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修边</w:t>
            </w:r>
          </w:p>
        </w:tc>
        <w:tc>
          <w:tcPr>
            <w:tcW w:w="1276"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橡胶边角料</w:t>
            </w:r>
          </w:p>
        </w:tc>
        <w:tc>
          <w:tcPr>
            <w:tcW w:w="1843" w:type="dxa"/>
            <w:gridSpan w:val="2"/>
            <w:vMerge w:val="continue"/>
            <w:tcBorders>
              <w:top w:val="nil"/>
              <w:left w:val="nil"/>
              <w:bottom w:val="single" w:color="auto" w:sz="4" w:space="0"/>
              <w:right w:val="single" w:color="auto" w:sz="4" w:space="0"/>
            </w:tcBorders>
            <w:vAlign w:val="center"/>
          </w:tcPr>
          <w:p>
            <w:pPr>
              <w:pStyle w:val="107"/>
              <w:rPr>
                <w:color w:val="auto"/>
              </w:rPr>
            </w:pPr>
          </w:p>
        </w:tc>
        <w:tc>
          <w:tcPr>
            <w:tcW w:w="1417"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822"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850"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248"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2151"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4535" w:type="dxa"/>
            <w:vMerge w:val="continue"/>
            <w:tcBorders>
              <w:top w:val="nil"/>
              <w:left w:val="single" w:color="auto" w:sz="4" w:space="0"/>
              <w:bottom w:val="single" w:color="auto" w:sz="4" w:space="0"/>
              <w:right w:val="single" w:color="auto" w:sz="4" w:space="0"/>
            </w:tcBorders>
            <w:vAlign w:val="center"/>
          </w:tcPr>
          <w:p>
            <w:pPr>
              <w:pStyle w:val="107"/>
              <w:rPr>
                <w:rFonts w:ascii="宋体" w:hAnsi="宋体"/>
                <w:color w:val="auto"/>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874"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检验</w:t>
            </w:r>
          </w:p>
        </w:tc>
        <w:tc>
          <w:tcPr>
            <w:tcW w:w="1276"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不合格品</w:t>
            </w:r>
          </w:p>
        </w:tc>
        <w:tc>
          <w:tcPr>
            <w:tcW w:w="1843" w:type="dxa"/>
            <w:gridSpan w:val="2"/>
            <w:vMerge w:val="continue"/>
            <w:tcBorders>
              <w:top w:val="nil"/>
              <w:left w:val="nil"/>
              <w:bottom w:val="single" w:color="auto" w:sz="4" w:space="0"/>
              <w:right w:val="single" w:color="auto" w:sz="4" w:space="0"/>
            </w:tcBorders>
            <w:vAlign w:val="center"/>
          </w:tcPr>
          <w:p>
            <w:pPr>
              <w:pStyle w:val="107"/>
              <w:rPr>
                <w:color w:val="auto"/>
              </w:rPr>
            </w:pPr>
          </w:p>
        </w:tc>
        <w:tc>
          <w:tcPr>
            <w:tcW w:w="1417"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822"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850"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248"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2151"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4535" w:type="dxa"/>
            <w:vMerge w:val="continue"/>
            <w:tcBorders>
              <w:top w:val="nil"/>
              <w:left w:val="single" w:color="auto" w:sz="4" w:space="0"/>
              <w:bottom w:val="single" w:color="auto" w:sz="4" w:space="0"/>
              <w:right w:val="single" w:color="auto" w:sz="4" w:space="0"/>
            </w:tcBorders>
            <w:vAlign w:val="center"/>
          </w:tcPr>
          <w:p>
            <w:pPr>
              <w:pStyle w:val="107"/>
              <w:rPr>
                <w:rFonts w:ascii="宋体" w:hAnsi="宋体"/>
                <w:color w:val="auto"/>
              </w:rPr>
            </w:pPr>
          </w:p>
        </w:tc>
        <w:tc>
          <w:tcPr>
            <w:tcW w:w="113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r>
      <w:tr>
        <w:tblPrEx>
          <w:tblLayout w:type="fixed"/>
          <w:tblCellMar>
            <w:top w:w="0" w:type="dxa"/>
            <w:left w:w="108" w:type="dxa"/>
            <w:bottom w:w="0" w:type="dxa"/>
            <w:right w:w="108" w:type="dxa"/>
          </w:tblCellMar>
        </w:tblPrEx>
        <w:trPr>
          <w:gridAfter w:val="1"/>
          <w:wAfter w:w="64" w:type="dxa"/>
          <w:trHeight w:val="850" w:hRule="atLeast"/>
        </w:trPr>
        <w:tc>
          <w:tcPr>
            <w:tcW w:w="402"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874"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办公生活</w:t>
            </w:r>
          </w:p>
        </w:tc>
        <w:tc>
          <w:tcPr>
            <w:tcW w:w="1276"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生活垃圾</w:t>
            </w:r>
          </w:p>
        </w:tc>
        <w:tc>
          <w:tcPr>
            <w:tcW w:w="1843" w:type="dxa"/>
            <w:gridSpan w:val="2"/>
            <w:tcBorders>
              <w:top w:val="single" w:color="auto" w:sz="4" w:space="0"/>
              <w:left w:val="nil"/>
              <w:bottom w:val="single" w:color="auto" w:sz="4" w:space="0"/>
              <w:right w:val="single" w:color="000000" w:sz="4" w:space="0"/>
            </w:tcBorders>
            <w:shd w:val="clear" w:color="auto" w:fill="auto"/>
            <w:vAlign w:val="center"/>
          </w:tcPr>
          <w:p>
            <w:pPr>
              <w:pStyle w:val="107"/>
              <w:rPr>
                <w:color w:val="auto"/>
              </w:rPr>
            </w:pPr>
            <w:r>
              <w:rPr>
                <w:rFonts w:hint="eastAsia"/>
                <w:color w:val="auto"/>
              </w:rPr>
              <w:t>垃圾桶</w:t>
            </w:r>
          </w:p>
        </w:tc>
        <w:tc>
          <w:tcPr>
            <w:tcW w:w="1417"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环卫部门清运</w:t>
            </w:r>
          </w:p>
        </w:tc>
        <w:tc>
          <w:tcPr>
            <w:tcW w:w="822" w:type="dxa"/>
            <w:vMerge w:val="continue"/>
            <w:tcBorders>
              <w:top w:val="nil"/>
              <w:left w:val="single" w:color="auto" w:sz="4" w:space="0"/>
              <w:bottom w:val="single" w:color="000000" w:sz="4" w:space="0"/>
              <w:right w:val="single" w:color="auto" w:sz="4" w:space="0"/>
            </w:tcBorders>
            <w:vAlign w:val="center"/>
          </w:tcPr>
          <w:p>
            <w:pPr>
              <w:pStyle w:val="107"/>
              <w:rPr>
                <w:color w:val="auto"/>
              </w:rPr>
            </w:pPr>
          </w:p>
        </w:tc>
        <w:tc>
          <w:tcPr>
            <w:tcW w:w="850"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248"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2151"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4535" w:type="dxa"/>
            <w:tcBorders>
              <w:top w:val="nil"/>
              <w:left w:val="nil"/>
              <w:bottom w:val="single" w:color="auto" w:sz="4" w:space="0"/>
              <w:right w:val="single" w:color="auto" w:sz="4" w:space="0"/>
            </w:tcBorders>
            <w:shd w:val="clear" w:color="auto" w:fill="auto"/>
            <w:vAlign w:val="center"/>
          </w:tcPr>
          <w:p>
            <w:pPr>
              <w:pStyle w:val="107"/>
              <w:rPr>
                <w:color w:val="auto"/>
              </w:rPr>
            </w:pPr>
            <w:r>
              <w:rPr>
                <w:rFonts w:hint="eastAsia"/>
                <w:color w:val="auto"/>
              </w:rPr>
              <w:t>/</w:t>
            </w:r>
          </w:p>
        </w:tc>
        <w:tc>
          <w:tcPr>
            <w:tcW w:w="1134"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1106"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c>
          <w:tcPr>
            <w:tcW w:w="3403" w:type="dxa"/>
            <w:vMerge w:val="continue"/>
            <w:tcBorders>
              <w:top w:val="nil"/>
              <w:left w:val="single" w:color="auto" w:sz="4" w:space="0"/>
              <w:bottom w:val="single" w:color="auto" w:sz="4" w:space="0"/>
              <w:right w:val="single" w:color="auto" w:sz="4" w:space="0"/>
            </w:tcBorders>
            <w:vAlign w:val="center"/>
          </w:tcPr>
          <w:p>
            <w:pPr>
              <w:pStyle w:val="107"/>
              <w:rPr>
                <w:color w:val="auto"/>
              </w:rPr>
            </w:pPr>
          </w:p>
        </w:tc>
      </w:tr>
      <w:tr>
        <w:tblPrEx>
          <w:tblLayout w:type="fixed"/>
          <w:tblCellMar>
            <w:top w:w="0" w:type="dxa"/>
            <w:left w:w="108" w:type="dxa"/>
            <w:bottom w:w="0" w:type="dxa"/>
            <w:right w:w="108" w:type="dxa"/>
          </w:tblCellMar>
        </w:tblPrEx>
        <w:trPr>
          <w:trHeight w:val="1471" w:hRule="atLeast"/>
        </w:trPr>
        <w:tc>
          <w:tcPr>
            <w:tcW w:w="2552" w:type="dxa"/>
            <w:gridSpan w:val="3"/>
            <w:tcBorders>
              <w:top w:val="nil"/>
              <w:left w:val="single" w:color="auto" w:sz="4" w:space="0"/>
              <w:bottom w:val="single" w:color="auto" w:sz="4" w:space="0"/>
              <w:right w:val="single" w:color="auto" w:sz="4" w:space="0"/>
            </w:tcBorders>
            <w:shd w:val="clear" w:color="auto" w:fill="auto"/>
            <w:vAlign w:val="center"/>
          </w:tcPr>
          <w:p>
            <w:pPr>
              <w:pStyle w:val="107"/>
              <w:rPr>
                <w:rFonts w:ascii="宋体" w:hAnsi="宋体"/>
                <w:color w:val="auto"/>
              </w:rPr>
            </w:pPr>
            <w:r>
              <w:rPr>
                <w:rFonts w:hint="eastAsia"/>
                <w:color w:val="auto"/>
              </w:rPr>
              <w:t>地下水防渗</w:t>
            </w:r>
          </w:p>
        </w:tc>
        <w:tc>
          <w:tcPr>
            <w:tcW w:w="18573" w:type="dxa"/>
            <w:gridSpan w:val="12"/>
            <w:tcBorders>
              <w:top w:val="single" w:color="auto" w:sz="4" w:space="0"/>
              <w:left w:val="nil"/>
              <w:bottom w:val="single" w:color="auto" w:sz="4" w:space="0"/>
              <w:right w:val="single" w:color="auto" w:sz="4" w:space="0"/>
            </w:tcBorders>
            <w:shd w:val="clear" w:color="auto" w:fill="auto"/>
            <w:vAlign w:val="center"/>
          </w:tcPr>
          <w:p>
            <w:pPr>
              <w:pStyle w:val="107"/>
              <w:jc w:val="left"/>
              <w:rPr>
                <w:rFonts w:ascii="宋体" w:hAnsi="宋体"/>
                <w:color w:val="auto"/>
              </w:rPr>
            </w:pPr>
            <w:r>
              <w:rPr>
                <w:rFonts w:hint="eastAsia" w:ascii="宋体" w:hAnsi="宋体"/>
                <w:color w:val="auto"/>
              </w:rPr>
              <w:t>重点污染防治区：项目危化品仓库、生活污水处理设施、应急事故池、危险废物暂存间等重点防渗区域基础必须防渗，防渗层为至少</w:t>
            </w:r>
            <w:r>
              <w:rPr>
                <w:rFonts w:ascii="Times New Roman" w:hAnsi="Times New Roman" w:cs="Times New Roman"/>
                <w:color w:val="auto"/>
              </w:rPr>
              <w:t>1m</w:t>
            </w:r>
            <w:r>
              <w:rPr>
                <w:rFonts w:hint="eastAsia" w:ascii="宋体" w:hAnsi="宋体"/>
                <w:color w:val="auto"/>
              </w:rPr>
              <w:t>厚粘土层（渗透系数≤</w:t>
            </w:r>
            <w:r>
              <w:rPr>
                <w:rFonts w:ascii="Times New Roman" w:hAnsi="Times New Roman" w:cs="Times New Roman"/>
                <w:color w:val="auto"/>
              </w:rPr>
              <w:t>10</w:t>
            </w:r>
            <w:r>
              <w:rPr>
                <w:rFonts w:ascii="Times New Roman" w:hAnsi="Times New Roman" w:cs="Times New Roman"/>
                <w:color w:val="auto"/>
                <w:vertAlign w:val="superscript"/>
              </w:rPr>
              <w:t>-7</w:t>
            </w:r>
            <w:r>
              <w:rPr>
                <w:rFonts w:ascii="Times New Roman" w:hAnsi="Times New Roman" w:cs="Times New Roman"/>
                <w:color w:val="auto"/>
              </w:rPr>
              <w:t>cm/s</w:t>
            </w:r>
            <w:r>
              <w:rPr>
                <w:rFonts w:hint="eastAsia" w:ascii="宋体" w:hAnsi="宋体"/>
                <w:color w:val="auto"/>
              </w:rPr>
              <w:t>），或</w:t>
            </w:r>
            <w:r>
              <w:rPr>
                <w:rFonts w:ascii="Times New Roman" w:hAnsi="Times New Roman" w:cs="Times New Roman"/>
                <w:color w:val="auto"/>
              </w:rPr>
              <w:t>2mm</w:t>
            </w:r>
            <w:r>
              <w:rPr>
                <w:rFonts w:hint="eastAsia" w:ascii="宋体" w:hAnsi="宋体"/>
                <w:color w:val="auto"/>
              </w:rPr>
              <w:t>厚高密度聚乙烯，或至少</w:t>
            </w:r>
            <w:r>
              <w:rPr>
                <w:rFonts w:ascii="Times New Roman" w:hAnsi="Times New Roman" w:cs="Times New Roman"/>
                <w:color w:val="auto"/>
              </w:rPr>
              <w:t>2mm</w:t>
            </w:r>
            <w:r>
              <w:rPr>
                <w:rFonts w:hint="eastAsia" w:ascii="宋体" w:hAnsi="宋体"/>
                <w:color w:val="auto"/>
              </w:rPr>
              <w:t>厚的其它人工材料，渗透系数≤</w:t>
            </w:r>
            <w:r>
              <w:rPr>
                <w:rFonts w:ascii="Times New Roman" w:hAnsi="Times New Roman" w:cs="Times New Roman"/>
                <w:color w:val="auto"/>
              </w:rPr>
              <w:t>10</w:t>
            </w:r>
            <w:r>
              <w:rPr>
                <w:rFonts w:ascii="Times New Roman" w:hAnsi="Times New Roman" w:cs="Times New Roman"/>
                <w:color w:val="auto"/>
                <w:vertAlign w:val="superscript"/>
              </w:rPr>
              <w:t>-10</w:t>
            </w:r>
            <w:r>
              <w:rPr>
                <w:rFonts w:ascii="Times New Roman" w:hAnsi="Times New Roman" w:cs="Times New Roman"/>
                <w:color w:val="auto"/>
              </w:rPr>
              <w:t>cm/s</w:t>
            </w:r>
            <w:r>
              <w:rPr>
                <w:rFonts w:hint="eastAsia" w:ascii="宋体" w:hAnsi="宋体"/>
                <w:color w:val="auto"/>
              </w:rPr>
              <w:t>。</w:t>
            </w:r>
            <w:r>
              <w:rPr>
                <w:rFonts w:hint="eastAsia" w:ascii="宋体" w:hAnsi="宋体"/>
                <w:color w:val="auto"/>
              </w:rPr>
              <w:br w:type="textWrapping"/>
            </w:r>
            <w:r>
              <w:rPr>
                <w:rFonts w:hint="eastAsia" w:ascii="宋体" w:hAnsi="宋体"/>
                <w:color w:val="auto"/>
              </w:rPr>
              <w:t>一般污染防治区：一般固废暂存场所、车间部分区域等一般防渗区应采用天然或人工材料构筑防渗层，防渗层的厚度应相当于渗透系数</w:t>
            </w:r>
            <w:r>
              <w:rPr>
                <w:rFonts w:ascii="Times New Roman" w:hAnsi="Times New Roman" w:cs="Times New Roman"/>
                <w:color w:val="auto"/>
              </w:rPr>
              <w:t>1.0</w:t>
            </w:r>
            <w:r>
              <w:rPr>
                <w:rFonts w:hint="eastAsia" w:ascii="宋体" w:hAnsi="宋体"/>
                <w:color w:val="auto"/>
              </w:rPr>
              <w:t>×</w:t>
            </w:r>
            <w:r>
              <w:rPr>
                <w:rFonts w:ascii="Times New Roman" w:hAnsi="Times New Roman" w:cs="Times New Roman"/>
                <w:color w:val="auto"/>
              </w:rPr>
              <w:t>10</w:t>
            </w:r>
            <w:r>
              <w:rPr>
                <w:rFonts w:ascii="Times New Roman" w:hAnsi="Times New Roman" w:cs="Times New Roman"/>
                <w:color w:val="auto"/>
                <w:vertAlign w:val="superscript"/>
              </w:rPr>
              <w:t>-7</w:t>
            </w:r>
            <w:r>
              <w:rPr>
                <w:rFonts w:ascii="Times New Roman" w:hAnsi="Times New Roman" w:cs="Times New Roman"/>
                <w:color w:val="auto"/>
              </w:rPr>
              <w:t>cm/s</w:t>
            </w:r>
            <w:r>
              <w:rPr>
                <w:rFonts w:hint="eastAsia" w:ascii="宋体" w:hAnsi="宋体"/>
                <w:color w:val="auto"/>
              </w:rPr>
              <w:t>和厚度</w:t>
            </w:r>
            <w:r>
              <w:rPr>
                <w:rFonts w:ascii="Times New Roman" w:hAnsi="Times New Roman" w:cs="Times New Roman"/>
                <w:color w:val="auto"/>
              </w:rPr>
              <w:t>1.5m</w:t>
            </w:r>
            <w:r>
              <w:rPr>
                <w:rFonts w:hint="eastAsia" w:ascii="宋体" w:hAnsi="宋体"/>
                <w:color w:val="auto"/>
              </w:rPr>
              <w:t>的粘土层的防渗性能。</w:t>
            </w:r>
            <w:r>
              <w:rPr>
                <w:rFonts w:hint="eastAsia" w:ascii="宋体" w:hAnsi="宋体"/>
                <w:color w:val="auto"/>
              </w:rPr>
              <w:br w:type="textWrapping"/>
            </w:r>
            <w:r>
              <w:rPr>
                <w:rFonts w:hint="eastAsia" w:ascii="宋体" w:hAnsi="宋体"/>
                <w:color w:val="auto"/>
              </w:rPr>
              <w:t>非污染防治区：只需对基础以下采取原土夯实，使渗透系数不大于</w:t>
            </w:r>
            <w:r>
              <w:rPr>
                <w:rFonts w:ascii="Times New Roman" w:hAnsi="Times New Roman" w:cs="Times New Roman"/>
                <w:color w:val="auto"/>
              </w:rPr>
              <w:t>1.0</w:t>
            </w:r>
            <w:r>
              <w:rPr>
                <w:rFonts w:hint="eastAsia" w:ascii="宋体" w:hAnsi="宋体"/>
                <w:color w:val="auto"/>
              </w:rPr>
              <w:t>×</w:t>
            </w:r>
            <w:r>
              <w:rPr>
                <w:rFonts w:ascii="Times New Roman" w:hAnsi="Times New Roman" w:cs="Times New Roman"/>
                <w:color w:val="auto"/>
              </w:rPr>
              <w:t>10</w:t>
            </w:r>
            <w:r>
              <w:rPr>
                <w:rFonts w:ascii="Times New Roman" w:hAnsi="Times New Roman" w:cs="Times New Roman"/>
                <w:color w:val="auto"/>
                <w:vertAlign w:val="superscript"/>
              </w:rPr>
              <w:t>-6</w:t>
            </w:r>
            <w:r>
              <w:rPr>
                <w:rFonts w:ascii="Times New Roman" w:hAnsi="Times New Roman" w:cs="Times New Roman"/>
                <w:color w:val="auto"/>
              </w:rPr>
              <w:t>cm/s</w:t>
            </w:r>
            <w:r>
              <w:rPr>
                <w:rFonts w:hint="eastAsia" w:ascii="宋体" w:hAnsi="宋体"/>
                <w:color w:val="auto"/>
              </w:rPr>
              <w:t>，即可达到防渗的目的。</w:t>
            </w:r>
          </w:p>
        </w:tc>
      </w:tr>
      <w:tr>
        <w:tblPrEx>
          <w:tblLayout w:type="fixed"/>
          <w:tblCellMar>
            <w:top w:w="0" w:type="dxa"/>
            <w:left w:w="108" w:type="dxa"/>
            <w:bottom w:w="0" w:type="dxa"/>
            <w:right w:w="108" w:type="dxa"/>
          </w:tblCellMar>
        </w:tblPrEx>
        <w:trPr>
          <w:trHeight w:val="1407" w:hRule="atLeast"/>
        </w:trPr>
        <w:tc>
          <w:tcPr>
            <w:tcW w:w="2552" w:type="dxa"/>
            <w:gridSpan w:val="3"/>
            <w:tcBorders>
              <w:top w:val="nil"/>
              <w:left w:val="single" w:color="auto" w:sz="4" w:space="0"/>
              <w:bottom w:val="single" w:color="auto" w:sz="4" w:space="0"/>
              <w:right w:val="single" w:color="auto" w:sz="4" w:space="0"/>
            </w:tcBorders>
            <w:shd w:val="clear" w:color="auto" w:fill="auto"/>
            <w:vAlign w:val="center"/>
          </w:tcPr>
          <w:p>
            <w:pPr>
              <w:pStyle w:val="107"/>
              <w:rPr>
                <w:rFonts w:ascii="宋体" w:hAnsi="宋体"/>
                <w:color w:val="auto"/>
              </w:rPr>
            </w:pPr>
            <w:r>
              <w:rPr>
                <w:rFonts w:hint="eastAsia"/>
                <w:color w:val="auto"/>
              </w:rPr>
              <w:t>环境风险防范措施</w:t>
            </w:r>
          </w:p>
        </w:tc>
        <w:tc>
          <w:tcPr>
            <w:tcW w:w="18573" w:type="dxa"/>
            <w:gridSpan w:val="12"/>
            <w:tcBorders>
              <w:top w:val="single" w:color="auto" w:sz="4" w:space="0"/>
              <w:left w:val="nil"/>
              <w:bottom w:val="single" w:color="auto" w:sz="4" w:space="0"/>
              <w:right w:val="single" w:color="auto" w:sz="4" w:space="0"/>
            </w:tcBorders>
            <w:shd w:val="clear" w:color="auto" w:fill="auto"/>
            <w:vAlign w:val="center"/>
          </w:tcPr>
          <w:p>
            <w:pPr>
              <w:pStyle w:val="107"/>
              <w:jc w:val="left"/>
              <w:rPr>
                <w:rFonts w:ascii="宋体" w:hAnsi="宋体"/>
                <w:color w:val="auto"/>
              </w:rPr>
            </w:pPr>
            <w:r>
              <w:rPr>
                <w:rFonts w:hint="eastAsia" w:ascii="宋体" w:hAnsi="宋体"/>
                <w:color w:val="auto"/>
              </w:rPr>
              <w:t>1、设截断阀、集液沟、事故应急池（有效容积不小于</w:t>
            </w:r>
            <w:r>
              <w:rPr>
                <w:rFonts w:ascii="宋体" w:hAnsi="宋体"/>
                <w:color w:val="auto"/>
              </w:rPr>
              <w:t>82</w:t>
            </w:r>
            <w:r>
              <w:rPr>
                <w:rFonts w:hint="eastAsia" w:ascii="宋体" w:hAnsi="宋体"/>
                <w:color w:val="auto"/>
              </w:rPr>
              <w:t>m³），配套相关管网系统、消防设施、应急物资、应急预案。如发生泄漏化学品及产生的清洗废水或火灾消防废水，事故废水将暂时储存，水池在平时应保持闲置状态。</w:t>
            </w:r>
            <w:r>
              <w:rPr>
                <w:rFonts w:hint="eastAsia" w:ascii="宋体" w:hAnsi="宋体"/>
                <w:color w:val="auto"/>
              </w:rPr>
              <w:br w:type="textWrapping"/>
            </w:r>
            <w:r>
              <w:rPr>
                <w:rFonts w:hint="eastAsia" w:ascii="宋体" w:hAnsi="宋体"/>
                <w:color w:val="auto"/>
              </w:rPr>
              <w:t>2、项目使用危险化学品的工作区域应有完善的防渗工程措施，基础必须防渗。</w:t>
            </w:r>
            <w:r>
              <w:rPr>
                <w:rFonts w:hint="eastAsia" w:ascii="宋体" w:hAnsi="宋体"/>
                <w:color w:val="auto"/>
              </w:rPr>
              <w:br w:type="textWrapping"/>
            </w:r>
            <w:r>
              <w:rPr>
                <w:rFonts w:hint="eastAsia" w:ascii="宋体" w:hAnsi="宋体"/>
                <w:color w:val="auto"/>
              </w:rPr>
              <w:t>3、日常注意对废气处理设施的保养维护，确保废气污染物的达标排放，若废气处理设备发生故障，长时间内无法维修应停止生产。</w:t>
            </w:r>
          </w:p>
        </w:tc>
      </w:tr>
      <w:tr>
        <w:tblPrEx>
          <w:tblLayout w:type="fixed"/>
          <w:tblCellMar>
            <w:top w:w="0" w:type="dxa"/>
            <w:left w:w="108" w:type="dxa"/>
            <w:bottom w:w="0" w:type="dxa"/>
            <w:right w:w="108" w:type="dxa"/>
          </w:tblCellMar>
        </w:tblPrEx>
        <w:trPr>
          <w:trHeight w:val="973" w:hRule="atLeast"/>
        </w:trPr>
        <w:tc>
          <w:tcPr>
            <w:tcW w:w="2552" w:type="dxa"/>
            <w:gridSpan w:val="3"/>
            <w:tcBorders>
              <w:top w:val="nil"/>
              <w:left w:val="single" w:color="auto" w:sz="4" w:space="0"/>
              <w:bottom w:val="single" w:color="auto" w:sz="4" w:space="0"/>
              <w:right w:val="single" w:color="auto" w:sz="4" w:space="0"/>
            </w:tcBorders>
            <w:shd w:val="clear" w:color="auto" w:fill="auto"/>
            <w:vAlign w:val="center"/>
          </w:tcPr>
          <w:p>
            <w:pPr>
              <w:pStyle w:val="107"/>
              <w:rPr>
                <w:rFonts w:ascii="宋体" w:hAnsi="宋体"/>
                <w:color w:val="auto"/>
              </w:rPr>
            </w:pPr>
            <w:r>
              <w:rPr>
                <w:rFonts w:hint="eastAsia"/>
                <w:color w:val="auto"/>
              </w:rPr>
              <w:t>环境监测</w:t>
            </w:r>
          </w:p>
        </w:tc>
        <w:tc>
          <w:tcPr>
            <w:tcW w:w="18573" w:type="dxa"/>
            <w:gridSpan w:val="12"/>
            <w:tcBorders>
              <w:top w:val="single" w:color="auto" w:sz="4" w:space="0"/>
              <w:left w:val="nil"/>
              <w:bottom w:val="single" w:color="auto" w:sz="4" w:space="0"/>
              <w:right w:val="single" w:color="auto" w:sz="4" w:space="0"/>
            </w:tcBorders>
            <w:shd w:val="clear" w:color="auto" w:fill="auto"/>
            <w:vAlign w:val="center"/>
          </w:tcPr>
          <w:p>
            <w:pPr>
              <w:pStyle w:val="107"/>
              <w:jc w:val="left"/>
              <w:rPr>
                <w:rFonts w:ascii="宋体" w:hAnsi="宋体"/>
                <w:color w:val="auto"/>
              </w:rPr>
            </w:pPr>
            <w:r>
              <w:rPr>
                <w:rFonts w:hint="eastAsia" w:ascii="宋体" w:hAnsi="宋体"/>
                <w:color w:val="auto"/>
              </w:rPr>
              <w:t>重点是各污染源的监测，并注意做好记录，不弄虚作假；监测方案详见</w:t>
            </w: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REF _Ref530488713 \r \h</w:instrText>
            </w:r>
            <w:r>
              <w:rPr>
                <w:rFonts w:ascii="宋体" w:hAnsi="宋体"/>
                <w:color w:val="auto"/>
              </w:rPr>
              <w:instrText xml:space="preserve">  \* MERGEFORMAT </w:instrText>
            </w:r>
            <w:r>
              <w:rPr>
                <w:rFonts w:ascii="宋体" w:hAnsi="宋体"/>
                <w:color w:val="auto"/>
              </w:rPr>
              <w:fldChar w:fldCharType="separate"/>
            </w:r>
            <w:r>
              <w:rPr>
                <w:rFonts w:ascii="宋体" w:hAnsi="宋体"/>
                <w:color w:val="auto"/>
              </w:rPr>
              <w:t>7.3.2</w:t>
            </w:r>
            <w:r>
              <w:rPr>
                <w:rFonts w:ascii="宋体" w:hAnsi="宋体"/>
                <w:color w:val="auto"/>
              </w:rPr>
              <w:fldChar w:fldCharType="end"/>
            </w:r>
            <w:r>
              <w:rPr>
                <w:rFonts w:hint="eastAsia" w:ascii="宋体" w:hAnsi="宋体"/>
                <w:color w:val="auto"/>
              </w:rPr>
              <w:t>节。</w:t>
            </w:r>
          </w:p>
        </w:tc>
      </w:tr>
    </w:tbl>
    <w:p>
      <w:pPr>
        <w:pStyle w:val="107"/>
      </w:pPr>
    </w:p>
    <w:p>
      <w:pPr>
        <w:ind w:firstLine="0" w:firstLineChars="0"/>
        <w:rPr>
          <w:rFonts w:eastAsiaTheme="minorEastAsia"/>
        </w:rPr>
      </w:pPr>
    </w:p>
    <w:p>
      <w:pPr>
        <w:ind w:firstLine="480"/>
        <w:rPr>
          <w:rFonts w:eastAsiaTheme="minorEastAsia"/>
        </w:rPr>
        <w:sectPr>
          <w:pgSz w:w="23811" w:h="16838" w:orient="landscape"/>
          <w:pgMar w:top="1418" w:right="1418" w:bottom="1418" w:left="1418" w:header="851" w:footer="992" w:gutter="0"/>
          <w:cols w:space="0" w:num="1"/>
          <w:docGrid w:linePitch="326" w:charSpace="0"/>
        </w:sectPr>
      </w:pPr>
    </w:p>
    <w:p>
      <w:pPr>
        <w:pStyle w:val="5"/>
        <w:rPr>
          <w:rFonts w:eastAsiaTheme="minorEastAsia"/>
        </w:rPr>
      </w:pPr>
      <w:bookmarkStart w:id="700" w:name="_Toc331536299"/>
      <w:bookmarkStart w:id="701" w:name="_Toc5470"/>
      <w:bookmarkStart w:id="702" w:name="_Toc329784245"/>
      <w:bookmarkStart w:id="703" w:name="_Toc21789"/>
      <w:bookmarkStart w:id="704" w:name="_Toc310419911"/>
      <w:r>
        <w:rPr>
          <w:rFonts w:hint="eastAsia"/>
        </w:rPr>
        <w:t>污染物总量控制分析</w:t>
      </w:r>
    </w:p>
    <w:p>
      <w:pPr>
        <w:pStyle w:val="6"/>
      </w:pPr>
      <w:r>
        <w:rPr>
          <w:rFonts w:hint="eastAsia"/>
        </w:rPr>
        <w:t xml:space="preserve">总量控制的目的 </w:t>
      </w:r>
    </w:p>
    <w:p>
      <w:pPr>
        <w:ind w:firstLine="480"/>
      </w:pPr>
      <w:r>
        <w:rPr>
          <w:rFonts w:hint="eastAsia"/>
        </w:rPr>
        <w:t>我国目前实行的是区域污染物排放总量目标控制，即区域排污量在一定时期内不得突破分配的污染物排放总量。</w:t>
      </w:r>
      <w:r>
        <w:rPr>
          <w:rFonts w:cs="Times New Roman" w:eastAsiaTheme="minorEastAsia"/>
        </w:rPr>
        <w:t>《建设项目环境保护管理条例》</w:t>
      </w:r>
      <w:r>
        <w:rPr>
          <w:rFonts w:hint="eastAsia" w:eastAsiaTheme="minorEastAsia"/>
        </w:rPr>
        <w:t>（国务院令第682号，2017年10月1日施行）</w:t>
      </w:r>
      <w:r>
        <w:rPr>
          <w:rFonts w:hint="eastAsia"/>
        </w:rPr>
        <w:t>第三条规定，“建设产生污染的建设项目，必须遵守污染物排放的国家标准和地方标准；在实施重点污染物排放总量控制的区域内，还必须符合重点污染物排放总量控制的要求。”</w:t>
      </w:r>
    </w:p>
    <w:p>
      <w:pPr>
        <w:ind w:firstLine="480"/>
      </w:pPr>
      <w:r>
        <w:rPr>
          <w:rFonts w:hint="eastAsia"/>
        </w:rPr>
        <w:t>因此，建设项目的总量控制应以区域总量不突破为前提，通过对建设项目污染物排放总量及控制途径分析，最大限度地减少各类污染物进入环境，提出合理可行的总量控制目标，为企业的排污总量指标申报和环保部门开展总量控制工作提供依据，以确保项目所在地的环境质量目标能得到实现，达到建设项目建设的经济效益、环境效益和社会效益的三统一，促进本区域经济的可持续发展。</w:t>
      </w:r>
    </w:p>
    <w:p>
      <w:pPr>
        <w:pStyle w:val="6"/>
      </w:pPr>
      <w:r>
        <w:rPr>
          <w:rFonts w:hint="eastAsia"/>
        </w:rPr>
        <w:t>总量控制因子的确定</w:t>
      </w:r>
    </w:p>
    <w:p>
      <w:pPr>
        <w:ind w:firstLine="480"/>
      </w:pPr>
      <w:r>
        <w:rPr>
          <w:rFonts w:hint="eastAsia"/>
        </w:rPr>
        <w:t>根据国家“十三五”期间对污染物排放总量控制指标和《广东省环境保护“十三五”规划》（粤环〔2016〕51号）以及</w:t>
      </w:r>
      <w:r>
        <w:rPr>
          <w:rFonts w:hint="eastAsia" w:eastAsiaTheme="minorEastAsia"/>
          <w:lang w:val="zh-CN"/>
        </w:rPr>
        <w:t>《广东省大气污染防治条例》（2019年3月1日起施行）第十二条的要求，</w:t>
      </w:r>
      <w:r>
        <w:rPr>
          <w:rFonts w:hint="eastAsia"/>
        </w:rPr>
        <w:t>确定本项目纳入总量控制的污染因子如下。</w:t>
      </w:r>
    </w:p>
    <w:p>
      <w:pPr>
        <w:ind w:firstLine="480"/>
      </w:pPr>
      <w:r>
        <w:rPr>
          <w:rFonts w:hint="eastAsia"/>
        </w:rPr>
        <w:t>废水污染物：COD</w:t>
      </w:r>
      <w:r>
        <w:rPr>
          <w:rFonts w:hint="eastAsia"/>
          <w:vertAlign w:val="subscript"/>
        </w:rPr>
        <w:t>Cr</w:t>
      </w:r>
      <w:r>
        <w:rPr>
          <w:rFonts w:hint="eastAsia"/>
        </w:rPr>
        <w:t>、</w:t>
      </w:r>
      <w:r>
        <w:rPr>
          <w:rFonts w:cs="TimesNewRomanPSMT" w:eastAsiaTheme="minorEastAsia"/>
        </w:rPr>
        <w:t>NH</w:t>
      </w:r>
      <w:r>
        <w:rPr>
          <w:rFonts w:cs="TimesNewRomanPSMT" w:eastAsiaTheme="minorEastAsia"/>
          <w:sz w:val="16"/>
          <w:szCs w:val="16"/>
        </w:rPr>
        <w:t>3</w:t>
      </w:r>
      <w:r>
        <w:rPr>
          <w:rFonts w:cs="TimesNewRomanPSMT" w:eastAsiaTheme="minorEastAsia"/>
        </w:rPr>
        <w:t>-N</w:t>
      </w:r>
      <w:r>
        <w:rPr>
          <w:rFonts w:hint="eastAsia"/>
        </w:rPr>
        <w:t>；</w:t>
      </w:r>
    </w:p>
    <w:p>
      <w:pPr>
        <w:ind w:firstLine="480"/>
      </w:pPr>
      <w:r>
        <w:rPr>
          <w:rFonts w:hint="eastAsia"/>
        </w:rPr>
        <w:t>废气污染物：VOCs（以非甲烷总烃计）。</w:t>
      </w:r>
    </w:p>
    <w:p>
      <w:pPr>
        <w:pStyle w:val="6"/>
      </w:pPr>
      <w:r>
        <w:rPr>
          <w:rFonts w:hint="eastAsia"/>
        </w:rPr>
        <w:t>污染物总量核算</w:t>
      </w:r>
    </w:p>
    <w:p>
      <w:pPr>
        <w:ind w:firstLine="480"/>
      </w:pPr>
      <w:r>
        <w:rPr>
          <w:rFonts w:hint="eastAsia"/>
        </w:rPr>
        <w:t>本项目全厂污染物排放汇总详见</w:t>
      </w:r>
      <w:r>
        <w:fldChar w:fldCharType="begin"/>
      </w:r>
      <w:r>
        <w:instrText xml:space="preserve"> </w:instrText>
      </w:r>
      <w:r>
        <w:rPr>
          <w:rFonts w:hint="eastAsia"/>
        </w:rPr>
        <w:instrText xml:space="preserve">REF _Ref531365641 \n \h</w:instrText>
      </w:r>
      <w:r>
        <w:instrText xml:space="preserve"> </w:instrText>
      </w:r>
      <w:r>
        <w:fldChar w:fldCharType="separate"/>
      </w:r>
      <w:r>
        <w:t>2.9</w:t>
      </w:r>
      <w:r>
        <w:fldChar w:fldCharType="end"/>
      </w:r>
      <w:r>
        <w:rPr>
          <w:rFonts w:hint="eastAsia"/>
        </w:rPr>
        <w:t>小</w:t>
      </w:r>
      <w:r>
        <w:rPr>
          <w:rFonts w:hint="eastAsia"/>
          <w:color w:val="000000" w:themeColor="text1"/>
          <w14:textFill>
            <w14:solidFill>
              <w14:schemeClr w14:val="tx1"/>
            </w14:solidFill>
          </w14:textFill>
        </w:rPr>
        <w:t>节的</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_Ref530343778 \h </w:instrText>
      </w:r>
      <w:r>
        <w:rPr>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t>2.9</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2</w:t>
      </w:r>
      <w:r>
        <w:rPr>
          <w:color w:val="000000" w:themeColor="text1"/>
          <w14:textFill>
            <w14:solidFill>
              <w14:schemeClr w14:val="tx1"/>
            </w14:solidFill>
          </w14:textFill>
        </w:rPr>
        <w:fldChar w:fldCharType="end"/>
      </w:r>
      <w:r>
        <w:rPr>
          <w:rFonts w:hint="eastAsia"/>
        </w:rPr>
        <w:t>。</w:t>
      </w:r>
    </w:p>
    <w:p>
      <w:pPr>
        <w:ind w:firstLine="480"/>
      </w:pPr>
      <w:r>
        <w:rPr>
          <w:rFonts w:hint="eastAsia"/>
        </w:rPr>
        <w:t>根据“达标排放”及“污染物总量区域平衡”的原则，提出将本项目的废水、大气污染物实际排放量作为排放总量申报。</w:t>
      </w:r>
    </w:p>
    <w:p>
      <w:pPr>
        <w:pStyle w:val="6"/>
      </w:pPr>
      <w:r>
        <w:rPr>
          <w:rFonts w:hint="eastAsia"/>
        </w:rPr>
        <w:t>污染物总量控制</w:t>
      </w:r>
    </w:p>
    <w:p>
      <w:pPr>
        <w:ind w:firstLine="480"/>
        <w:rPr>
          <w:rFonts w:eastAsiaTheme="minorEastAsia"/>
        </w:rPr>
      </w:pPr>
      <w:r>
        <w:rPr>
          <w:rFonts w:hint="eastAsia" w:eastAsiaTheme="minorEastAsia"/>
        </w:rPr>
        <w:t>1、废水污染物总量控制指标</w:t>
      </w:r>
    </w:p>
    <w:p>
      <w:pPr>
        <w:ind w:firstLine="480"/>
        <w:rPr>
          <w:rFonts w:eastAsiaTheme="minorEastAsia"/>
        </w:rPr>
      </w:pPr>
      <w:r>
        <w:rPr>
          <w:rFonts w:hint="eastAsia" w:eastAsiaTheme="minorEastAsia"/>
        </w:rPr>
        <w:t>本项目外排废水主要为生活污水。</w:t>
      </w:r>
    </w:p>
    <w:p>
      <w:pPr>
        <w:ind w:firstLine="480"/>
        <w:rPr>
          <w:rFonts w:eastAsiaTheme="minorEastAsia"/>
        </w:rPr>
      </w:pPr>
      <w:r>
        <w:rPr>
          <w:rFonts w:hint="eastAsia" w:eastAsiaTheme="minorEastAsia"/>
        </w:rPr>
        <w:t>生活污水经三级化粪池预处理后，排入开平市苍城污水处理厂处理，则此阶段项目水污染物总量控制指标计入开平市苍城污水处理厂的总量控制指标内，不再单独分配总量控制指标。</w:t>
      </w:r>
    </w:p>
    <w:p>
      <w:pPr>
        <w:ind w:firstLine="480"/>
        <w:rPr>
          <w:rFonts w:eastAsiaTheme="minorEastAsia"/>
        </w:rPr>
      </w:pPr>
      <w:r>
        <w:rPr>
          <w:rFonts w:hint="eastAsia" w:eastAsiaTheme="minorEastAsia"/>
        </w:rPr>
        <w:t>2、废气污染物总量控制指标</w:t>
      </w:r>
    </w:p>
    <w:p>
      <w:pPr>
        <w:ind w:firstLine="480"/>
        <w:rPr>
          <w:rFonts w:eastAsiaTheme="minorEastAsia"/>
        </w:rPr>
      </w:pPr>
      <w:r>
        <w:rPr>
          <w:rFonts w:hint="eastAsia" w:eastAsiaTheme="minorEastAsia"/>
        </w:rPr>
        <w:t>本项目大气污染物主要为</w:t>
      </w:r>
      <w:r>
        <w:rPr>
          <w:rFonts w:hint="eastAsia"/>
        </w:rPr>
        <w:t>VOCs（以非甲烷总烃计）</w:t>
      </w:r>
      <w:r>
        <w:rPr>
          <w:rFonts w:hint="eastAsia" w:eastAsiaTheme="minorEastAsia"/>
        </w:rPr>
        <w:t>。</w:t>
      </w:r>
    </w:p>
    <w:p>
      <w:pPr>
        <w:ind w:firstLine="480"/>
        <w:rPr>
          <w:rFonts w:eastAsiaTheme="minorEastAsia"/>
        </w:rPr>
      </w:pPr>
      <w:r>
        <w:rPr>
          <w:rFonts w:hint="eastAsia" w:eastAsiaTheme="minorEastAsia"/>
        </w:rPr>
        <w:t>本评价建议项目的大气污染物总量控制指标为：</w:t>
      </w:r>
    </w:p>
    <w:p>
      <w:pPr>
        <w:ind w:firstLine="480"/>
        <w:rPr>
          <w:rFonts w:eastAsiaTheme="minorEastAsia"/>
          <w:color w:val="000000" w:themeColor="text1"/>
          <w14:textFill>
            <w14:solidFill>
              <w14:schemeClr w14:val="tx1"/>
            </w14:solidFill>
          </w14:textFill>
        </w:rPr>
      </w:pPr>
      <w:r>
        <w:rPr>
          <w:rFonts w:hint="eastAsia" w:eastAsiaTheme="minorEastAsia"/>
          <w:color w:val="000000" w:themeColor="text1"/>
          <w14:textFill>
            <w14:solidFill>
              <w14:schemeClr w14:val="tx1"/>
            </w14:solidFill>
          </w14:textFill>
        </w:rPr>
        <w:t>V</w:t>
      </w:r>
      <w:r>
        <w:rPr>
          <w:rFonts w:eastAsiaTheme="minorEastAsia"/>
          <w:color w:val="000000" w:themeColor="text1"/>
          <w14:textFill>
            <w14:solidFill>
              <w14:schemeClr w14:val="tx1"/>
            </w14:solidFill>
          </w14:textFill>
        </w:rPr>
        <w:t>OC</w:t>
      </w:r>
      <w:r>
        <w:rPr>
          <w:rFonts w:hint="eastAsia" w:eastAsiaTheme="minorEastAsia"/>
          <w:color w:val="000000" w:themeColor="text1"/>
          <w14:textFill>
            <w14:solidFill>
              <w14:schemeClr w14:val="tx1"/>
            </w14:solidFill>
          </w14:textFill>
        </w:rPr>
        <w:t>s（以非甲烷总烃计）≤</w:t>
      </w:r>
      <w:r>
        <w:rPr>
          <w:rFonts w:cs="TimesNewRomanPSMT" w:eastAsiaTheme="minorEastAsia"/>
          <w:color w:val="000000" w:themeColor="text1"/>
          <w14:textFill>
            <w14:solidFill>
              <w14:schemeClr w14:val="tx1"/>
            </w14:solidFill>
          </w14:textFill>
        </w:rPr>
        <w:t>0.053755 t/a</w:t>
      </w:r>
      <w:r>
        <w:rPr>
          <w:rFonts w:hint="eastAsia" w:eastAsiaTheme="minorEastAsia"/>
          <w:color w:val="000000" w:themeColor="text1"/>
          <w14:textFill>
            <w14:solidFill>
              <w14:schemeClr w14:val="tx1"/>
            </w14:solidFill>
          </w14:textFill>
        </w:rPr>
        <w:t>。</w:t>
      </w:r>
    </w:p>
    <w:p>
      <w:pPr>
        <w:ind w:firstLine="480"/>
      </w:pPr>
      <w:r>
        <w:rPr>
          <w:rFonts w:hint="eastAsia"/>
        </w:rPr>
        <w:t>上述总量控制指标为建议值，为向环境保护主管部门提供的参考依据，项目最终执行的污染物排放总量控制指标由当地环境保护行政主管部门分配与核定。</w:t>
      </w:r>
    </w:p>
    <w:p>
      <w:pPr>
        <w:pStyle w:val="5"/>
      </w:pPr>
      <w:r>
        <w:t>排污口规范</w:t>
      </w:r>
      <w:r>
        <w:rPr>
          <w:rFonts w:hint="eastAsia"/>
        </w:rPr>
        <w:t>化</w:t>
      </w:r>
    </w:p>
    <w:p>
      <w:pPr>
        <w:ind w:firstLine="480"/>
      </w:pPr>
      <w:r>
        <w:rPr>
          <w:rFonts w:hint="eastAsia"/>
        </w:rPr>
        <w:t>排污口规范化是实施污染物总量控制的基础工作，是总量控制不可缺少的一项内容。排污口规范化对于污染源管理，现场监督检查，促进公司企业强化环保管理，促进污染治理实现科学化、定量化都有极大的现实意义。</w:t>
      </w:r>
    </w:p>
    <w:p>
      <w:pPr>
        <w:ind w:firstLine="480"/>
      </w:pPr>
      <w:r>
        <w:rPr>
          <w:rFonts w:hint="eastAsia"/>
        </w:rPr>
        <w:t>根据国家标准《环境保护图形标志——排放口（源）》、国家环保总局《排污口规范化整治要求（试行）》和《广东省污染源排污口规范化设置导则》的技术要求，企业所有排放口（包括水、气、声、渣）必须按照“便于采样、便于计量监测、便于日常现场监督检查”的原则和规范化要求，并按当地环保部分的要求，设置与之相适应的环境保护图形标志牌，绘制企业排污口分布图，同时对污水排放口安装流量计，对治理设施安装运行监控装置。排污口的规范化要符合环境监察部门的相关要求。</w:t>
      </w:r>
    </w:p>
    <w:p>
      <w:pPr>
        <w:ind w:firstLine="480"/>
      </w:pPr>
      <w:r>
        <w:rPr>
          <w:rFonts w:hint="eastAsia"/>
        </w:rPr>
        <w:t>排污口规范化整治技术要求：</w:t>
      </w:r>
    </w:p>
    <w:p>
      <w:pPr>
        <w:pStyle w:val="126"/>
        <w:numPr>
          <w:ilvl w:val="0"/>
          <w:numId w:val="69"/>
        </w:numPr>
        <w:ind w:firstLine="482"/>
        <w:rPr>
          <w:b w:val="0"/>
        </w:rPr>
      </w:pPr>
      <w:r>
        <w:rPr>
          <w:rFonts w:hint="eastAsia"/>
          <w:b w:val="0"/>
        </w:rPr>
        <w:t>废气排放口必须符合规定的高度，至少达到1</w:t>
      </w:r>
      <w:r>
        <w:rPr>
          <w:b w:val="0"/>
        </w:rPr>
        <w:t>5</w:t>
      </w:r>
      <w:r>
        <w:rPr>
          <w:rFonts w:hint="eastAsia"/>
          <w:b w:val="0"/>
        </w:rPr>
        <w:t>m，各废气排气筒应设置便于采样、监测并符合《污染源监测技术规范》要求的采样口和采样平台，无法满足要求的应由市级以上环境监测部门确认采样口位置。</w:t>
      </w:r>
    </w:p>
    <w:p>
      <w:pPr>
        <w:pStyle w:val="126"/>
        <w:numPr>
          <w:ilvl w:val="0"/>
          <w:numId w:val="69"/>
        </w:numPr>
        <w:ind w:firstLine="482"/>
        <w:rPr>
          <w:b w:val="0"/>
        </w:rPr>
      </w:pPr>
      <w:r>
        <w:rPr>
          <w:rFonts w:hint="eastAsia"/>
          <w:b w:val="0"/>
        </w:rPr>
        <w:t>本项目只外排生活污水，只设</w:t>
      </w:r>
      <w:r>
        <w:rPr>
          <w:b w:val="0"/>
        </w:rPr>
        <w:t>1</w:t>
      </w:r>
      <w:r>
        <w:rPr>
          <w:rFonts w:hint="eastAsia"/>
          <w:b w:val="0"/>
        </w:rPr>
        <w:t>个厂区总排口，废水总排放口设在厂内，废水接管前总排放口应设置具备采样和流量测定条件的采样口。</w:t>
      </w:r>
    </w:p>
    <w:p>
      <w:pPr>
        <w:pStyle w:val="126"/>
        <w:numPr>
          <w:ilvl w:val="0"/>
          <w:numId w:val="69"/>
        </w:numPr>
        <w:ind w:firstLine="482"/>
        <w:rPr>
          <w:b w:val="0"/>
        </w:rPr>
      </w:pPr>
      <w:r>
        <w:rPr>
          <w:rFonts w:hint="eastAsia"/>
          <w:b w:val="0"/>
        </w:rPr>
        <w:t>根据不同固定噪声源的情况，采取减振降噪、吸声、隔声等措施，并在厂界噪声敏感且对外界影响最大处设置标志牌。</w:t>
      </w:r>
    </w:p>
    <w:p>
      <w:pPr>
        <w:pStyle w:val="126"/>
        <w:numPr>
          <w:ilvl w:val="0"/>
          <w:numId w:val="69"/>
        </w:numPr>
        <w:ind w:firstLine="482"/>
        <w:rPr>
          <w:b w:val="0"/>
        </w:rPr>
      </w:pPr>
      <w:r>
        <w:rPr>
          <w:rFonts w:hint="eastAsia"/>
          <w:b w:val="0"/>
        </w:rPr>
        <w:t>本项目固体废物应按照固废处理相关规定加强管理，应加强暂存期间的管理，危险废物、一般工业废物和生活垃圾设置有专用堆放场地，存放场应采取严格的防渗、防流失、防淋溶措施，并在存放场边界和进出口位置均设置环保标志牌。</w:t>
      </w:r>
    </w:p>
    <w:p>
      <w:pPr>
        <w:pStyle w:val="126"/>
        <w:numPr>
          <w:ilvl w:val="0"/>
          <w:numId w:val="69"/>
        </w:numPr>
        <w:ind w:firstLine="482"/>
        <w:rPr>
          <w:b w:val="0"/>
        </w:rPr>
      </w:pPr>
      <w:r>
        <w:rPr>
          <w:rFonts w:hint="eastAsia"/>
          <w:b w:val="0"/>
        </w:rPr>
        <w:t>按照GB</w:t>
      </w:r>
      <w:r>
        <w:rPr>
          <w:b w:val="0"/>
        </w:rPr>
        <w:t xml:space="preserve"> </w:t>
      </w:r>
      <w:r>
        <w:rPr>
          <w:rFonts w:hint="eastAsia"/>
          <w:b w:val="0"/>
        </w:rPr>
        <w:t>15562.1-1995及GB</w:t>
      </w:r>
      <w:r>
        <w:rPr>
          <w:b w:val="0"/>
        </w:rPr>
        <w:t xml:space="preserve"> </w:t>
      </w:r>
      <w:r>
        <w:rPr>
          <w:rFonts w:hint="eastAsia"/>
          <w:b w:val="0"/>
        </w:rPr>
        <w:t>1556.2-1995《环境保护图形标志》的规定，规范化整治的排污口应设置相应的环境保护图形标志牌，见</w:t>
      </w:r>
      <w:r>
        <w:rPr>
          <w:b w:val="0"/>
        </w:rPr>
        <w:fldChar w:fldCharType="begin"/>
      </w:r>
      <w:r>
        <w:rPr>
          <w:b w:val="0"/>
        </w:rPr>
        <w:instrText xml:space="preserve"> </w:instrText>
      </w:r>
      <w:r>
        <w:rPr>
          <w:rFonts w:hint="eastAsia"/>
          <w:b w:val="0"/>
        </w:rPr>
        <w:instrText xml:space="preserve">REF _Ref530414988 \h</w:instrText>
      </w:r>
      <w:r>
        <w:rPr>
          <w:b w:val="0"/>
        </w:rPr>
        <w:instrText xml:space="preserve">  \* MERGEFORMAT </w:instrText>
      </w:r>
      <w:r>
        <w:rPr>
          <w:b w:val="0"/>
        </w:rPr>
        <w:fldChar w:fldCharType="separate"/>
      </w:r>
      <w:r>
        <w:rPr>
          <w:rFonts w:hint="eastAsia"/>
          <w:b w:val="0"/>
        </w:rPr>
        <w:t xml:space="preserve">表 </w:t>
      </w:r>
      <w:r>
        <w:rPr>
          <w:b w:val="0"/>
        </w:rPr>
        <w:t>7.2</w:t>
      </w:r>
      <w:r>
        <w:rPr>
          <w:b w:val="0"/>
        </w:rPr>
        <w:noBreakHyphen/>
      </w:r>
      <w:r>
        <w:rPr>
          <w:b w:val="0"/>
        </w:rPr>
        <w:t>2</w:t>
      </w:r>
      <w:r>
        <w:rPr>
          <w:b w:val="0"/>
        </w:rPr>
        <w:fldChar w:fldCharType="end"/>
      </w:r>
      <w:r>
        <w:rPr>
          <w:rFonts w:hint="eastAsia"/>
          <w:b w:val="0"/>
        </w:rPr>
        <w:t>。环境保护图形标志牌设置应设置在距污染物排放口（源）及固体废物贮存（堆放）场所较近且醒目处，并能长久保留。设置高度一般为环境保护图形标志牌上缘距离地面2m。一般性污染物排污口（源）或固体废物贮存、处置场所，设置提示性环境保护图形标志牌，危险废物贮存、处置场所设置警告标志牌。</w:t>
      </w:r>
    </w:p>
    <w:p>
      <w:pPr>
        <w:pStyle w:val="126"/>
        <w:numPr>
          <w:ilvl w:val="0"/>
          <w:numId w:val="69"/>
        </w:numPr>
        <w:ind w:firstLine="482"/>
        <w:rPr>
          <w:b w:val="0"/>
        </w:rPr>
      </w:pPr>
      <w:r>
        <w:rPr>
          <w:rFonts w:hint="eastAsia"/>
          <w:b w:val="0"/>
        </w:rPr>
        <w:t>按要求填写由国家环境保护总局统一印制的《中华人民共和国规范化排污口标志登记证》并根据登记证的内容建立排污口管理档案。</w:t>
      </w:r>
    </w:p>
    <w:p>
      <w:pPr>
        <w:pStyle w:val="126"/>
        <w:numPr>
          <w:ilvl w:val="0"/>
          <w:numId w:val="69"/>
        </w:numPr>
        <w:ind w:firstLine="482"/>
        <w:rPr>
          <w:b w:val="0"/>
        </w:rPr>
      </w:pPr>
      <w:r>
        <w:rPr>
          <w:rFonts w:hint="eastAsia"/>
          <w:b w:val="0"/>
        </w:rPr>
        <w:t>规范化整治排污口的有关设备属环境保护设施，应将其纳入本单位设备管理，并选派责任心强，有专业知识和技能的兼职人员对排污口进行管理。</w:t>
      </w:r>
    </w:p>
    <w:p>
      <w:pPr>
        <w:pStyle w:val="18"/>
      </w:pPr>
      <w:bookmarkStart w:id="705" w:name="_Ref530414988"/>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7.2</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2</w:t>
      </w:r>
      <w:r>
        <w:fldChar w:fldCharType="end"/>
      </w:r>
      <w:bookmarkEnd w:id="705"/>
      <w:r>
        <w:t xml:space="preserve"> </w:t>
      </w:r>
      <w:r>
        <w:rPr>
          <w:rFonts w:hint="eastAsia"/>
        </w:rPr>
        <w:t>环境保护图形标志</w:t>
      </w:r>
    </w:p>
    <w:tbl>
      <w:tblPr>
        <w:tblStyle w:val="56"/>
        <w:tblW w:w="8620"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76"/>
        <w:gridCol w:w="2014"/>
        <w:gridCol w:w="1007"/>
        <w:gridCol w:w="1007"/>
        <w:gridCol w:w="201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PrEx>
        <w:trPr>
          <w:jc w:val="center"/>
        </w:trPr>
        <w:tc>
          <w:tcPr>
            <w:tcW w:w="2576" w:type="dxa"/>
            <w:vAlign w:val="center"/>
          </w:tcPr>
          <w:p>
            <w:pPr>
              <w:pStyle w:val="107"/>
            </w:pPr>
            <w:r>
              <w:t>排放口</w:t>
            </w:r>
          </w:p>
        </w:tc>
        <w:tc>
          <w:tcPr>
            <w:tcW w:w="2014" w:type="dxa"/>
            <w:vAlign w:val="center"/>
          </w:tcPr>
          <w:p>
            <w:pPr>
              <w:pStyle w:val="107"/>
            </w:pPr>
            <w:r>
              <w:t>废水排口</w:t>
            </w:r>
          </w:p>
        </w:tc>
        <w:tc>
          <w:tcPr>
            <w:tcW w:w="2014" w:type="dxa"/>
            <w:gridSpan w:val="2"/>
            <w:vAlign w:val="center"/>
          </w:tcPr>
          <w:p>
            <w:pPr>
              <w:pStyle w:val="107"/>
            </w:pPr>
            <w:r>
              <w:t>废气排口</w:t>
            </w:r>
          </w:p>
        </w:tc>
        <w:tc>
          <w:tcPr>
            <w:tcW w:w="2016" w:type="dxa"/>
            <w:vAlign w:val="center"/>
          </w:tcPr>
          <w:p>
            <w:pPr>
              <w:pStyle w:val="107"/>
            </w:pPr>
            <w:r>
              <w:t>噪声源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525" w:hRule="atLeast"/>
          <w:jc w:val="center"/>
        </w:trPr>
        <w:tc>
          <w:tcPr>
            <w:tcW w:w="2576" w:type="dxa"/>
            <w:vAlign w:val="center"/>
          </w:tcPr>
          <w:p>
            <w:pPr>
              <w:pStyle w:val="107"/>
            </w:pPr>
            <w:r>
              <w:t>图形符号</w:t>
            </w:r>
          </w:p>
        </w:tc>
        <w:tc>
          <w:tcPr>
            <w:tcW w:w="2014" w:type="dxa"/>
            <w:vAlign w:val="center"/>
          </w:tcPr>
          <w:p>
            <w:pPr>
              <w:pStyle w:val="107"/>
            </w:pPr>
            <w:r>
              <w:drawing>
                <wp:inline distT="0" distB="0" distL="0" distR="0">
                  <wp:extent cx="1009650" cy="100965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1009650" cy="1009650"/>
                          </a:xfrm>
                          <a:prstGeom prst="rect">
                            <a:avLst/>
                          </a:prstGeom>
                          <a:noFill/>
                          <a:ln>
                            <a:noFill/>
                          </a:ln>
                        </pic:spPr>
                      </pic:pic>
                    </a:graphicData>
                  </a:graphic>
                </wp:inline>
              </w:drawing>
            </w:r>
          </w:p>
        </w:tc>
        <w:tc>
          <w:tcPr>
            <w:tcW w:w="2014" w:type="dxa"/>
            <w:gridSpan w:val="2"/>
            <w:vAlign w:val="center"/>
          </w:tcPr>
          <w:p>
            <w:pPr>
              <w:pStyle w:val="107"/>
            </w:pPr>
            <w:r>
              <w:drawing>
                <wp:inline distT="0" distB="0" distL="0" distR="0">
                  <wp:extent cx="1009650" cy="1000125"/>
                  <wp:effectExtent l="0" t="0" r="0" b="952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1009650" cy="1000125"/>
                          </a:xfrm>
                          <a:prstGeom prst="rect">
                            <a:avLst/>
                          </a:prstGeom>
                          <a:noFill/>
                          <a:ln>
                            <a:noFill/>
                          </a:ln>
                        </pic:spPr>
                      </pic:pic>
                    </a:graphicData>
                  </a:graphic>
                </wp:inline>
              </w:drawing>
            </w:r>
          </w:p>
        </w:tc>
        <w:tc>
          <w:tcPr>
            <w:tcW w:w="2016" w:type="dxa"/>
            <w:vAlign w:val="center"/>
          </w:tcPr>
          <w:p>
            <w:pPr>
              <w:pStyle w:val="107"/>
            </w:pPr>
            <w:r>
              <w:drawing>
                <wp:inline distT="0" distB="0" distL="0" distR="0">
                  <wp:extent cx="990600" cy="1000125"/>
                  <wp:effectExtent l="0" t="0" r="0" b="952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990600" cy="1000125"/>
                          </a:xfrm>
                          <a:prstGeom prst="rect">
                            <a:avLst/>
                          </a:prstGeom>
                          <a:noFill/>
                          <a:ln>
                            <a:noFill/>
                          </a:ln>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1" w:hRule="atLeast"/>
          <w:jc w:val="center"/>
        </w:trPr>
        <w:tc>
          <w:tcPr>
            <w:tcW w:w="2576" w:type="dxa"/>
            <w:vAlign w:val="center"/>
          </w:tcPr>
          <w:p>
            <w:pPr>
              <w:pStyle w:val="107"/>
            </w:pPr>
            <w:r>
              <w:t>背景颜色</w:t>
            </w:r>
          </w:p>
        </w:tc>
        <w:tc>
          <w:tcPr>
            <w:tcW w:w="6044" w:type="dxa"/>
            <w:gridSpan w:val="4"/>
            <w:vAlign w:val="center"/>
          </w:tcPr>
          <w:p>
            <w:pPr>
              <w:pStyle w:val="107"/>
            </w:pPr>
            <w:r>
              <w:t>绿   色</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6" w:hRule="atLeast"/>
          <w:jc w:val="center"/>
        </w:trPr>
        <w:tc>
          <w:tcPr>
            <w:tcW w:w="2576" w:type="dxa"/>
            <w:vAlign w:val="center"/>
          </w:tcPr>
          <w:p>
            <w:pPr>
              <w:pStyle w:val="107"/>
            </w:pPr>
            <w:r>
              <w:t>图形颜色</w:t>
            </w:r>
          </w:p>
        </w:tc>
        <w:tc>
          <w:tcPr>
            <w:tcW w:w="6044" w:type="dxa"/>
            <w:gridSpan w:val="4"/>
            <w:vAlign w:val="center"/>
          </w:tcPr>
          <w:p>
            <w:pPr>
              <w:pStyle w:val="107"/>
            </w:pPr>
            <w:r>
              <w:t>白   色</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jc w:val="center"/>
        </w:trPr>
        <w:tc>
          <w:tcPr>
            <w:tcW w:w="2576" w:type="dxa"/>
            <w:vAlign w:val="center"/>
          </w:tcPr>
          <w:p>
            <w:pPr>
              <w:pStyle w:val="107"/>
            </w:pPr>
            <w:r>
              <w:t>固体废物贮存、处置场图</w:t>
            </w:r>
          </w:p>
        </w:tc>
        <w:tc>
          <w:tcPr>
            <w:tcW w:w="3021" w:type="dxa"/>
            <w:gridSpan w:val="2"/>
            <w:vAlign w:val="center"/>
          </w:tcPr>
          <w:p>
            <w:pPr>
              <w:pStyle w:val="107"/>
            </w:pPr>
            <w:r>
              <w:t>一般固体废物</w:t>
            </w:r>
          </w:p>
        </w:tc>
        <w:tc>
          <w:tcPr>
            <w:tcW w:w="3023" w:type="dxa"/>
            <w:gridSpan w:val="2"/>
            <w:vAlign w:val="center"/>
          </w:tcPr>
          <w:p>
            <w:pPr>
              <w:pStyle w:val="107"/>
            </w:pPr>
            <w:r>
              <w:t>危险废物（警告图形符号）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6" w:hRule="atLeast"/>
          <w:jc w:val="center"/>
        </w:trPr>
        <w:tc>
          <w:tcPr>
            <w:tcW w:w="2576" w:type="dxa"/>
            <w:vAlign w:val="center"/>
          </w:tcPr>
          <w:p>
            <w:pPr>
              <w:pStyle w:val="107"/>
            </w:pPr>
            <w:r>
              <w:t>图形符号</w:t>
            </w:r>
          </w:p>
        </w:tc>
        <w:tc>
          <w:tcPr>
            <w:tcW w:w="3021" w:type="dxa"/>
            <w:gridSpan w:val="2"/>
            <w:vAlign w:val="center"/>
          </w:tcPr>
          <w:p>
            <w:pPr>
              <w:pStyle w:val="107"/>
            </w:pPr>
            <w:r>
              <w:drawing>
                <wp:inline distT="0" distB="0" distL="0" distR="0">
                  <wp:extent cx="1143000" cy="150495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1143000" cy="1504950"/>
                          </a:xfrm>
                          <a:prstGeom prst="rect">
                            <a:avLst/>
                          </a:prstGeom>
                          <a:noFill/>
                          <a:ln>
                            <a:noFill/>
                          </a:ln>
                        </pic:spPr>
                      </pic:pic>
                    </a:graphicData>
                  </a:graphic>
                </wp:inline>
              </w:drawing>
            </w:r>
          </w:p>
        </w:tc>
        <w:tc>
          <w:tcPr>
            <w:tcW w:w="3023" w:type="dxa"/>
            <w:gridSpan w:val="2"/>
            <w:vAlign w:val="center"/>
          </w:tcPr>
          <w:p>
            <w:pPr>
              <w:pStyle w:val="107"/>
            </w:pPr>
            <w:r>
              <w:drawing>
                <wp:inline distT="0" distB="0" distL="0" distR="0">
                  <wp:extent cx="1076325" cy="1304925"/>
                  <wp:effectExtent l="0" t="0" r="9525"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1076325" cy="1304925"/>
                          </a:xfrm>
                          <a:prstGeom prst="rect">
                            <a:avLst/>
                          </a:prstGeom>
                          <a:noFill/>
                          <a:ln>
                            <a:noFill/>
                          </a:ln>
                        </pic:spPr>
                      </pic:pic>
                    </a:graphicData>
                  </a:graphic>
                </wp:inline>
              </w:drawing>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6" w:hRule="atLeast"/>
          <w:jc w:val="center"/>
        </w:trPr>
        <w:tc>
          <w:tcPr>
            <w:tcW w:w="2576" w:type="dxa"/>
            <w:vAlign w:val="center"/>
          </w:tcPr>
          <w:p>
            <w:pPr>
              <w:pStyle w:val="107"/>
            </w:pPr>
            <w:r>
              <w:t>背景颜色</w:t>
            </w:r>
          </w:p>
        </w:tc>
        <w:tc>
          <w:tcPr>
            <w:tcW w:w="3021" w:type="dxa"/>
            <w:gridSpan w:val="2"/>
            <w:vAlign w:val="center"/>
          </w:tcPr>
          <w:p>
            <w:pPr>
              <w:pStyle w:val="107"/>
            </w:pPr>
            <w:r>
              <w:t>绿   色</w:t>
            </w:r>
          </w:p>
        </w:tc>
        <w:tc>
          <w:tcPr>
            <w:tcW w:w="3023" w:type="dxa"/>
            <w:gridSpan w:val="2"/>
            <w:vAlign w:val="center"/>
          </w:tcPr>
          <w:p>
            <w:pPr>
              <w:pStyle w:val="107"/>
            </w:pPr>
            <w:r>
              <w:t>黄   色</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6" w:hRule="atLeast"/>
          <w:jc w:val="center"/>
        </w:trPr>
        <w:tc>
          <w:tcPr>
            <w:tcW w:w="2576" w:type="dxa"/>
            <w:vAlign w:val="center"/>
          </w:tcPr>
          <w:p>
            <w:pPr>
              <w:pStyle w:val="107"/>
            </w:pPr>
            <w:r>
              <w:t>图形颜色</w:t>
            </w:r>
          </w:p>
        </w:tc>
        <w:tc>
          <w:tcPr>
            <w:tcW w:w="3021" w:type="dxa"/>
            <w:gridSpan w:val="2"/>
            <w:vAlign w:val="center"/>
          </w:tcPr>
          <w:p>
            <w:pPr>
              <w:pStyle w:val="107"/>
            </w:pPr>
            <w:r>
              <w:t>白   色</w:t>
            </w:r>
          </w:p>
        </w:tc>
        <w:tc>
          <w:tcPr>
            <w:tcW w:w="3023" w:type="dxa"/>
            <w:gridSpan w:val="2"/>
            <w:vAlign w:val="center"/>
          </w:tcPr>
          <w:p>
            <w:pPr>
              <w:pStyle w:val="107"/>
            </w:pPr>
            <w:r>
              <w:t>黑   色</w:t>
            </w:r>
          </w:p>
        </w:tc>
      </w:tr>
    </w:tbl>
    <w:p>
      <w:pPr>
        <w:pStyle w:val="107"/>
      </w:pPr>
    </w:p>
    <w:p>
      <w:pPr>
        <w:pStyle w:val="4"/>
      </w:pPr>
      <w:bookmarkStart w:id="706" w:name="_Toc3538822"/>
      <w:r>
        <w:t>环境监测计划</w:t>
      </w:r>
      <w:bookmarkEnd w:id="700"/>
      <w:bookmarkEnd w:id="701"/>
      <w:bookmarkEnd w:id="702"/>
      <w:bookmarkEnd w:id="703"/>
      <w:bookmarkEnd w:id="704"/>
      <w:bookmarkEnd w:id="706"/>
    </w:p>
    <w:p>
      <w:pPr>
        <w:ind w:firstLine="480"/>
      </w:pPr>
      <w:r>
        <w:rPr>
          <w:rFonts w:hint="eastAsia"/>
        </w:rPr>
        <w:t>环境监测的目的在于了解和掌握污染状况，一般包括以下几个方面：</w:t>
      </w:r>
    </w:p>
    <w:p>
      <w:pPr>
        <w:ind w:firstLine="480"/>
      </w:pPr>
      <w:r>
        <w:rPr>
          <w:rFonts w:hint="eastAsia"/>
        </w:rPr>
        <w:t>1、定期监测污染物排放浓度和排放量是否符合国家、省、市和行业规定的排放标准，确保污染物排放总量控制在允许的环境容量内；</w:t>
      </w:r>
    </w:p>
    <w:p>
      <w:pPr>
        <w:ind w:firstLine="480"/>
      </w:pPr>
      <w:r>
        <w:rPr>
          <w:rFonts w:hint="eastAsia"/>
        </w:rPr>
        <w:t>2、分析所排污染物的变化规律和环境影响程度，为控制污染提供依据，加强污染物处理装置的日常维护使用，提高科学管理水平；</w:t>
      </w:r>
    </w:p>
    <w:p>
      <w:pPr>
        <w:ind w:firstLine="480"/>
      </w:pPr>
      <w:r>
        <w:rPr>
          <w:rFonts w:hint="eastAsia"/>
        </w:rPr>
        <w:t>3、协助环境保护行政主管部门对风险事故的监测、分析和报告。</w:t>
      </w:r>
    </w:p>
    <w:p>
      <w:pPr>
        <w:ind w:firstLine="480"/>
      </w:pPr>
      <w:r>
        <w:rPr>
          <w:rFonts w:hint="eastAsia"/>
        </w:rPr>
        <w:t>在监测计划中一部分由当地环境保护部门根据环境管理的需要实施定期监测；日常监测部分则由企业自行承担，并将监测数据反馈于生产系统，促进生产与环保协调发展。</w:t>
      </w:r>
    </w:p>
    <w:p>
      <w:pPr>
        <w:pStyle w:val="5"/>
      </w:pPr>
      <w:bookmarkStart w:id="707" w:name="_Toc331536300"/>
      <w:r>
        <w:t>监测制度</w:t>
      </w:r>
      <w:bookmarkEnd w:id="707"/>
    </w:p>
    <w:p>
      <w:pPr>
        <w:pStyle w:val="99"/>
        <w:numPr>
          <w:ilvl w:val="0"/>
          <w:numId w:val="70"/>
        </w:numPr>
        <w:ind w:firstLine="480"/>
        <w:rPr>
          <w:rFonts w:eastAsiaTheme="minorEastAsia"/>
          <w:lang w:val="zh-CN"/>
        </w:rPr>
      </w:pPr>
      <w:r>
        <w:rPr>
          <w:rFonts w:hint="eastAsia" w:eastAsiaTheme="minorEastAsia"/>
          <w:lang w:val="zh-CN"/>
        </w:rPr>
        <w:t>为了及时了解和掌握建设项目营运期主要污染源污染物的排放状况，建设单位应定期委托有资质的环境监测单位对主要污染源的污染物排放情况进行监测。</w:t>
      </w:r>
    </w:p>
    <w:p>
      <w:pPr>
        <w:pStyle w:val="99"/>
        <w:numPr>
          <w:ilvl w:val="0"/>
          <w:numId w:val="70"/>
        </w:numPr>
        <w:ind w:firstLine="480"/>
        <w:rPr>
          <w:rFonts w:eastAsiaTheme="minorEastAsia"/>
          <w:lang w:val="zh-CN"/>
        </w:rPr>
      </w:pPr>
      <w:r>
        <w:rPr>
          <w:rFonts w:eastAsiaTheme="minorEastAsia"/>
          <w:lang w:val="zh-CN"/>
        </w:rPr>
        <w:t>各污染治理设施要建立运行台帐，严格管理，建立操作和维护保养制度，确保环保设施的正常运行。</w:t>
      </w:r>
    </w:p>
    <w:p>
      <w:pPr>
        <w:pStyle w:val="99"/>
        <w:numPr>
          <w:ilvl w:val="0"/>
          <w:numId w:val="70"/>
        </w:numPr>
        <w:ind w:firstLine="480"/>
        <w:rPr>
          <w:rFonts w:eastAsiaTheme="minorEastAsia"/>
          <w:lang w:val="zh-CN"/>
        </w:rPr>
      </w:pPr>
      <w:r>
        <w:rPr>
          <w:rFonts w:eastAsiaTheme="minorEastAsia"/>
          <w:lang w:val="zh-CN"/>
        </w:rPr>
        <w:t>污染物排放出现异常情况时，增加监测密度，并及时查清原因，迅速排除故障，恢复治理设施的正常运行。</w:t>
      </w:r>
    </w:p>
    <w:p>
      <w:pPr>
        <w:pStyle w:val="99"/>
        <w:numPr>
          <w:ilvl w:val="0"/>
          <w:numId w:val="70"/>
        </w:numPr>
        <w:ind w:firstLine="480"/>
        <w:rPr>
          <w:rFonts w:eastAsiaTheme="minorEastAsia"/>
          <w:lang w:val="zh-CN"/>
        </w:rPr>
      </w:pPr>
      <w:r>
        <w:rPr>
          <w:rFonts w:eastAsiaTheme="minorEastAsia"/>
          <w:lang w:val="zh-CN"/>
        </w:rPr>
        <w:t>建立废气污染物监测日志，并定期汇总报送相关部门，事故状况发生时及时通知相关部门。</w:t>
      </w:r>
    </w:p>
    <w:p>
      <w:pPr>
        <w:pStyle w:val="5"/>
      </w:pPr>
      <w:bookmarkStart w:id="708" w:name="_Toc331536301"/>
      <w:bookmarkStart w:id="709" w:name="_Ref530488713"/>
      <w:r>
        <w:rPr>
          <w:rFonts w:hint="eastAsia"/>
        </w:rPr>
        <w:t>环境</w:t>
      </w:r>
      <w:r>
        <w:t>监测计划</w:t>
      </w:r>
      <w:bookmarkEnd w:id="708"/>
      <w:bookmarkEnd w:id="709"/>
    </w:p>
    <w:p>
      <w:pPr>
        <w:ind w:firstLine="480"/>
        <w:rPr>
          <w:lang w:val="en-GB"/>
        </w:rPr>
      </w:pPr>
      <w:r>
        <w:rPr>
          <w:rFonts w:hint="eastAsia"/>
          <w:lang w:val="en-GB"/>
        </w:rPr>
        <w:t xml:space="preserve">运营期应重点在污染物排放方面进行监控。而且，是以监控各污染源的污染物排放为主，以周边环境质量监测为辅，同时兼顾事故状态下的环境监控。 </w:t>
      </w:r>
    </w:p>
    <w:p>
      <w:pPr>
        <w:ind w:firstLine="480"/>
        <w:rPr>
          <w:lang w:val="en-GB"/>
        </w:rPr>
      </w:pPr>
      <w:r>
        <w:rPr>
          <w:lang w:val="en-GB"/>
        </w:rPr>
        <w:t>考虑到企业的实际情况，建议企业营运期可委托当地的环境监测站或有资质单位协助进行日常的污染源监测，污染源监测主要包括对污染源（包括废气、废水、噪声、固体废物等）以及各类污染治理设施的运转进行定期或不定期监测，明确在线监测设备的布设和监测因子。若有超标排放时应及时向公司有关部门及领导反映，并及时采取措施，杜绝超标排放。</w:t>
      </w:r>
    </w:p>
    <w:p>
      <w:pPr>
        <w:ind w:firstLine="480"/>
        <w:rPr>
          <w:lang w:val="en-GB"/>
        </w:rPr>
      </w:pPr>
      <w:r>
        <w:rPr>
          <w:lang w:val="en-GB"/>
        </w:rPr>
        <w:t>根据本项目污染物来源和排放特性，</w:t>
      </w:r>
      <w:r>
        <w:rPr>
          <w:rFonts w:hint="eastAsia"/>
          <w:lang w:val="en-GB"/>
        </w:rPr>
        <w:t>监测计划建议如下。</w:t>
      </w:r>
    </w:p>
    <w:p>
      <w:pPr>
        <w:pStyle w:val="6"/>
        <w:rPr>
          <w:lang w:val="en-GB"/>
        </w:rPr>
      </w:pPr>
      <w:r>
        <w:rPr>
          <w:rFonts w:hint="eastAsia"/>
          <w:lang w:val="en-GB"/>
        </w:rPr>
        <w:t>常规性监测</w:t>
      </w:r>
    </w:p>
    <w:p>
      <w:pPr>
        <w:ind w:firstLine="480"/>
        <w:rPr>
          <w:lang w:val="en-GB"/>
        </w:rPr>
      </w:pPr>
      <w:r>
        <w:rPr>
          <w:rFonts w:hint="eastAsia"/>
          <w:lang w:val="en-GB"/>
        </w:rPr>
        <w:t>环境监测内容主要是污染源监测和必要的外环境监测。根据《排污单位自行监测技术指南 总则》( HJ 819-2017)，排污单位应查清所有污染源，确定主要污染源及主要监测指标，制定监测方案。</w:t>
      </w:r>
    </w:p>
    <w:p>
      <w:pPr>
        <w:ind w:firstLine="480"/>
        <w:rPr>
          <w:lang w:val="en-GB"/>
        </w:rPr>
      </w:pPr>
      <w:r>
        <w:rPr>
          <w:rFonts w:hint="eastAsia"/>
          <w:lang w:val="en-GB"/>
        </w:rPr>
        <w:t>1、水环境监测计划</w:t>
      </w:r>
    </w:p>
    <w:p>
      <w:pPr>
        <w:ind w:firstLine="480"/>
        <w:rPr>
          <w:lang w:val="en-GB"/>
        </w:rPr>
      </w:pPr>
      <w:r>
        <w:rPr>
          <w:rFonts w:hint="eastAsia"/>
          <w:lang w:val="en-GB"/>
        </w:rPr>
        <w:t>监测项目：COD</w:t>
      </w:r>
      <w:r>
        <w:rPr>
          <w:rFonts w:hint="eastAsia"/>
          <w:vertAlign w:val="subscript"/>
          <w:lang w:val="en-GB"/>
        </w:rPr>
        <w:t>Cr</w:t>
      </w:r>
      <w:r>
        <w:rPr>
          <w:rFonts w:hint="eastAsia"/>
          <w:lang w:val="en-GB"/>
        </w:rPr>
        <w:t>、BOD</w:t>
      </w:r>
      <w:r>
        <w:rPr>
          <w:rFonts w:hint="eastAsia"/>
          <w:vertAlign w:val="subscript"/>
          <w:lang w:val="en-GB"/>
        </w:rPr>
        <w:t>5</w:t>
      </w:r>
      <w:r>
        <w:rPr>
          <w:rFonts w:hint="eastAsia"/>
          <w:lang w:val="en-GB"/>
        </w:rPr>
        <w:t>、SS、NH</w:t>
      </w:r>
      <w:r>
        <w:rPr>
          <w:rFonts w:hint="eastAsia"/>
          <w:vertAlign w:val="subscript"/>
          <w:lang w:val="en-GB"/>
        </w:rPr>
        <w:t>3</w:t>
      </w:r>
      <w:r>
        <w:rPr>
          <w:rFonts w:hint="eastAsia"/>
          <w:lang w:val="en-GB"/>
        </w:rPr>
        <w:t>-N等污染物。</w:t>
      </w:r>
    </w:p>
    <w:p>
      <w:pPr>
        <w:ind w:firstLine="480"/>
        <w:rPr>
          <w:lang w:val="en-GB"/>
        </w:rPr>
      </w:pPr>
      <w:r>
        <w:rPr>
          <w:rFonts w:hint="eastAsia"/>
          <w:lang w:val="en-GB"/>
        </w:rPr>
        <w:t>监测位置：生活污水处理设施入口和排放口。</w:t>
      </w:r>
    </w:p>
    <w:p>
      <w:pPr>
        <w:ind w:firstLine="480"/>
        <w:rPr>
          <w:lang w:val="en-GB"/>
        </w:rPr>
      </w:pPr>
      <w:r>
        <w:rPr>
          <w:rFonts w:hint="eastAsia"/>
          <w:lang w:val="en-GB"/>
        </w:rPr>
        <w:t>监测时间与频率：每半年监测一次。</w:t>
      </w:r>
    </w:p>
    <w:p>
      <w:pPr>
        <w:ind w:firstLine="480"/>
        <w:rPr>
          <w:lang w:val="en-GB"/>
        </w:rPr>
      </w:pPr>
      <w:r>
        <w:rPr>
          <w:lang w:val="en-GB"/>
        </w:rPr>
        <w:t>监测</w:t>
      </w:r>
      <w:r>
        <w:rPr>
          <w:rFonts w:hint="eastAsia"/>
          <w:lang w:val="en-GB"/>
        </w:rPr>
        <w:t>采样及分析</w:t>
      </w:r>
      <w:r>
        <w:rPr>
          <w:lang w:val="en-GB"/>
        </w:rPr>
        <w:t>方法</w:t>
      </w:r>
      <w:r>
        <w:rPr>
          <w:rFonts w:hint="eastAsia"/>
          <w:lang w:val="en-GB"/>
        </w:rPr>
        <w:t>：</w:t>
      </w:r>
      <w:r>
        <w:rPr>
          <w:rFonts w:hint="eastAsia" w:eastAsiaTheme="minorEastAsia"/>
        </w:rPr>
        <w:t>《环境监测技术规范》及《水和废水监测分析方法》。</w:t>
      </w:r>
    </w:p>
    <w:p>
      <w:pPr>
        <w:ind w:firstLine="480"/>
        <w:rPr>
          <w:lang w:val="en-GB"/>
        </w:rPr>
      </w:pPr>
      <w:r>
        <w:rPr>
          <w:rFonts w:hint="eastAsia"/>
          <w:lang w:val="en-GB"/>
        </w:rPr>
        <w:t>2、大气环境监测计划</w:t>
      </w:r>
    </w:p>
    <w:p>
      <w:pPr>
        <w:ind w:firstLine="480"/>
        <w:rPr>
          <w:lang w:val="en-GB"/>
        </w:rPr>
      </w:pPr>
      <w:r>
        <w:rPr>
          <w:rFonts w:hint="eastAsia"/>
          <w:lang w:val="en-GB"/>
        </w:rPr>
        <w:t>监测项目：颗粒物、非甲烷总烃、硫化氢、臭气浓度。</w:t>
      </w:r>
    </w:p>
    <w:p>
      <w:pPr>
        <w:ind w:firstLine="480"/>
        <w:rPr>
          <w:lang w:val="en-GB"/>
        </w:rPr>
      </w:pPr>
      <w:r>
        <w:rPr>
          <w:rFonts w:hint="eastAsia"/>
          <w:lang w:val="en-GB"/>
        </w:rPr>
        <w:t>监测位置：废气处理设施入口和排放口，厂界无组织监控点。</w:t>
      </w:r>
    </w:p>
    <w:p>
      <w:pPr>
        <w:ind w:firstLine="480"/>
        <w:rPr>
          <w:lang w:val="en-GB"/>
        </w:rPr>
      </w:pPr>
      <w:r>
        <w:rPr>
          <w:rFonts w:hint="eastAsia"/>
          <w:lang w:val="en-GB"/>
        </w:rPr>
        <w:t>监测时间与频率：每半年监测一次，在项目生产达到满负荷 75%以上运行时取样分析。</w:t>
      </w:r>
    </w:p>
    <w:p>
      <w:pPr>
        <w:ind w:firstLine="480"/>
        <w:rPr>
          <w:lang w:val="en-GB"/>
        </w:rPr>
      </w:pPr>
      <w:r>
        <w:rPr>
          <w:lang w:val="en-GB"/>
        </w:rPr>
        <w:t>监测</w:t>
      </w:r>
      <w:r>
        <w:rPr>
          <w:rFonts w:hint="eastAsia"/>
          <w:lang w:val="en-GB"/>
        </w:rPr>
        <w:t>采样及分析</w:t>
      </w:r>
      <w:r>
        <w:rPr>
          <w:lang w:val="en-GB"/>
        </w:rPr>
        <w:t>方法</w:t>
      </w:r>
      <w:r>
        <w:rPr>
          <w:rFonts w:hint="eastAsia"/>
          <w:lang w:val="en-GB"/>
        </w:rPr>
        <w:t>：《环境监测技术规范》和</w:t>
      </w:r>
      <w:r>
        <w:rPr>
          <w:lang w:val="en-GB"/>
        </w:rPr>
        <w:t>《空气和废气监测分析方法》</w:t>
      </w:r>
      <w:r>
        <w:rPr>
          <w:rFonts w:hint="eastAsia"/>
          <w:lang w:val="en-GB"/>
        </w:rPr>
        <w:t>。</w:t>
      </w:r>
    </w:p>
    <w:p>
      <w:pPr>
        <w:ind w:firstLine="480"/>
        <w:rPr>
          <w:lang w:val="en-GB"/>
        </w:rPr>
      </w:pPr>
      <w:r>
        <w:rPr>
          <w:rFonts w:hint="eastAsia"/>
          <w:lang w:val="en-GB"/>
        </w:rPr>
        <w:t>3、厂界噪声监测计划</w:t>
      </w:r>
    </w:p>
    <w:p>
      <w:pPr>
        <w:ind w:firstLine="480"/>
        <w:rPr>
          <w:lang w:val="en-GB"/>
        </w:rPr>
      </w:pPr>
      <w:r>
        <w:rPr>
          <w:rFonts w:hint="eastAsia"/>
          <w:lang w:val="en-GB"/>
        </w:rPr>
        <w:t>监测项目：等效连续A声级。</w:t>
      </w:r>
    </w:p>
    <w:p>
      <w:pPr>
        <w:ind w:firstLine="480"/>
        <w:rPr>
          <w:lang w:val="en-GB"/>
        </w:rPr>
      </w:pPr>
      <w:r>
        <w:rPr>
          <w:rFonts w:hint="eastAsia"/>
          <w:lang w:val="en-GB"/>
        </w:rPr>
        <w:t>监测位置：项目厂区四周边界外1m处。</w:t>
      </w:r>
    </w:p>
    <w:p>
      <w:pPr>
        <w:ind w:firstLine="480"/>
        <w:rPr>
          <w:lang w:val="en-GB"/>
        </w:rPr>
      </w:pPr>
      <w:r>
        <w:rPr>
          <w:rFonts w:hint="eastAsia"/>
          <w:lang w:val="en-GB"/>
        </w:rPr>
        <w:t>监测频次：每半年监测一次，每次连续监测2天，每天昼间和夜间各1次。</w:t>
      </w:r>
    </w:p>
    <w:p>
      <w:pPr>
        <w:ind w:firstLine="480"/>
        <w:rPr>
          <w:lang w:val="en-GB"/>
        </w:rPr>
      </w:pPr>
      <w:r>
        <w:rPr>
          <w:lang w:val="en-GB"/>
        </w:rPr>
        <w:t>监测</w:t>
      </w:r>
      <w:r>
        <w:rPr>
          <w:rFonts w:hint="eastAsia"/>
          <w:lang w:val="en-GB"/>
        </w:rPr>
        <w:t>采样及分析</w:t>
      </w:r>
      <w:r>
        <w:rPr>
          <w:lang w:val="en-GB"/>
        </w:rPr>
        <w:t>方法</w:t>
      </w:r>
      <w:r>
        <w:rPr>
          <w:rFonts w:hint="eastAsia"/>
          <w:lang w:val="en-GB"/>
        </w:rPr>
        <w:t>：</w:t>
      </w:r>
      <w:r>
        <w:rPr>
          <w:rFonts w:hint="eastAsia"/>
        </w:rPr>
        <w:t>《工业企业厂界环境噪声排放标准》。</w:t>
      </w:r>
    </w:p>
    <w:p>
      <w:pPr>
        <w:ind w:firstLine="480"/>
        <w:rPr>
          <w:lang w:val="en-GB"/>
        </w:rPr>
      </w:pPr>
      <w:r>
        <w:rPr>
          <w:rFonts w:hint="eastAsia"/>
          <w:lang w:val="en-GB"/>
        </w:rPr>
        <w:t>4、固体废弃物监控</w:t>
      </w:r>
    </w:p>
    <w:p>
      <w:pPr>
        <w:ind w:firstLine="480"/>
        <w:rPr>
          <w:lang w:val="en-GB"/>
        </w:rPr>
      </w:pPr>
      <w:r>
        <w:rPr>
          <w:rFonts w:hint="eastAsia"/>
          <w:lang w:val="en-GB"/>
        </w:rPr>
        <w:t>严格管理项目营运过程中产生的各种固体废弃物（包括边角料、废包装材料、废品、不合格品、布袋除尘装置收集的粉尘、废活性炭、废润滑油、含油废抹布、生活垃圾等），定期检查各种固体废弃物的处置情况，并严格落实危险废物（废活性炭、废润滑油、含油废抹布）管理的执行情况。</w:t>
      </w:r>
    </w:p>
    <w:p>
      <w:pPr>
        <w:pStyle w:val="6"/>
      </w:pPr>
      <w:bookmarkStart w:id="710" w:name="_Toc331536302"/>
      <w:r>
        <w:rPr>
          <w:rFonts w:hint="eastAsia"/>
        </w:rPr>
        <w:t>环境风险事故监测计划</w:t>
      </w:r>
    </w:p>
    <w:p>
      <w:pPr>
        <w:ind w:firstLine="480"/>
        <w:rPr>
          <w:lang w:val="en-GB"/>
        </w:rPr>
      </w:pPr>
      <w:r>
        <w:rPr>
          <w:rFonts w:hint="eastAsia"/>
        </w:rPr>
        <w:t>环保治理设施运行情况要严格监视，及时监测。当发现环保设施发生故障或运行不正常时，应及时向环保部门报告，并立即采样监测，对事故发生的原因、事故造成的后果和损失进行调查统计。</w:t>
      </w:r>
    </w:p>
    <w:p>
      <w:pPr>
        <w:ind w:firstLine="480"/>
        <w:rPr>
          <w:lang w:val="en-GB"/>
        </w:rPr>
      </w:pPr>
      <w:r>
        <w:rPr>
          <w:rFonts w:hint="eastAsia"/>
          <w:lang w:val="en-GB"/>
        </w:rPr>
        <w:t>发生环境风险事故时，根据事故类型和性质决定污染源类型（主要是水、大气）、监测指标、监测频次，委托有资质的环境监测单位实施，具体监测计划由建设单位会同监测单位协商制定。当发生大气污染物事故性排放时，应严格监控、及时监测，特别做好对下风向受影响范围内的居民区污染物浓度进行连续监测工作，直至恢复正常的环境空气状况为止。</w:t>
      </w:r>
    </w:p>
    <w:p>
      <w:pPr>
        <w:pStyle w:val="6"/>
        <w:rPr>
          <w:lang w:val="en-GB"/>
        </w:rPr>
      </w:pPr>
      <w:r>
        <w:rPr>
          <w:rFonts w:hint="eastAsia"/>
          <w:lang w:val="en-GB"/>
        </w:rPr>
        <w:t>监测实施单位</w:t>
      </w:r>
    </w:p>
    <w:p>
      <w:pPr>
        <w:ind w:firstLine="480"/>
      </w:pPr>
      <w:r>
        <w:rPr>
          <w:rFonts w:hint="eastAsia"/>
        </w:rPr>
        <w:t xml:space="preserve">上述监测内容均需按照国家规定的数据采集、处理、采样和分析方法进行监测，若企业不具备监测条件，可委托有资质的监测单位进行监测，监测结果以报告形式上报当地环保部门。 </w:t>
      </w:r>
    </w:p>
    <w:p>
      <w:pPr>
        <w:pStyle w:val="6"/>
      </w:pPr>
      <w:r>
        <w:rPr>
          <w:rFonts w:hint="eastAsia"/>
        </w:rPr>
        <w:t xml:space="preserve">监测数据分析与处理 </w:t>
      </w:r>
    </w:p>
    <w:p>
      <w:pPr>
        <w:ind w:firstLine="480"/>
      </w:pPr>
      <w:r>
        <w:rPr>
          <w:rFonts w:hint="eastAsia"/>
        </w:rPr>
        <w:t>以上监测结果应及时建档，并抄报有关环保主管部门，若发现有污染问题要及时进行处理，并上报有关部门。</w:t>
      </w:r>
    </w:p>
    <w:p>
      <w:pPr>
        <w:ind w:firstLine="480"/>
      </w:pPr>
      <w:r>
        <w:rPr>
          <w:rFonts w:hint="eastAsia"/>
        </w:rPr>
        <w:t>接受并密切配合环保部门的定期监测，积累数据资料，妥善保存档案，做好环境统计工作，为治理工作现状和今后工作改进提供依据。</w:t>
      </w:r>
    </w:p>
    <w:p>
      <w:pPr>
        <w:ind w:firstLine="480"/>
      </w:pPr>
      <w:r>
        <w:rPr>
          <w:rFonts w:hint="eastAsia"/>
        </w:rPr>
        <w:t>在监测过程中，如发现某参数有超标异常情况，则分析原因并报告管理机构，及时采取改进生产或加强污染控制的措施；</w:t>
      </w:r>
    </w:p>
    <w:p>
      <w:pPr>
        <w:ind w:firstLine="480"/>
      </w:pPr>
      <w:r>
        <w:rPr>
          <w:rFonts w:hint="eastAsia"/>
        </w:rPr>
        <w:t xml:space="preserve">建立合理可行的监测质量保证措施，保证监测数据客观、公正、准确、可靠，不受其它因素干预。 </w:t>
      </w:r>
    </w:p>
    <w:p>
      <w:pPr>
        <w:ind w:firstLine="480"/>
      </w:pPr>
      <w:r>
        <w:rPr>
          <w:rFonts w:hint="eastAsia"/>
        </w:rPr>
        <w:t>定期对监测数据进行综合分析，掌握废气、污水、噪声达标排放情况，并向管理机构做出汇报。</w:t>
      </w:r>
    </w:p>
    <w:bookmarkEnd w:id="710"/>
    <w:p>
      <w:pPr>
        <w:pStyle w:val="4"/>
      </w:pPr>
      <w:bookmarkStart w:id="711" w:name="_Toc2305"/>
      <w:bookmarkStart w:id="712" w:name="_Toc456647194"/>
      <w:bookmarkStart w:id="713" w:name="_Toc482175839"/>
      <w:bookmarkStart w:id="714" w:name="_Toc479599712"/>
      <w:bookmarkStart w:id="715" w:name="_Toc3538823"/>
      <w:bookmarkStart w:id="716" w:name="_Toc30585"/>
      <w:r>
        <w:rPr>
          <w:rFonts w:hint="eastAsia"/>
        </w:rPr>
        <w:t>环境保护设施</w:t>
      </w:r>
      <w:r>
        <w:t>竣工验收内容</w:t>
      </w:r>
      <w:bookmarkEnd w:id="711"/>
      <w:bookmarkEnd w:id="712"/>
      <w:bookmarkEnd w:id="713"/>
      <w:bookmarkEnd w:id="714"/>
      <w:bookmarkEnd w:id="715"/>
      <w:bookmarkEnd w:id="716"/>
    </w:p>
    <w:p>
      <w:pPr>
        <w:ind w:firstLine="480"/>
        <w:rPr>
          <w:rFonts w:eastAsiaTheme="minorEastAsia"/>
          <w:lang w:val="zh-CN"/>
        </w:rPr>
      </w:pPr>
      <w:r>
        <w:rPr>
          <w:rFonts w:hint="eastAsia" w:eastAsiaTheme="minorEastAsia"/>
          <w:lang w:val="zh-CN"/>
        </w:rPr>
        <w:t>本项目环保设施须与建设项目同时设计、同时施工、同时投入运营，各环境保护设施“三同时”验收内容见</w:t>
      </w:r>
      <w:r>
        <w:rPr>
          <w:rFonts w:eastAsiaTheme="minorEastAsia"/>
          <w:lang w:val="zh-CN"/>
        </w:rPr>
        <w:t>见下表。</w:t>
      </w:r>
    </w:p>
    <w:p>
      <w:pPr>
        <w:ind w:firstLine="480"/>
        <w:rPr>
          <w:rFonts w:eastAsiaTheme="minorEastAsia"/>
          <w:lang w:val="zh-CN"/>
        </w:rPr>
      </w:pPr>
    </w:p>
    <w:p>
      <w:pPr>
        <w:spacing w:before="120" w:after="120"/>
        <w:ind w:firstLine="482"/>
        <w:rPr>
          <w:rFonts w:eastAsiaTheme="minorEastAsia"/>
          <w:b/>
          <w:color w:val="000000" w:themeColor="text1"/>
          <w14:textFill>
            <w14:solidFill>
              <w14:schemeClr w14:val="tx1"/>
            </w14:solidFill>
          </w14:textFill>
        </w:rPr>
        <w:sectPr>
          <w:footerReference r:id="rId24" w:type="default"/>
          <w:pgSz w:w="11907" w:h="16840"/>
          <w:pgMar w:top="1418" w:right="1418" w:bottom="1418" w:left="1418" w:header="851" w:footer="992" w:gutter="0"/>
          <w:cols w:space="425" w:num="1"/>
          <w:docGrid w:linePitch="312" w:charSpace="0"/>
        </w:sectPr>
      </w:pP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7.4</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w:t>
      </w:r>
      <w:r>
        <w:rPr>
          <w:rFonts w:hint="eastAsia"/>
        </w:rPr>
        <w:t>项目竣工环境保护“三同时”验收及监测一览表</w:t>
      </w:r>
    </w:p>
    <w:tbl>
      <w:tblPr>
        <w:tblStyle w:val="56"/>
        <w:tblW w:w="2090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2"/>
        <w:gridCol w:w="669"/>
        <w:gridCol w:w="1229"/>
        <w:gridCol w:w="1425"/>
        <w:gridCol w:w="1597"/>
        <w:gridCol w:w="3353"/>
        <w:gridCol w:w="8"/>
        <w:gridCol w:w="865"/>
        <w:gridCol w:w="1384"/>
        <w:gridCol w:w="1200"/>
        <w:gridCol w:w="1651"/>
        <w:gridCol w:w="1275"/>
        <w:gridCol w:w="4694"/>
        <w:gridCol w:w="1083"/>
        <w:gridCol w:w="8"/>
        <w:gridCol w:w="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8" w:type="dxa"/>
          <w:trHeight w:val="285" w:hRule="atLeast"/>
        </w:trPr>
        <w:tc>
          <w:tcPr>
            <w:tcW w:w="452" w:type="dxa"/>
            <w:vMerge w:val="restart"/>
            <w:shd w:val="clear" w:color="auto" w:fill="auto"/>
            <w:vAlign w:val="center"/>
          </w:tcPr>
          <w:p>
            <w:pPr>
              <w:pStyle w:val="107"/>
              <w:rPr>
                <w:b/>
              </w:rPr>
            </w:pPr>
            <w:bookmarkStart w:id="717" w:name="_Toc329784258"/>
            <w:bookmarkStart w:id="718" w:name="_Toc170"/>
            <w:bookmarkStart w:id="719" w:name="_Toc331536319"/>
            <w:r>
              <w:rPr>
                <w:rFonts w:hint="eastAsia"/>
                <w:b/>
              </w:rPr>
              <w:t>序号</w:t>
            </w:r>
          </w:p>
        </w:tc>
        <w:tc>
          <w:tcPr>
            <w:tcW w:w="4920" w:type="dxa"/>
            <w:gridSpan w:val="4"/>
            <w:shd w:val="clear" w:color="auto" w:fill="auto"/>
            <w:vAlign w:val="center"/>
          </w:tcPr>
          <w:p>
            <w:pPr>
              <w:pStyle w:val="107"/>
              <w:rPr>
                <w:b/>
              </w:rPr>
            </w:pPr>
            <w:r>
              <w:rPr>
                <w:rFonts w:hint="eastAsia"/>
                <w:b/>
              </w:rPr>
              <w:t>污染源及污染物</w:t>
            </w:r>
          </w:p>
        </w:tc>
        <w:tc>
          <w:tcPr>
            <w:tcW w:w="3361" w:type="dxa"/>
            <w:gridSpan w:val="2"/>
            <w:shd w:val="clear" w:color="auto" w:fill="auto"/>
            <w:vAlign w:val="center"/>
          </w:tcPr>
          <w:p>
            <w:pPr>
              <w:pStyle w:val="107"/>
              <w:rPr>
                <w:b/>
              </w:rPr>
            </w:pPr>
          </w:p>
        </w:tc>
        <w:tc>
          <w:tcPr>
            <w:tcW w:w="3449" w:type="dxa"/>
            <w:gridSpan w:val="3"/>
            <w:shd w:val="clear" w:color="auto" w:fill="auto"/>
            <w:vAlign w:val="center"/>
          </w:tcPr>
          <w:p>
            <w:pPr>
              <w:pStyle w:val="107"/>
              <w:rPr>
                <w:b/>
              </w:rPr>
            </w:pPr>
            <w:r>
              <w:rPr>
                <w:rFonts w:hint="eastAsia"/>
                <w:b/>
              </w:rPr>
              <w:t>排放要求</w:t>
            </w:r>
          </w:p>
        </w:tc>
        <w:tc>
          <w:tcPr>
            <w:tcW w:w="7620" w:type="dxa"/>
            <w:gridSpan w:val="3"/>
            <w:shd w:val="clear" w:color="auto" w:fill="auto"/>
            <w:vAlign w:val="center"/>
          </w:tcPr>
          <w:p>
            <w:pPr>
              <w:pStyle w:val="107"/>
              <w:rPr>
                <w:b/>
              </w:rPr>
            </w:pPr>
            <w:r>
              <w:rPr>
                <w:rFonts w:hint="eastAsia"/>
                <w:b/>
              </w:rPr>
              <w:t>验收执行标准</w:t>
            </w:r>
          </w:p>
        </w:tc>
        <w:tc>
          <w:tcPr>
            <w:tcW w:w="1091" w:type="dxa"/>
            <w:gridSpan w:val="2"/>
            <w:shd w:val="clear" w:color="auto" w:fill="auto"/>
            <w:vAlign w:val="center"/>
          </w:tcPr>
          <w:p>
            <w:pPr>
              <w:pStyle w:val="107"/>
              <w:rPr>
                <w:b/>
              </w:rPr>
            </w:pPr>
            <w:r>
              <w:rPr>
                <w:rFonts w:hint="eastAsia"/>
                <w:b/>
              </w:rPr>
              <w:t>监测点位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452" w:type="dxa"/>
            <w:vMerge w:val="continue"/>
            <w:vAlign w:val="center"/>
          </w:tcPr>
          <w:p>
            <w:pPr>
              <w:pStyle w:val="107"/>
              <w:rPr>
                <w:b/>
              </w:rPr>
            </w:pPr>
          </w:p>
        </w:tc>
        <w:tc>
          <w:tcPr>
            <w:tcW w:w="669" w:type="dxa"/>
            <w:vMerge w:val="restart"/>
            <w:shd w:val="clear" w:color="auto" w:fill="auto"/>
            <w:vAlign w:val="center"/>
          </w:tcPr>
          <w:p>
            <w:pPr>
              <w:pStyle w:val="107"/>
              <w:rPr>
                <w:b/>
              </w:rPr>
            </w:pPr>
            <w:r>
              <w:rPr>
                <w:rFonts w:hint="eastAsia"/>
                <w:b/>
              </w:rPr>
              <w:t>要素</w:t>
            </w:r>
          </w:p>
        </w:tc>
        <w:tc>
          <w:tcPr>
            <w:tcW w:w="1229" w:type="dxa"/>
            <w:vMerge w:val="restart"/>
            <w:shd w:val="clear" w:color="auto" w:fill="auto"/>
            <w:vAlign w:val="center"/>
          </w:tcPr>
          <w:p>
            <w:pPr>
              <w:pStyle w:val="107"/>
              <w:rPr>
                <w:b/>
              </w:rPr>
            </w:pPr>
            <w:r>
              <w:rPr>
                <w:rFonts w:hint="eastAsia"/>
                <w:b/>
              </w:rPr>
              <w:t>生产工艺</w:t>
            </w:r>
          </w:p>
        </w:tc>
        <w:tc>
          <w:tcPr>
            <w:tcW w:w="1425" w:type="dxa"/>
            <w:vMerge w:val="restart"/>
            <w:shd w:val="clear" w:color="auto" w:fill="auto"/>
            <w:vAlign w:val="center"/>
          </w:tcPr>
          <w:p>
            <w:pPr>
              <w:pStyle w:val="107"/>
              <w:rPr>
                <w:b/>
              </w:rPr>
            </w:pPr>
            <w:r>
              <w:rPr>
                <w:rFonts w:hint="eastAsia"/>
                <w:b/>
              </w:rPr>
              <w:t>污染因子</w:t>
            </w:r>
          </w:p>
        </w:tc>
        <w:tc>
          <w:tcPr>
            <w:tcW w:w="1597" w:type="dxa"/>
            <w:shd w:val="clear" w:color="auto" w:fill="auto"/>
            <w:vAlign w:val="center"/>
          </w:tcPr>
          <w:p>
            <w:pPr>
              <w:pStyle w:val="107"/>
              <w:rPr>
                <w:b/>
              </w:rPr>
            </w:pPr>
            <w:r>
              <w:rPr>
                <w:rFonts w:hint="eastAsia"/>
                <w:b/>
              </w:rPr>
              <w:t>核准排放量</w:t>
            </w:r>
          </w:p>
        </w:tc>
        <w:tc>
          <w:tcPr>
            <w:tcW w:w="3353" w:type="dxa"/>
            <w:vMerge w:val="restart"/>
            <w:vAlign w:val="center"/>
          </w:tcPr>
          <w:p>
            <w:pPr>
              <w:pStyle w:val="107"/>
              <w:rPr>
                <w:b/>
              </w:rPr>
            </w:pPr>
            <w:r>
              <w:rPr>
                <w:rFonts w:hint="eastAsia"/>
                <w:b/>
              </w:rPr>
              <w:t>环境保护措施及主要运行参数</w:t>
            </w:r>
          </w:p>
        </w:tc>
        <w:tc>
          <w:tcPr>
            <w:tcW w:w="873" w:type="dxa"/>
            <w:gridSpan w:val="2"/>
            <w:shd w:val="clear" w:color="auto" w:fill="auto"/>
            <w:vAlign w:val="center"/>
          </w:tcPr>
          <w:p>
            <w:pPr>
              <w:pStyle w:val="107"/>
              <w:rPr>
                <w:b/>
              </w:rPr>
            </w:pPr>
            <w:r>
              <w:rPr>
                <w:rFonts w:hint="eastAsia"/>
                <w:b/>
              </w:rPr>
              <w:t>高度</w:t>
            </w:r>
          </w:p>
        </w:tc>
        <w:tc>
          <w:tcPr>
            <w:tcW w:w="1384" w:type="dxa"/>
            <w:shd w:val="clear" w:color="auto" w:fill="auto"/>
            <w:vAlign w:val="center"/>
          </w:tcPr>
          <w:p>
            <w:pPr>
              <w:pStyle w:val="107"/>
              <w:rPr>
                <w:b/>
              </w:rPr>
            </w:pPr>
            <w:r>
              <w:rPr>
                <w:rFonts w:hint="eastAsia"/>
                <w:b/>
              </w:rPr>
              <w:t>浓度</w:t>
            </w:r>
          </w:p>
        </w:tc>
        <w:tc>
          <w:tcPr>
            <w:tcW w:w="1200" w:type="dxa"/>
            <w:shd w:val="clear" w:color="auto" w:fill="auto"/>
            <w:vAlign w:val="center"/>
          </w:tcPr>
          <w:p>
            <w:pPr>
              <w:pStyle w:val="107"/>
              <w:rPr>
                <w:b/>
              </w:rPr>
            </w:pPr>
            <w:r>
              <w:rPr>
                <w:rFonts w:hint="eastAsia"/>
                <w:b/>
              </w:rPr>
              <w:t>速率</w:t>
            </w:r>
          </w:p>
        </w:tc>
        <w:tc>
          <w:tcPr>
            <w:tcW w:w="1651" w:type="dxa"/>
            <w:shd w:val="clear" w:color="auto" w:fill="auto"/>
            <w:vAlign w:val="center"/>
          </w:tcPr>
          <w:p>
            <w:pPr>
              <w:pStyle w:val="107"/>
              <w:rPr>
                <w:b/>
              </w:rPr>
            </w:pPr>
            <w:r>
              <w:rPr>
                <w:rFonts w:hint="eastAsia"/>
                <w:b/>
              </w:rPr>
              <w:t>浓度</w:t>
            </w:r>
          </w:p>
        </w:tc>
        <w:tc>
          <w:tcPr>
            <w:tcW w:w="1275" w:type="dxa"/>
            <w:shd w:val="clear" w:color="auto" w:fill="auto"/>
            <w:vAlign w:val="center"/>
          </w:tcPr>
          <w:p>
            <w:pPr>
              <w:pStyle w:val="107"/>
              <w:rPr>
                <w:b/>
              </w:rPr>
            </w:pPr>
            <w:r>
              <w:rPr>
                <w:rFonts w:hint="eastAsia"/>
                <w:b/>
              </w:rPr>
              <w:t>速率</w:t>
            </w:r>
          </w:p>
        </w:tc>
        <w:tc>
          <w:tcPr>
            <w:tcW w:w="4694" w:type="dxa"/>
            <w:vMerge w:val="restart"/>
            <w:shd w:val="clear" w:color="auto" w:fill="auto"/>
            <w:vAlign w:val="center"/>
          </w:tcPr>
          <w:p>
            <w:pPr>
              <w:pStyle w:val="107"/>
              <w:rPr>
                <w:b/>
              </w:rPr>
            </w:pPr>
            <w:r>
              <w:rPr>
                <w:rFonts w:hint="eastAsia"/>
                <w:b/>
              </w:rPr>
              <w:t>标准来源</w:t>
            </w:r>
          </w:p>
        </w:tc>
        <w:tc>
          <w:tcPr>
            <w:tcW w:w="1099" w:type="dxa"/>
            <w:gridSpan w:val="3"/>
            <w:vMerge w:val="restart"/>
            <w:vAlign w:val="center"/>
          </w:tcPr>
          <w:p>
            <w:pPr>
              <w:pStyle w:val="107"/>
              <w:rPr>
                <w: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0" w:hRule="atLeast"/>
        </w:trPr>
        <w:tc>
          <w:tcPr>
            <w:tcW w:w="452" w:type="dxa"/>
            <w:vMerge w:val="continue"/>
            <w:vAlign w:val="center"/>
          </w:tcPr>
          <w:p>
            <w:pPr>
              <w:pStyle w:val="107"/>
            </w:pPr>
          </w:p>
        </w:tc>
        <w:tc>
          <w:tcPr>
            <w:tcW w:w="669" w:type="dxa"/>
            <w:vMerge w:val="continue"/>
            <w:vAlign w:val="center"/>
          </w:tcPr>
          <w:p>
            <w:pPr>
              <w:pStyle w:val="107"/>
            </w:pPr>
          </w:p>
        </w:tc>
        <w:tc>
          <w:tcPr>
            <w:tcW w:w="1229" w:type="dxa"/>
            <w:vMerge w:val="continue"/>
            <w:vAlign w:val="center"/>
          </w:tcPr>
          <w:p>
            <w:pPr>
              <w:pStyle w:val="107"/>
            </w:pPr>
          </w:p>
        </w:tc>
        <w:tc>
          <w:tcPr>
            <w:tcW w:w="1425" w:type="dxa"/>
            <w:vMerge w:val="continue"/>
            <w:vAlign w:val="center"/>
          </w:tcPr>
          <w:p>
            <w:pPr>
              <w:pStyle w:val="107"/>
            </w:pPr>
          </w:p>
        </w:tc>
        <w:tc>
          <w:tcPr>
            <w:tcW w:w="1597" w:type="dxa"/>
            <w:shd w:val="clear" w:color="auto" w:fill="auto"/>
            <w:vAlign w:val="center"/>
          </w:tcPr>
          <w:p>
            <w:pPr>
              <w:pStyle w:val="107"/>
            </w:pPr>
            <w:r>
              <w:rPr>
                <w:rFonts w:hint="eastAsia"/>
              </w:rPr>
              <w:t>（</w:t>
            </w:r>
            <w:r>
              <w:t>t/a</w:t>
            </w:r>
            <w:r>
              <w:rPr>
                <w:rFonts w:hint="eastAsia"/>
              </w:rPr>
              <w:t>）</w:t>
            </w:r>
          </w:p>
        </w:tc>
        <w:tc>
          <w:tcPr>
            <w:tcW w:w="3353" w:type="dxa"/>
            <w:vMerge w:val="continue"/>
            <w:vAlign w:val="center"/>
          </w:tcPr>
          <w:p>
            <w:pPr>
              <w:pStyle w:val="107"/>
            </w:pPr>
          </w:p>
        </w:tc>
        <w:tc>
          <w:tcPr>
            <w:tcW w:w="873" w:type="dxa"/>
            <w:gridSpan w:val="2"/>
            <w:shd w:val="clear" w:color="auto" w:fill="auto"/>
            <w:vAlign w:val="center"/>
          </w:tcPr>
          <w:p>
            <w:pPr>
              <w:pStyle w:val="107"/>
              <w:rPr>
                <w:b/>
              </w:rPr>
            </w:pPr>
            <w:r>
              <w:rPr>
                <w:rFonts w:hint="eastAsia"/>
                <w:b/>
              </w:rPr>
              <w:t>（</w:t>
            </w:r>
            <w:r>
              <w:rPr>
                <w:b/>
              </w:rPr>
              <w:t>m</w:t>
            </w:r>
            <w:r>
              <w:rPr>
                <w:rFonts w:hint="eastAsia"/>
                <w:b/>
              </w:rPr>
              <w:t>）</w:t>
            </w:r>
          </w:p>
        </w:tc>
        <w:tc>
          <w:tcPr>
            <w:tcW w:w="1384" w:type="dxa"/>
            <w:shd w:val="clear" w:color="auto" w:fill="auto"/>
            <w:vAlign w:val="center"/>
          </w:tcPr>
          <w:p>
            <w:pPr>
              <w:pStyle w:val="107"/>
              <w:rPr>
                <w:b/>
              </w:rPr>
            </w:pPr>
            <w:r>
              <w:rPr>
                <w:rFonts w:hint="eastAsia"/>
                <w:b/>
              </w:rPr>
              <w:t>（</w:t>
            </w:r>
            <w:r>
              <w:rPr>
                <w:b/>
              </w:rPr>
              <w:t>mg/m</w:t>
            </w:r>
            <w:r>
              <w:rPr>
                <w:b/>
                <w:vertAlign w:val="superscript"/>
              </w:rPr>
              <w:t>3</w:t>
            </w:r>
            <w:r>
              <w:rPr>
                <w:rFonts w:hint="eastAsia"/>
                <w:b/>
              </w:rPr>
              <w:t>）</w:t>
            </w:r>
          </w:p>
        </w:tc>
        <w:tc>
          <w:tcPr>
            <w:tcW w:w="1200" w:type="dxa"/>
            <w:shd w:val="clear" w:color="auto" w:fill="auto"/>
            <w:vAlign w:val="center"/>
          </w:tcPr>
          <w:p>
            <w:pPr>
              <w:pStyle w:val="107"/>
              <w:rPr>
                <w:b/>
              </w:rPr>
            </w:pPr>
            <w:r>
              <w:rPr>
                <w:rFonts w:hint="eastAsia"/>
                <w:b/>
              </w:rPr>
              <w:t>（</w:t>
            </w:r>
            <w:r>
              <w:rPr>
                <w:b/>
              </w:rPr>
              <w:t>kg/h</w:t>
            </w:r>
            <w:r>
              <w:rPr>
                <w:rFonts w:hint="eastAsia"/>
                <w:b/>
              </w:rPr>
              <w:t>）</w:t>
            </w:r>
          </w:p>
        </w:tc>
        <w:tc>
          <w:tcPr>
            <w:tcW w:w="1651" w:type="dxa"/>
            <w:shd w:val="clear" w:color="auto" w:fill="auto"/>
            <w:vAlign w:val="center"/>
          </w:tcPr>
          <w:p>
            <w:pPr>
              <w:pStyle w:val="107"/>
              <w:rPr>
                <w:b/>
              </w:rPr>
            </w:pPr>
            <w:r>
              <w:rPr>
                <w:rFonts w:hint="eastAsia"/>
                <w:b/>
              </w:rPr>
              <w:t>（</w:t>
            </w:r>
            <w:r>
              <w:rPr>
                <w:b/>
              </w:rPr>
              <w:t>mg/m</w:t>
            </w:r>
            <w:r>
              <w:rPr>
                <w:b/>
                <w:vertAlign w:val="superscript"/>
              </w:rPr>
              <w:t>3</w:t>
            </w:r>
            <w:r>
              <w:rPr>
                <w:rFonts w:hint="eastAsia"/>
                <w:b/>
              </w:rPr>
              <w:t>）</w:t>
            </w:r>
          </w:p>
        </w:tc>
        <w:tc>
          <w:tcPr>
            <w:tcW w:w="1275" w:type="dxa"/>
            <w:shd w:val="clear" w:color="auto" w:fill="auto"/>
            <w:vAlign w:val="center"/>
          </w:tcPr>
          <w:p>
            <w:pPr>
              <w:pStyle w:val="107"/>
              <w:rPr>
                <w:b/>
              </w:rPr>
            </w:pPr>
            <w:r>
              <w:rPr>
                <w:rFonts w:hint="eastAsia"/>
                <w:b/>
              </w:rPr>
              <w:t>（</w:t>
            </w:r>
            <w:r>
              <w:rPr>
                <w:b/>
              </w:rPr>
              <w:t>kg/h</w:t>
            </w:r>
            <w:r>
              <w:rPr>
                <w:rFonts w:hint="eastAsia"/>
                <w:b/>
              </w:rPr>
              <w:t>）</w:t>
            </w:r>
          </w:p>
        </w:tc>
        <w:tc>
          <w:tcPr>
            <w:tcW w:w="4694" w:type="dxa"/>
            <w:vMerge w:val="continue"/>
            <w:vAlign w:val="center"/>
          </w:tcPr>
          <w:p>
            <w:pPr>
              <w:pStyle w:val="107"/>
            </w:pPr>
          </w:p>
        </w:tc>
        <w:tc>
          <w:tcPr>
            <w:tcW w:w="1099" w:type="dxa"/>
            <w:gridSpan w:val="3"/>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5" w:hRule="atLeast"/>
        </w:trPr>
        <w:tc>
          <w:tcPr>
            <w:tcW w:w="452" w:type="dxa"/>
            <w:shd w:val="clear" w:color="auto" w:fill="auto"/>
            <w:vAlign w:val="center"/>
          </w:tcPr>
          <w:p>
            <w:pPr>
              <w:pStyle w:val="107"/>
              <w:numPr>
                <w:ilvl w:val="0"/>
                <w:numId w:val="71"/>
              </w:numPr>
            </w:pPr>
          </w:p>
        </w:tc>
        <w:tc>
          <w:tcPr>
            <w:tcW w:w="669" w:type="dxa"/>
            <w:vMerge w:val="restart"/>
            <w:shd w:val="clear" w:color="auto" w:fill="auto"/>
            <w:vAlign w:val="center"/>
          </w:tcPr>
          <w:p>
            <w:pPr>
              <w:pStyle w:val="107"/>
            </w:pPr>
            <w:r>
              <w:rPr>
                <w:rFonts w:hint="eastAsia"/>
              </w:rPr>
              <w:t>废气</w:t>
            </w:r>
          </w:p>
        </w:tc>
        <w:tc>
          <w:tcPr>
            <w:tcW w:w="1229" w:type="dxa"/>
            <w:shd w:val="clear" w:color="auto" w:fill="auto"/>
            <w:vAlign w:val="center"/>
          </w:tcPr>
          <w:p>
            <w:pPr>
              <w:pStyle w:val="107"/>
            </w:pPr>
            <w:r>
              <w:rPr>
                <w:rFonts w:hint="eastAsia"/>
              </w:rPr>
              <w:t>投料、配料、密炼</w:t>
            </w:r>
          </w:p>
        </w:tc>
        <w:tc>
          <w:tcPr>
            <w:tcW w:w="1425" w:type="dxa"/>
            <w:vMerge w:val="restart"/>
            <w:shd w:val="clear" w:color="auto" w:fill="auto"/>
            <w:vAlign w:val="center"/>
          </w:tcPr>
          <w:p>
            <w:pPr>
              <w:pStyle w:val="107"/>
            </w:pPr>
            <w:r>
              <w:rPr>
                <w:rFonts w:hint="eastAsia"/>
              </w:rPr>
              <w:t>颗粒物</w:t>
            </w:r>
          </w:p>
          <w:p>
            <w:pPr>
              <w:pStyle w:val="107"/>
            </w:pPr>
            <w:r>
              <w:rPr>
                <w:rFonts w:hint="eastAsia"/>
              </w:rPr>
              <w:t>非甲烷总烃</w:t>
            </w:r>
          </w:p>
          <w:p>
            <w:pPr>
              <w:pStyle w:val="107"/>
            </w:pPr>
            <w:r>
              <w:rPr>
                <w:rFonts w:hint="eastAsia"/>
              </w:rPr>
              <w:t>硫化氢</w:t>
            </w:r>
          </w:p>
          <w:p>
            <w:pPr>
              <w:pStyle w:val="107"/>
            </w:pPr>
            <w:r>
              <w:rPr>
                <w:rFonts w:hint="eastAsia"/>
              </w:rPr>
              <w:t>臭气浓度</w:t>
            </w:r>
          </w:p>
        </w:tc>
        <w:tc>
          <w:tcPr>
            <w:tcW w:w="1597" w:type="dxa"/>
            <w:vMerge w:val="restart"/>
            <w:shd w:val="clear" w:color="auto" w:fill="auto"/>
            <w:vAlign w:val="center"/>
          </w:tcPr>
          <w:p>
            <w:pPr>
              <w:pStyle w:val="107"/>
            </w:pPr>
            <w:r>
              <w:rPr>
                <w:rFonts w:hint="eastAsia"/>
                <w:color w:val="000000"/>
              </w:rPr>
              <w:t>0.004</w:t>
            </w:r>
            <w:r>
              <w:rPr>
                <w:color w:val="000000"/>
              </w:rPr>
              <w:t>067</w:t>
            </w:r>
            <w:r>
              <w:rPr>
                <w:rFonts w:hint="eastAsia"/>
                <w:color w:val="000000"/>
              </w:rPr>
              <w:t xml:space="preserve"> </w:t>
            </w:r>
          </w:p>
          <w:p>
            <w:pPr>
              <w:pStyle w:val="107"/>
            </w:pPr>
            <w:r>
              <w:rPr>
                <w:rStyle w:val="63"/>
                <w:color w:val="auto"/>
              </w:rPr>
              <w:t>0.021935</w:t>
            </w:r>
            <w:r>
              <w:rPr>
                <w:rFonts w:hint="eastAsia"/>
                <w:color w:val="000000"/>
              </w:rPr>
              <w:t xml:space="preserve"> </w:t>
            </w:r>
          </w:p>
          <w:p>
            <w:pPr>
              <w:pStyle w:val="107"/>
              <w:rPr>
                <w:rFonts w:eastAsia="等线" w:cs="Arial"/>
              </w:rPr>
            </w:pPr>
            <w:r>
              <w:rPr>
                <w:rFonts w:eastAsia="等线" w:cs="Arial"/>
              </w:rPr>
              <w:t>0.001</w:t>
            </w:r>
          </w:p>
          <w:p>
            <w:pPr>
              <w:pStyle w:val="107"/>
            </w:pPr>
            <w:r>
              <w:rPr>
                <w:rFonts w:hint="eastAsia"/>
              </w:rPr>
              <w:t>少量</w:t>
            </w:r>
          </w:p>
        </w:tc>
        <w:tc>
          <w:tcPr>
            <w:tcW w:w="3353" w:type="dxa"/>
            <w:shd w:val="clear" w:color="auto" w:fill="auto"/>
            <w:vAlign w:val="center"/>
          </w:tcPr>
          <w:p>
            <w:pPr>
              <w:pStyle w:val="107"/>
            </w:pPr>
            <w:r>
              <w:rPr>
                <w:rFonts w:hint="eastAsia"/>
              </w:rPr>
              <w:t>收集效率95%，1套布袋除尘装置，除尘效率99%，除尘后引入下述同一套“喷淋塔+UV光解+活性炭吸附”净化</w:t>
            </w:r>
          </w:p>
        </w:tc>
        <w:tc>
          <w:tcPr>
            <w:tcW w:w="873" w:type="dxa"/>
            <w:gridSpan w:val="2"/>
            <w:vMerge w:val="restart"/>
            <w:shd w:val="clear" w:color="auto" w:fill="auto"/>
            <w:vAlign w:val="center"/>
          </w:tcPr>
          <w:p>
            <w:pPr>
              <w:pStyle w:val="107"/>
            </w:pPr>
            <w:r>
              <w:t>15m</w:t>
            </w:r>
          </w:p>
        </w:tc>
        <w:tc>
          <w:tcPr>
            <w:tcW w:w="1384" w:type="dxa"/>
            <w:vMerge w:val="restart"/>
            <w:shd w:val="clear" w:color="auto" w:fill="auto"/>
            <w:vAlign w:val="center"/>
          </w:tcPr>
          <w:p>
            <w:pPr>
              <w:pStyle w:val="107"/>
              <w:rPr>
                <w:color w:val="000000"/>
              </w:rPr>
            </w:pPr>
            <w:r>
              <w:rPr>
                <w:rFonts w:hint="eastAsia"/>
                <w:color w:val="000000"/>
              </w:rPr>
              <w:t>0.</w:t>
            </w:r>
            <w:r>
              <w:rPr>
                <w:color w:val="000000"/>
              </w:rPr>
              <w:t>077</w:t>
            </w:r>
          </w:p>
          <w:p>
            <w:pPr>
              <w:pStyle w:val="107"/>
              <w:rPr>
                <w:color w:val="000000"/>
              </w:rPr>
            </w:pPr>
            <w:r>
              <w:rPr>
                <w:rFonts w:hint="eastAsia"/>
                <w:color w:val="000000"/>
              </w:rPr>
              <w:t>0.</w:t>
            </w:r>
            <w:r>
              <w:rPr>
                <w:color w:val="000000"/>
              </w:rPr>
              <w:t>42</w:t>
            </w:r>
          </w:p>
          <w:p>
            <w:pPr>
              <w:pStyle w:val="107"/>
              <w:rPr>
                <w:color w:val="000000"/>
              </w:rPr>
            </w:pPr>
            <w:r>
              <w:rPr>
                <w:rFonts w:hint="eastAsia"/>
                <w:color w:val="000000"/>
              </w:rPr>
              <w:t>0.01</w:t>
            </w:r>
            <w:r>
              <w:rPr>
                <w:color w:val="000000"/>
              </w:rPr>
              <w:t>5</w:t>
            </w:r>
          </w:p>
          <w:p>
            <w:pPr>
              <w:pStyle w:val="107"/>
              <w:rPr>
                <w:color w:val="000000"/>
              </w:rPr>
            </w:pPr>
            <w:r>
              <w:rPr>
                <w:rFonts w:hint="eastAsia"/>
                <w:color w:val="000000"/>
              </w:rPr>
              <w:t>1</w:t>
            </w:r>
            <w:r>
              <w:rPr>
                <w:color w:val="000000"/>
              </w:rPr>
              <w:t>00</w:t>
            </w:r>
            <w:r>
              <w:rPr>
                <w:rFonts w:hint="eastAsia"/>
                <w:color w:val="000000"/>
              </w:rPr>
              <w:t>（无量纲）</w:t>
            </w:r>
          </w:p>
        </w:tc>
        <w:tc>
          <w:tcPr>
            <w:tcW w:w="1200" w:type="dxa"/>
            <w:vMerge w:val="restart"/>
            <w:shd w:val="clear" w:color="auto" w:fill="auto"/>
            <w:vAlign w:val="center"/>
          </w:tcPr>
          <w:p>
            <w:pPr>
              <w:pStyle w:val="107"/>
              <w:rPr>
                <w:color w:val="000000"/>
              </w:rPr>
            </w:pPr>
            <w:r>
              <w:rPr>
                <w:rFonts w:hint="eastAsia"/>
                <w:color w:val="000000"/>
              </w:rPr>
              <w:t>0.00</w:t>
            </w:r>
            <w:r>
              <w:rPr>
                <w:color w:val="000000"/>
              </w:rPr>
              <w:t>1695</w:t>
            </w:r>
          </w:p>
          <w:p>
            <w:pPr>
              <w:pStyle w:val="107"/>
              <w:rPr>
                <w:color w:val="000000"/>
              </w:rPr>
            </w:pPr>
            <w:r>
              <w:rPr>
                <w:rFonts w:hint="eastAsia"/>
                <w:color w:val="000000"/>
              </w:rPr>
              <w:t>0.00</w:t>
            </w:r>
            <w:r>
              <w:rPr>
                <w:color w:val="000000"/>
              </w:rPr>
              <w:t>914</w:t>
            </w:r>
          </w:p>
          <w:p>
            <w:pPr>
              <w:pStyle w:val="107"/>
              <w:rPr>
                <w:color w:val="000000"/>
              </w:rPr>
            </w:pPr>
            <w:r>
              <w:rPr>
                <w:rFonts w:hint="eastAsia"/>
                <w:color w:val="000000"/>
              </w:rPr>
              <w:t>0.0</w:t>
            </w:r>
            <w:r>
              <w:rPr>
                <w:color w:val="000000"/>
              </w:rPr>
              <w:t>0</w:t>
            </w:r>
            <w:r>
              <w:rPr>
                <w:rFonts w:hint="eastAsia"/>
                <w:color w:val="000000"/>
              </w:rPr>
              <w:t>0</w:t>
            </w:r>
            <w:r>
              <w:rPr>
                <w:color w:val="000000"/>
              </w:rPr>
              <w:t>34</w:t>
            </w:r>
          </w:p>
          <w:p>
            <w:pPr>
              <w:pStyle w:val="107"/>
              <w:rPr>
                <w:color w:val="000000"/>
              </w:rPr>
            </w:pPr>
            <w:r>
              <w:rPr>
                <w:rFonts w:hint="eastAsia"/>
                <w:color w:val="000000"/>
              </w:rPr>
              <w:t>/</w:t>
            </w:r>
          </w:p>
        </w:tc>
        <w:tc>
          <w:tcPr>
            <w:tcW w:w="1651" w:type="dxa"/>
            <w:vMerge w:val="restart"/>
            <w:shd w:val="clear" w:color="auto" w:fill="auto"/>
            <w:vAlign w:val="center"/>
          </w:tcPr>
          <w:p>
            <w:pPr>
              <w:pStyle w:val="107"/>
            </w:pPr>
            <w:r>
              <w:t>12</w:t>
            </w:r>
          </w:p>
          <w:p>
            <w:pPr>
              <w:pStyle w:val="107"/>
            </w:pPr>
            <w:r>
              <w:t>10</w:t>
            </w:r>
          </w:p>
          <w:p>
            <w:pPr>
              <w:pStyle w:val="107"/>
            </w:pPr>
            <w:r>
              <w:t>/</w:t>
            </w:r>
          </w:p>
          <w:p>
            <w:pPr>
              <w:pStyle w:val="107"/>
            </w:pPr>
            <w:r>
              <w:rPr>
                <w:rFonts w:hint="eastAsia"/>
              </w:rPr>
              <w:t>2</w:t>
            </w:r>
            <w:r>
              <w:t>000</w:t>
            </w:r>
            <w:r>
              <w:rPr>
                <w:rFonts w:hint="eastAsia"/>
                <w:color w:val="000000"/>
              </w:rPr>
              <w:t>（无量纲）</w:t>
            </w:r>
          </w:p>
        </w:tc>
        <w:tc>
          <w:tcPr>
            <w:tcW w:w="1275" w:type="dxa"/>
            <w:vMerge w:val="restart"/>
            <w:shd w:val="clear" w:color="auto" w:fill="auto"/>
            <w:vAlign w:val="center"/>
          </w:tcPr>
          <w:p>
            <w:pPr>
              <w:pStyle w:val="107"/>
            </w:pPr>
            <w:r>
              <w:t>/</w:t>
            </w:r>
          </w:p>
          <w:p>
            <w:pPr>
              <w:pStyle w:val="107"/>
            </w:pPr>
            <w:r>
              <w:t>/</w:t>
            </w:r>
          </w:p>
          <w:p>
            <w:pPr>
              <w:pStyle w:val="107"/>
            </w:pPr>
            <w:r>
              <w:t>0.33</w:t>
            </w:r>
          </w:p>
          <w:p>
            <w:pPr>
              <w:pStyle w:val="107"/>
            </w:pPr>
            <w:r>
              <w:rPr>
                <w:rFonts w:hint="eastAsia"/>
              </w:rPr>
              <w:t>/</w:t>
            </w:r>
          </w:p>
        </w:tc>
        <w:tc>
          <w:tcPr>
            <w:tcW w:w="4694" w:type="dxa"/>
            <w:vMerge w:val="restart"/>
            <w:shd w:val="clear" w:color="auto" w:fill="auto"/>
            <w:vAlign w:val="center"/>
          </w:tcPr>
          <w:p>
            <w:pPr>
              <w:pStyle w:val="107"/>
            </w:pPr>
            <w:r>
              <w:rPr>
                <w:rFonts w:hint="eastAsia"/>
              </w:rPr>
              <w:t>《橡胶制品工业污染物排放标准》（</w:t>
            </w:r>
            <w:r>
              <w:t>GB 27632-2011</w:t>
            </w:r>
            <w:r>
              <w:rPr>
                <w:rFonts w:hint="eastAsia"/>
              </w:rPr>
              <w:t>）中表</w:t>
            </w:r>
            <w:r>
              <w:t>5</w:t>
            </w:r>
            <w:r>
              <w:rPr>
                <w:rFonts w:hint="eastAsia"/>
              </w:rPr>
              <w:t>中的标准，基准排气量</w:t>
            </w:r>
            <w:r>
              <w:t>2000m³/t</w:t>
            </w:r>
            <w:r>
              <w:rPr>
                <w:rFonts w:hint="eastAsia"/>
              </w:rPr>
              <w:t>胶；</w:t>
            </w:r>
          </w:p>
          <w:p>
            <w:pPr>
              <w:pStyle w:val="107"/>
            </w:pPr>
            <w:r>
              <w:rPr>
                <w:rFonts w:hint="eastAsia"/>
              </w:rPr>
              <w:t>《恶臭污染物排放标准》（</w:t>
            </w:r>
            <w:r>
              <w:t>GB 14554-93</w:t>
            </w:r>
            <w:r>
              <w:rPr>
                <w:rFonts w:hint="eastAsia"/>
              </w:rPr>
              <w:t>）表</w:t>
            </w:r>
            <w:r>
              <w:t>2</w:t>
            </w:r>
            <w:r>
              <w:rPr>
                <w:rFonts w:hint="eastAsia"/>
              </w:rPr>
              <w:t>排放标准值</w:t>
            </w:r>
          </w:p>
        </w:tc>
        <w:tc>
          <w:tcPr>
            <w:tcW w:w="1099" w:type="dxa"/>
            <w:gridSpan w:val="3"/>
            <w:vMerge w:val="restart"/>
            <w:shd w:val="clear" w:color="auto" w:fill="auto"/>
            <w:vAlign w:val="center"/>
          </w:tcPr>
          <w:p>
            <w:pPr>
              <w:pStyle w:val="107"/>
            </w:pPr>
            <w:r>
              <w:rPr>
                <w:rFonts w:hint="eastAsia"/>
              </w:rPr>
              <w:t>排气筒</w:t>
            </w:r>
            <w:r>
              <w:t>P1</w:t>
            </w:r>
          </w:p>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hRule="atLeast"/>
        </w:trPr>
        <w:tc>
          <w:tcPr>
            <w:tcW w:w="452" w:type="dxa"/>
            <w:shd w:val="clear" w:color="auto" w:fill="auto"/>
            <w:vAlign w:val="center"/>
          </w:tcPr>
          <w:p>
            <w:pPr>
              <w:pStyle w:val="107"/>
              <w:numPr>
                <w:ilvl w:val="0"/>
                <w:numId w:val="71"/>
              </w:numPr>
            </w:pPr>
          </w:p>
        </w:tc>
        <w:tc>
          <w:tcPr>
            <w:tcW w:w="669" w:type="dxa"/>
            <w:vMerge w:val="continue"/>
            <w:vAlign w:val="center"/>
          </w:tcPr>
          <w:p>
            <w:pPr>
              <w:pStyle w:val="107"/>
            </w:pPr>
          </w:p>
        </w:tc>
        <w:tc>
          <w:tcPr>
            <w:tcW w:w="1229" w:type="dxa"/>
            <w:vMerge w:val="restart"/>
            <w:shd w:val="clear" w:color="auto" w:fill="auto"/>
            <w:vAlign w:val="center"/>
          </w:tcPr>
          <w:p>
            <w:pPr>
              <w:pStyle w:val="107"/>
            </w:pPr>
            <w:r>
              <w:rPr>
                <w:rFonts w:hint="eastAsia"/>
              </w:rPr>
              <w:t>开炼和硫化</w:t>
            </w:r>
          </w:p>
        </w:tc>
        <w:tc>
          <w:tcPr>
            <w:tcW w:w="1425" w:type="dxa"/>
            <w:vMerge w:val="continue"/>
            <w:shd w:val="clear" w:color="auto" w:fill="auto"/>
            <w:vAlign w:val="center"/>
          </w:tcPr>
          <w:p>
            <w:pPr>
              <w:pStyle w:val="107"/>
            </w:pPr>
          </w:p>
        </w:tc>
        <w:tc>
          <w:tcPr>
            <w:tcW w:w="1597" w:type="dxa"/>
            <w:vMerge w:val="continue"/>
            <w:shd w:val="clear" w:color="auto" w:fill="auto"/>
            <w:vAlign w:val="center"/>
          </w:tcPr>
          <w:p>
            <w:pPr>
              <w:pStyle w:val="107"/>
            </w:pPr>
          </w:p>
        </w:tc>
        <w:tc>
          <w:tcPr>
            <w:tcW w:w="3353" w:type="dxa"/>
            <w:vMerge w:val="restart"/>
            <w:shd w:val="clear" w:color="auto" w:fill="auto"/>
            <w:vAlign w:val="center"/>
          </w:tcPr>
          <w:p>
            <w:pPr>
              <w:pStyle w:val="107"/>
            </w:pPr>
            <w:r>
              <w:rPr>
                <w:rFonts w:hint="eastAsia"/>
              </w:rPr>
              <w:t>收集效率</w:t>
            </w:r>
            <w:r>
              <w:t>90</w:t>
            </w:r>
            <w:r>
              <w:rPr>
                <w:rFonts w:hint="eastAsia"/>
              </w:rPr>
              <w:t>%，1套UV光解+活性炭吸附装置，治理效率9</w:t>
            </w:r>
            <w:r>
              <w:t>2</w:t>
            </w:r>
            <w:r>
              <w:rPr>
                <w:rFonts w:hint="eastAsia"/>
              </w:rPr>
              <w:t>%</w:t>
            </w:r>
          </w:p>
        </w:tc>
        <w:tc>
          <w:tcPr>
            <w:tcW w:w="873" w:type="dxa"/>
            <w:gridSpan w:val="2"/>
            <w:vMerge w:val="continue"/>
            <w:shd w:val="clear" w:color="auto" w:fill="auto"/>
            <w:vAlign w:val="center"/>
          </w:tcPr>
          <w:p>
            <w:pPr>
              <w:pStyle w:val="107"/>
            </w:pPr>
          </w:p>
        </w:tc>
        <w:tc>
          <w:tcPr>
            <w:tcW w:w="1384" w:type="dxa"/>
            <w:vMerge w:val="continue"/>
            <w:shd w:val="clear" w:color="auto" w:fill="auto"/>
            <w:vAlign w:val="center"/>
          </w:tcPr>
          <w:p>
            <w:pPr>
              <w:pStyle w:val="107"/>
              <w:rPr>
                <w:color w:val="000000"/>
              </w:rPr>
            </w:pPr>
          </w:p>
        </w:tc>
        <w:tc>
          <w:tcPr>
            <w:tcW w:w="1200" w:type="dxa"/>
            <w:vMerge w:val="continue"/>
            <w:shd w:val="clear" w:color="auto" w:fill="auto"/>
            <w:vAlign w:val="center"/>
          </w:tcPr>
          <w:p>
            <w:pPr>
              <w:pStyle w:val="107"/>
              <w:rPr>
                <w:color w:val="000000"/>
              </w:rPr>
            </w:pPr>
          </w:p>
        </w:tc>
        <w:tc>
          <w:tcPr>
            <w:tcW w:w="1651" w:type="dxa"/>
            <w:vMerge w:val="continue"/>
            <w:shd w:val="clear" w:color="auto" w:fill="auto"/>
            <w:vAlign w:val="center"/>
          </w:tcPr>
          <w:p>
            <w:pPr>
              <w:pStyle w:val="107"/>
            </w:pPr>
          </w:p>
        </w:tc>
        <w:tc>
          <w:tcPr>
            <w:tcW w:w="1275" w:type="dxa"/>
            <w:vMerge w:val="continue"/>
            <w:shd w:val="clear" w:color="auto" w:fill="auto"/>
            <w:vAlign w:val="center"/>
          </w:tcPr>
          <w:p>
            <w:pPr>
              <w:pStyle w:val="107"/>
            </w:pPr>
          </w:p>
        </w:tc>
        <w:tc>
          <w:tcPr>
            <w:tcW w:w="4694" w:type="dxa"/>
            <w:vMerge w:val="continue"/>
            <w:vAlign w:val="center"/>
          </w:tcPr>
          <w:p>
            <w:pPr>
              <w:pStyle w:val="107"/>
            </w:pPr>
          </w:p>
        </w:tc>
        <w:tc>
          <w:tcPr>
            <w:tcW w:w="1099" w:type="dxa"/>
            <w:gridSpan w:val="3"/>
            <w:vMerge w:val="continue"/>
            <w:shd w:val="clear" w:color="auto" w:fill="auto"/>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atLeast"/>
        </w:trPr>
        <w:tc>
          <w:tcPr>
            <w:tcW w:w="452" w:type="dxa"/>
            <w:shd w:val="clear" w:color="auto" w:fill="auto"/>
            <w:vAlign w:val="center"/>
          </w:tcPr>
          <w:p>
            <w:pPr>
              <w:pStyle w:val="107"/>
              <w:numPr>
                <w:ilvl w:val="0"/>
                <w:numId w:val="71"/>
              </w:numPr>
            </w:pPr>
          </w:p>
        </w:tc>
        <w:tc>
          <w:tcPr>
            <w:tcW w:w="669" w:type="dxa"/>
            <w:vMerge w:val="continue"/>
            <w:vAlign w:val="center"/>
          </w:tcPr>
          <w:p>
            <w:pPr>
              <w:pStyle w:val="107"/>
            </w:pPr>
          </w:p>
        </w:tc>
        <w:tc>
          <w:tcPr>
            <w:tcW w:w="1229" w:type="dxa"/>
            <w:vMerge w:val="continue"/>
            <w:vAlign w:val="center"/>
          </w:tcPr>
          <w:p>
            <w:pPr>
              <w:pStyle w:val="107"/>
            </w:pPr>
          </w:p>
        </w:tc>
        <w:tc>
          <w:tcPr>
            <w:tcW w:w="1425" w:type="dxa"/>
            <w:vMerge w:val="continue"/>
            <w:shd w:val="clear" w:color="auto" w:fill="auto"/>
            <w:vAlign w:val="center"/>
          </w:tcPr>
          <w:p>
            <w:pPr>
              <w:pStyle w:val="107"/>
            </w:pPr>
          </w:p>
        </w:tc>
        <w:tc>
          <w:tcPr>
            <w:tcW w:w="1597" w:type="dxa"/>
            <w:vMerge w:val="continue"/>
            <w:shd w:val="clear" w:color="auto" w:fill="auto"/>
            <w:vAlign w:val="center"/>
          </w:tcPr>
          <w:p>
            <w:pPr>
              <w:pStyle w:val="107"/>
            </w:pPr>
          </w:p>
        </w:tc>
        <w:tc>
          <w:tcPr>
            <w:tcW w:w="3353" w:type="dxa"/>
            <w:vMerge w:val="continue"/>
            <w:vAlign w:val="center"/>
          </w:tcPr>
          <w:p>
            <w:pPr>
              <w:pStyle w:val="107"/>
            </w:pPr>
          </w:p>
        </w:tc>
        <w:tc>
          <w:tcPr>
            <w:tcW w:w="873" w:type="dxa"/>
            <w:gridSpan w:val="2"/>
            <w:vMerge w:val="continue"/>
            <w:vAlign w:val="center"/>
          </w:tcPr>
          <w:p>
            <w:pPr>
              <w:pStyle w:val="107"/>
            </w:pPr>
          </w:p>
        </w:tc>
        <w:tc>
          <w:tcPr>
            <w:tcW w:w="1384" w:type="dxa"/>
            <w:vMerge w:val="continue"/>
            <w:shd w:val="clear" w:color="auto" w:fill="auto"/>
            <w:vAlign w:val="center"/>
          </w:tcPr>
          <w:p>
            <w:pPr>
              <w:pStyle w:val="107"/>
              <w:rPr>
                <w:color w:val="000000"/>
              </w:rPr>
            </w:pPr>
          </w:p>
        </w:tc>
        <w:tc>
          <w:tcPr>
            <w:tcW w:w="1200" w:type="dxa"/>
            <w:vMerge w:val="continue"/>
            <w:shd w:val="clear" w:color="auto" w:fill="auto"/>
            <w:vAlign w:val="center"/>
          </w:tcPr>
          <w:p>
            <w:pPr>
              <w:pStyle w:val="107"/>
              <w:rPr>
                <w:color w:val="000000"/>
              </w:rPr>
            </w:pPr>
          </w:p>
        </w:tc>
        <w:tc>
          <w:tcPr>
            <w:tcW w:w="1651" w:type="dxa"/>
            <w:vMerge w:val="continue"/>
            <w:shd w:val="clear" w:color="auto" w:fill="auto"/>
            <w:vAlign w:val="center"/>
          </w:tcPr>
          <w:p>
            <w:pPr>
              <w:pStyle w:val="107"/>
            </w:pPr>
          </w:p>
        </w:tc>
        <w:tc>
          <w:tcPr>
            <w:tcW w:w="1275" w:type="dxa"/>
            <w:vMerge w:val="continue"/>
            <w:shd w:val="clear" w:color="auto" w:fill="auto"/>
            <w:vAlign w:val="center"/>
          </w:tcPr>
          <w:p>
            <w:pPr>
              <w:pStyle w:val="107"/>
            </w:pPr>
          </w:p>
        </w:tc>
        <w:tc>
          <w:tcPr>
            <w:tcW w:w="4694" w:type="dxa"/>
            <w:vMerge w:val="continue"/>
            <w:shd w:val="clear" w:color="auto" w:fill="auto"/>
            <w:vAlign w:val="center"/>
          </w:tcPr>
          <w:p>
            <w:pPr>
              <w:pStyle w:val="107"/>
            </w:pPr>
          </w:p>
        </w:tc>
        <w:tc>
          <w:tcPr>
            <w:tcW w:w="1099" w:type="dxa"/>
            <w:gridSpan w:val="3"/>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5" w:hRule="atLeast"/>
        </w:trPr>
        <w:tc>
          <w:tcPr>
            <w:tcW w:w="452" w:type="dxa"/>
            <w:shd w:val="clear" w:color="auto" w:fill="auto"/>
            <w:vAlign w:val="center"/>
          </w:tcPr>
          <w:p>
            <w:pPr>
              <w:pStyle w:val="107"/>
              <w:numPr>
                <w:ilvl w:val="0"/>
                <w:numId w:val="71"/>
              </w:numPr>
            </w:pPr>
          </w:p>
        </w:tc>
        <w:tc>
          <w:tcPr>
            <w:tcW w:w="669" w:type="dxa"/>
            <w:vMerge w:val="continue"/>
            <w:vAlign w:val="center"/>
          </w:tcPr>
          <w:p>
            <w:pPr>
              <w:pStyle w:val="107"/>
            </w:pPr>
          </w:p>
        </w:tc>
        <w:tc>
          <w:tcPr>
            <w:tcW w:w="1229" w:type="dxa"/>
            <w:shd w:val="clear" w:color="auto" w:fill="auto"/>
            <w:vAlign w:val="center"/>
          </w:tcPr>
          <w:p>
            <w:pPr>
              <w:pStyle w:val="107"/>
            </w:pPr>
            <w:r>
              <w:rPr>
                <w:rFonts w:hint="eastAsia"/>
              </w:rPr>
              <w:t>抛丸</w:t>
            </w:r>
          </w:p>
        </w:tc>
        <w:tc>
          <w:tcPr>
            <w:tcW w:w="1425" w:type="dxa"/>
            <w:shd w:val="clear" w:color="auto" w:fill="auto"/>
            <w:vAlign w:val="center"/>
          </w:tcPr>
          <w:p>
            <w:pPr>
              <w:pStyle w:val="107"/>
            </w:pPr>
            <w:r>
              <w:rPr>
                <w:rFonts w:hint="eastAsia"/>
              </w:rPr>
              <w:t>颗粒物</w:t>
            </w:r>
          </w:p>
        </w:tc>
        <w:tc>
          <w:tcPr>
            <w:tcW w:w="1597" w:type="dxa"/>
            <w:shd w:val="clear" w:color="auto" w:fill="auto"/>
            <w:vAlign w:val="center"/>
          </w:tcPr>
          <w:p>
            <w:pPr>
              <w:pStyle w:val="107"/>
            </w:pPr>
            <w:r>
              <w:rPr>
                <w:rFonts w:eastAsia="等线" w:cs="Arial"/>
                <w:color w:val="000000"/>
              </w:rPr>
              <w:t>0.2</w:t>
            </w:r>
          </w:p>
        </w:tc>
        <w:tc>
          <w:tcPr>
            <w:tcW w:w="3353" w:type="dxa"/>
            <w:shd w:val="clear" w:color="auto" w:fill="auto"/>
            <w:vAlign w:val="center"/>
          </w:tcPr>
          <w:p>
            <w:pPr>
              <w:pStyle w:val="107"/>
            </w:pPr>
            <w:r>
              <w:rPr>
                <w:rFonts w:hint="eastAsia"/>
              </w:rPr>
              <w:t>收集效率</w:t>
            </w:r>
            <w:r>
              <w:t>10</w:t>
            </w:r>
            <w:r>
              <w:rPr>
                <w:rFonts w:hint="eastAsia"/>
              </w:rPr>
              <w:t>0%，粉尘去除效率为</w:t>
            </w:r>
            <w:r>
              <w:t>9</w:t>
            </w:r>
            <w:r>
              <w:rPr>
                <w:rFonts w:hint="eastAsia"/>
              </w:rPr>
              <w:t>0%</w:t>
            </w:r>
          </w:p>
        </w:tc>
        <w:tc>
          <w:tcPr>
            <w:tcW w:w="873" w:type="dxa"/>
            <w:gridSpan w:val="2"/>
            <w:shd w:val="clear" w:color="auto" w:fill="auto"/>
            <w:vAlign w:val="center"/>
          </w:tcPr>
          <w:p>
            <w:pPr>
              <w:pStyle w:val="107"/>
            </w:pPr>
            <w:r>
              <w:t>/</w:t>
            </w:r>
          </w:p>
        </w:tc>
        <w:tc>
          <w:tcPr>
            <w:tcW w:w="1384" w:type="dxa"/>
            <w:shd w:val="clear" w:color="auto" w:fill="auto"/>
            <w:vAlign w:val="center"/>
          </w:tcPr>
          <w:p>
            <w:pPr>
              <w:pStyle w:val="107"/>
              <w:rPr>
                <w:color w:val="000000"/>
              </w:rPr>
            </w:pPr>
            <w:r>
              <w:rPr>
                <w:color w:val="000000"/>
              </w:rPr>
              <w:t>13.9</w:t>
            </w:r>
          </w:p>
        </w:tc>
        <w:tc>
          <w:tcPr>
            <w:tcW w:w="1200" w:type="dxa"/>
            <w:shd w:val="clear" w:color="auto" w:fill="auto"/>
            <w:vAlign w:val="center"/>
          </w:tcPr>
          <w:p>
            <w:pPr>
              <w:pStyle w:val="107"/>
              <w:rPr>
                <w:color w:val="000000"/>
              </w:rPr>
            </w:pPr>
            <w:r>
              <w:rPr>
                <w:rFonts w:hint="eastAsia"/>
                <w:color w:val="000000"/>
              </w:rPr>
              <w:t>0.0</w:t>
            </w:r>
            <w:r>
              <w:rPr>
                <w:color w:val="000000"/>
              </w:rPr>
              <w:t>833</w:t>
            </w:r>
          </w:p>
        </w:tc>
        <w:tc>
          <w:tcPr>
            <w:tcW w:w="1651" w:type="dxa"/>
            <w:shd w:val="clear" w:color="auto" w:fill="auto"/>
            <w:vAlign w:val="center"/>
          </w:tcPr>
          <w:p>
            <w:pPr>
              <w:pStyle w:val="107"/>
            </w:pPr>
            <w:r>
              <w:t>120</w:t>
            </w:r>
          </w:p>
        </w:tc>
        <w:tc>
          <w:tcPr>
            <w:tcW w:w="1275" w:type="dxa"/>
            <w:shd w:val="clear" w:color="auto" w:fill="auto"/>
            <w:vAlign w:val="center"/>
          </w:tcPr>
          <w:p>
            <w:pPr>
              <w:pStyle w:val="107"/>
            </w:pPr>
            <w:r>
              <w:t>2.9</w:t>
            </w:r>
          </w:p>
        </w:tc>
        <w:tc>
          <w:tcPr>
            <w:tcW w:w="4694" w:type="dxa"/>
            <w:shd w:val="clear" w:color="auto" w:fill="auto"/>
            <w:vAlign w:val="center"/>
          </w:tcPr>
          <w:p>
            <w:pPr>
              <w:pStyle w:val="107"/>
            </w:pPr>
            <w:r>
              <w:rPr>
                <w:rFonts w:ascii="Times New Roman" w:hAnsi="Times New Roman" w:cs="Times New Roman"/>
                <w:kern w:val="2"/>
              </w:rPr>
              <w:t>广东省地方标准《大气污染物排放限值》（DB44/27-2001）第二时段二级标准及无组织排放监控浓度限值</w:t>
            </w:r>
          </w:p>
        </w:tc>
        <w:tc>
          <w:tcPr>
            <w:tcW w:w="1099" w:type="dxa"/>
            <w:gridSpan w:val="3"/>
            <w:shd w:val="clear" w:color="auto" w:fill="auto"/>
            <w:vAlign w:val="center"/>
          </w:tcPr>
          <w:p>
            <w:pPr>
              <w:pStyle w:val="107"/>
            </w:pPr>
            <w:r>
              <w:rPr>
                <w:rFonts w:hint="eastAsia"/>
              </w:rPr>
              <w:t>排气筒</w:t>
            </w:r>
            <w:r>
              <w:t>P2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10" w:hRule="atLeast"/>
        </w:trPr>
        <w:tc>
          <w:tcPr>
            <w:tcW w:w="452" w:type="dxa"/>
            <w:shd w:val="clear" w:color="auto" w:fill="auto"/>
            <w:vAlign w:val="center"/>
          </w:tcPr>
          <w:p>
            <w:pPr>
              <w:pStyle w:val="107"/>
              <w:numPr>
                <w:ilvl w:val="0"/>
                <w:numId w:val="71"/>
              </w:numPr>
            </w:pPr>
          </w:p>
        </w:tc>
        <w:tc>
          <w:tcPr>
            <w:tcW w:w="669" w:type="dxa"/>
            <w:vMerge w:val="continue"/>
            <w:vAlign w:val="center"/>
          </w:tcPr>
          <w:p>
            <w:pPr>
              <w:pStyle w:val="107"/>
            </w:pPr>
          </w:p>
        </w:tc>
        <w:tc>
          <w:tcPr>
            <w:tcW w:w="1229" w:type="dxa"/>
            <w:vMerge w:val="restart"/>
            <w:shd w:val="clear" w:color="auto" w:fill="auto"/>
            <w:vAlign w:val="center"/>
          </w:tcPr>
          <w:p>
            <w:pPr>
              <w:pStyle w:val="107"/>
            </w:pPr>
            <w:r>
              <w:rPr>
                <w:rFonts w:hint="eastAsia"/>
              </w:rPr>
              <w:t>生产区</w:t>
            </w:r>
          </w:p>
        </w:tc>
        <w:tc>
          <w:tcPr>
            <w:tcW w:w="1425" w:type="dxa"/>
            <w:shd w:val="clear" w:color="auto" w:fill="auto"/>
            <w:vAlign w:val="center"/>
          </w:tcPr>
          <w:p>
            <w:pPr>
              <w:pStyle w:val="107"/>
            </w:pPr>
            <w:r>
              <w:rPr>
                <w:rFonts w:hint="eastAsia"/>
              </w:rPr>
              <w:t>颗粒物</w:t>
            </w:r>
          </w:p>
        </w:tc>
        <w:tc>
          <w:tcPr>
            <w:tcW w:w="1597" w:type="dxa"/>
            <w:shd w:val="clear" w:color="auto" w:fill="auto"/>
            <w:vAlign w:val="center"/>
          </w:tcPr>
          <w:p>
            <w:pPr>
              <w:pStyle w:val="107"/>
            </w:pPr>
            <w:r>
              <w:t>/</w:t>
            </w:r>
          </w:p>
        </w:tc>
        <w:tc>
          <w:tcPr>
            <w:tcW w:w="3353" w:type="dxa"/>
            <w:shd w:val="clear" w:color="auto" w:fill="auto"/>
            <w:vAlign w:val="center"/>
          </w:tcPr>
          <w:p>
            <w:pPr>
              <w:pStyle w:val="107"/>
            </w:pPr>
            <w:r>
              <w:t>/</w:t>
            </w:r>
          </w:p>
        </w:tc>
        <w:tc>
          <w:tcPr>
            <w:tcW w:w="873" w:type="dxa"/>
            <w:gridSpan w:val="2"/>
            <w:shd w:val="clear" w:color="auto" w:fill="auto"/>
            <w:vAlign w:val="center"/>
          </w:tcPr>
          <w:p>
            <w:pPr>
              <w:pStyle w:val="107"/>
            </w:pPr>
            <w:r>
              <w:t>/</w:t>
            </w:r>
          </w:p>
        </w:tc>
        <w:tc>
          <w:tcPr>
            <w:tcW w:w="1384" w:type="dxa"/>
            <w:shd w:val="clear" w:color="auto" w:fill="auto"/>
            <w:vAlign w:val="center"/>
          </w:tcPr>
          <w:p>
            <w:pPr>
              <w:pStyle w:val="107"/>
            </w:pPr>
            <w:r>
              <w:t>/</w:t>
            </w:r>
          </w:p>
        </w:tc>
        <w:tc>
          <w:tcPr>
            <w:tcW w:w="1200" w:type="dxa"/>
            <w:shd w:val="clear" w:color="auto" w:fill="auto"/>
            <w:vAlign w:val="center"/>
          </w:tcPr>
          <w:p>
            <w:pPr>
              <w:pStyle w:val="107"/>
            </w:pPr>
            <w:r>
              <w:t>/</w:t>
            </w:r>
          </w:p>
        </w:tc>
        <w:tc>
          <w:tcPr>
            <w:tcW w:w="1651" w:type="dxa"/>
            <w:shd w:val="clear" w:color="auto" w:fill="auto"/>
            <w:vAlign w:val="center"/>
          </w:tcPr>
          <w:p>
            <w:pPr>
              <w:pStyle w:val="107"/>
            </w:pPr>
            <w:r>
              <w:t>1</w:t>
            </w:r>
          </w:p>
        </w:tc>
        <w:tc>
          <w:tcPr>
            <w:tcW w:w="1275" w:type="dxa"/>
            <w:shd w:val="clear" w:color="auto" w:fill="auto"/>
            <w:vAlign w:val="center"/>
          </w:tcPr>
          <w:p>
            <w:pPr>
              <w:pStyle w:val="107"/>
            </w:pPr>
            <w:r>
              <w:t>/</w:t>
            </w:r>
          </w:p>
        </w:tc>
        <w:tc>
          <w:tcPr>
            <w:tcW w:w="4694" w:type="dxa"/>
            <w:vMerge w:val="restart"/>
            <w:shd w:val="clear" w:color="auto" w:fill="auto"/>
            <w:vAlign w:val="center"/>
          </w:tcPr>
          <w:p>
            <w:pPr>
              <w:pStyle w:val="107"/>
            </w:pPr>
            <w:r>
              <w:rPr>
                <w:rFonts w:hint="eastAsia"/>
              </w:rPr>
              <w:t>《橡胶制品工业污染物排放标准》（</w:t>
            </w:r>
            <w:r>
              <w:t>GB 27632-2011</w:t>
            </w:r>
            <w:r>
              <w:rPr>
                <w:rFonts w:hint="eastAsia"/>
              </w:rPr>
              <w:t>）表</w:t>
            </w:r>
            <w:r>
              <w:t>6</w:t>
            </w:r>
            <w:r>
              <w:rPr>
                <w:rFonts w:hint="eastAsia"/>
              </w:rPr>
              <w:t>现有和新建企业厂界无组织排放限值</w:t>
            </w:r>
          </w:p>
        </w:tc>
        <w:tc>
          <w:tcPr>
            <w:tcW w:w="1099" w:type="dxa"/>
            <w:gridSpan w:val="3"/>
            <w:vMerge w:val="restart"/>
            <w:shd w:val="clear" w:color="auto" w:fill="auto"/>
            <w:vAlign w:val="center"/>
          </w:tcPr>
          <w:p>
            <w:pPr>
              <w:pStyle w:val="107"/>
            </w:pPr>
            <w:r>
              <w:rPr>
                <w:rFonts w:hint="eastAsia"/>
              </w:rPr>
              <w:t>四周厂界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4" w:hRule="atLeast"/>
        </w:trPr>
        <w:tc>
          <w:tcPr>
            <w:tcW w:w="452" w:type="dxa"/>
            <w:shd w:val="clear" w:color="auto" w:fill="auto"/>
            <w:vAlign w:val="center"/>
          </w:tcPr>
          <w:p>
            <w:pPr>
              <w:pStyle w:val="107"/>
              <w:numPr>
                <w:ilvl w:val="0"/>
                <w:numId w:val="71"/>
              </w:numPr>
            </w:pPr>
          </w:p>
        </w:tc>
        <w:tc>
          <w:tcPr>
            <w:tcW w:w="669" w:type="dxa"/>
            <w:vMerge w:val="continue"/>
            <w:vAlign w:val="center"/>
          </w:tcPr>
          <w:p>
            <w:pPr>
              <w:pStyle w:val="107"/>
            </w:pPr>
          </w:p>
        </w:tc>
        <w:tc>
          <w:tcPr>
            <w:tcW w:w="1229" w:type="dxa"/>
            <w:vMerge w:val="continue"/>
            <w:vAlign w:val="center"/>
          </w:tcPr>
          <w:p>
            <w:pPr>
              <w:pStyle w:val="107"/>
            </w:pPr>
          </w:p>
        </w:tc>
        <w:tc>
          <w:tcPr>
            <w:tcW w:w="1425" w:type="dxa"/>
            <w:shd w:val="clear" w:color="auto" w:fill="auto"/>
            <w:vAlign w:val="center"/>
          </w:tcPr>
          <w:p>
            <w:pPr>
              <w:pStyle w:val="107"/>
            </w:pPr>
            <w:r>
              <w:rPr>
                <w:rFonts w:hint="eastAsia"/>
              </w:rPr>
              <w:t>非甲烷总烃</w:t>
            </w:r>
          </w:p>
        </w:tc>
        <w:tc>
          <w:tcPr>
            <w:tcW w:w="1597" w:type="dxa"/>
            <w:shd w:val="clear" w:color="auto" w:fill="auto"/>
            <w:vAlign w:val="center"/>
          </w:tcPr>
          <w:p>
            <w:pPr>
              <w:pStyle w:val="107"/>
            </w:pPr>
            <w:r>
              <w:t>/</w:t>
            </w:r>
          </w:p>
        </w:tc>
        <w:tc>
          <w:tcPr>
            <w:tcW w:w="3353" w:type="dxa"/>
            <w:shd w:val="clear" w:color="auto" w:fill="auto"/>
            <w:vAlign w:val="center"/>
          </w:tcPr>
          <w:p>
            <w:pPr>
              <w:pStyle w:val="107"/>
            </w:pPr>
            <w:r>
              <w:t>/</w:t>
            </w:r>
          </w:p>
        </w:tc>
        <w:tc>
          <w:tcPr>
            <w:tcW w:w="873" w:type="dxa"/>
            <w:gridSpan w:val="2"/>
            <w:shd w:val="clear" w:color="auto" w:fill="auto"/>
            <w:vAlign w:val="center"/>
          </w:tcPr>
          <w:p>
            <w:pPr>
              <w:pStyle w:val="107"/>
            </w:pPr>
            <w:r>
              <w:t>/</w:t>
            </w:r>
          </w:p>
        </w:tc>
        <w:tc>
          <w:tcPr>
            <w:tcW w:w="1384" w:type="dxa"/>
            <w:shd w:val="clear" w:color="auto" w:fill="auto"/>
            <w:vAlign w:val="center"/>
          </w:tcPr>
          <w:p>
            <w:pPr>
              <w:pStyle w:val="107"/>
            </w:pPr>
            <w:r>
              <w:t>/</w:t>
            </w:r>
          </w:p>
        </w:tc>
        <w:tc>
          <w:tcPr>
            <w:tcW w:w="1200" w:type="dxa"/>
            <w:shd w:val="clear" w:color="auto" w:fill="auto"/>
            <w:vAlign w:val="center"/>
          </w:tcPr>
          <w:p>
            <w:pPr>
              <w:pStyle w:val="107"/>
            </w:pPr>
            <w:r>
              <w:t>/</w:t>
            </w:r>
          </w:p>
        </w:tc>
        <w:tc>
          <w:tcPr>
            <w:tcW w:w="1651" w:type="dxa"/>
            <w:shd w:val="clear" w:color="auto" w:fill="auto"/>
            <w:vAlign w:val="center"/>
          </w:tcPr>
          <w:p>
            <w:pPr>
              <w:pStyle w:val="107"/>
            </w:pPr>
            <w:r>
              <w:t>4</w:t>
            </w:r>
          </w:p>
        </w:tc>
        <w:tc>
          <w:tcPr>
            <w:tcW w:w="1275" w:type="dxa"/>
            <w:shd w:val="clear" w:color="auto" w:fill="auto"/>
            <w:vAlign w:val="center"/>
          </w:tcPr>
          <w:p>
            <w:pPr>
              <w:pStyle w:val="107"/>
            </w:pPr>
            <w:r>
              <w:t>/</w:t>
            </w:r>
          </w:p>
        </w:tc>
        <w:tc>
          <w:tcPr>
            <w:tcW w:w="4694" w:type="dxa"/>
            <w:vMerge w:val="continue"/>
            <w:vAlign w:val="center"/>
          </w:tcPr>
          <w:p>
            <w:pPr>
              <w:pStyle w:val="107"/>
            </w:pPr>
          </w:p>
        </w:tc>
        <w:tc>
          <w:tcPr>
            <w:tcW w:w="1099" w:type="dxa"/>
            <w:gridSpan w:val="3"/>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4" w:hRule="atLeast"/>
        </w:trPr>
        <w:tc>
          <w:tcPr>
            <w:tcW w:w="452" w:type="dxa"/>
            <w:shd w:val="clear" w:color="auto" w:fill="auto"/>
            <w:vAlign w:val="center"/>
          </w:tcPr>
          <w:p>
            <w:pPr>
              <w:pStyle w:val="107"/>
              <w:numPr>
                <w:ilvl w:val="0"/>
                <w:numId w:val="71"/>
              </w:numPr>
            </w:pPr>
          </w:p>
        </w:tc>
        <w:tc>
          <w:tcPr>
            <w:tcW w:w="669" w:type="dxa"/>
            <w:vMerge w:val="continue"/>
            <w:vAlign w:val="center"/>
          </w:tcPr>
          <w:p>
            <w:pPr>
              <w:pStyle w:val="107"/>
            </w:pPr>
          </w:p>
        </w:tc>
        <w:tc>
          <w:tcPr>
            <w:tcW w:w="1229" w:type="dxa"/>
            <w:vMerge w:val="continue"/>
            <w:vAlign w:val="center"/>
          </w:tcPr>
          <w:p>
            <w:pPr>
              <w:pStyle w:val="107"/>
            </w:pPr>
          </w:p>
        </w:tc>
        <w:tc>
          <w:tcPr>
            <w:tcW w:w="1425" w:type="dxa"/>
            <w:shd w:val="clear" w:color="auto" w:fill="auto"/>
            <w:vAlign w:val="center"/>
          </w:tcPr>
          <w:p>
            <w:pPr>
              <w:pStyle w:val="107"/>
            </w:pPr>
            <w:r>
              <w:rPr>
                <w:rFonts w:hint="eastAsia"/>
              </w:rPr>
              <w:t>V</w:t>
            </w:r>
            <w:r>
              <w:t>OCs</w:t>
            </w:r>
          </w:p>
        </w:tc>
        <w:tc>
          <w:tcPr>
            <w:tcW w:w="1597" w:type="dxa"/>
            <w:shd w:val="clear" w:color="auto" w:fill="auto"/>
            <w:vAlign w:val="center"/>
          </w:tcPr>
          <w:p>
            <w:pPr>
              <w:pStyle w:val="107"/>
            </w:pPr>
            <w:r>
              <w:t>/</w:t>
            </w:r>
          </w:p>
        </w:tc>
        <w:tc>
          <w:tcPr>
            <w:tcW w:w="3353" w:type="dxa"/>
            <w:shd w:val="clear" w:color="auto" w:fill="auto"/>
            <w:vAlign w:val="center"/>
          </w:tcPr>
          <w:p>
            <w:pPr>
              <w:pStyle w:val="107"/>
            </w:pPr>
            <w:r>
              <w:t>/</w:t>
            </w:r>
          </w:p>
        </w:tc>
        <w:tc>
          <w:tcPr>
            <w:tcW w:w="873" w:type="dxa"/>
            <w:gridSpan w:val="2"/>
            <w:shd w:val="clear" w:color="auto" w:fill="auto"/>
            <w:vAlign w:val="center"/>
          </w:tcPr>
          <w:p>
            <w:pPr>
              <w:pStyle w:val="107"/>
            </w:pPr>
            <w:r>
              <w:t>/</w:t>
            </w:r>
          </w:p>
        </w:tc>
        <w:tc>
          <w:tcPr>
            <w:tcW w:w="1384" w:type="dxa"/>
            <w:shd w:val="clear" w:color="auto" w:fill="auto"/>
            <w:vAlign w:val="center"/>
          </w:tcPr>
          <w:p>
            <w:pPr>
              <w:pStyle w:val="107"/>
            </w:pPr>
            <w:r>
              <w:t>/</w:t>
            </w:r>
          </w:p>
        </w:tc>
        <w:tc>
          <w:tcPr>
            <w:tcW w:w="1200" w:type="dxa"/>
            <w:shd w:val="clear" w:color="auto" w:fill="auto"/>
            <w:vAlign w:val="center"/>
          </w:tcPr>
          <w:p>
            <w:pPr>
              <w:pStyle w:val="107"/>
            </w:pPr>
            <w:r>
              <w:t>/</w:t>
            </w:r>
          </w:p>
        </w:tc>
        <w:tc>
          <w:tcPr>
            <w:tcW w:w="1651" w:type="dxa"/>
            <w:shd w:val="clear" w:color="auto" w:fill="auto"/>
            <w:vAlign w:val="center"/>
          </w:tcPr>
          <w:p>
            <w:pPr>
              <w:pStyle w:val="107"/>
            </w:pPr>
            <w:r>
              <w:t>2</w:t>
            </w:r>
          </w:p>
        </w:tc>
        <w:tc>
          <w:tcPr>
            <w:tcW w:w="1275" w:type="dxa"/>
            <w:shd w:val="clear" w:color="auto" w:fill="auto"/>
            <w:vAlign w:val="center"/>
          </w:tcPr>
          <w:p>
            <w:pPr>
              <w:pStyle w:val="107"/>
            </w:pPr>
            <w:r>
              <w:t>/</w:t>
            </w:r>
          </w:p>
        </w:tc>
        <w:tc>
          <w:tcPr>
            <w:tcW w:w="4694" w:type="dxa"/>
            <w:vAlign w:val="center"/>
          </w:tcPr>
          <w:p>
            <w:pPr>
              <w:pStyle w:val="107"/>
            </w:pPr>
            <w:r>
              <w:rPr>
                <w:rFonts w:hint="eastAsia" w:ascii="Times New Roman" w:hAnsi="Times New Roman" w:cs="Times New Roman"/>
                <w:kern w:val="2"/>
              </w:rPr>
              <w:t>广东省《表面涂装（汽车制造业）挥发性有机化合物排放标准》（</w:t>
            </w:r>
            <w:r>
              <w:rPr>
                <w:rFonts w:ascii="Times New Roman" w:hAnsi="Times New Roman" w:cs="Times New Roman"/>
                <w:kern w:val="2"/>
              </w:rPr>
              <w:t>DB 44/816-2010）第 II 时段排放标准</w:t>
            </w:r>
          </w:p>
        </w:tc>
        <w:tc>
          <w:tcPr>
            <w:tcW w:w="1099" w:type="dxa"/>
            <w:gridSpan w:val="3"/>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7" w:hRule="atLeast"/>
        </w:trPr>
        <w:tc>
          <w:tcPr>
            <w:tcW w:w="452" w:type="dxa"/>
            <w:shd w:val="clear" w:color="auto" w:fill="auto"/>
            <w:vAlign w:val="center"/>
          </w:tcPr>
          <w:p>
            <w:pPr>
              <w:pStyle w:val="107"/>
              <w:numPr>
                <w:ilvl w:val="0"/>
                <w:numId w:val="71"/>
              </w:numPr>
            </w:pPr>
          </w:p>
        </w:tc>
        <w:tc>
          <w:tcPr>
            <w:tcW w:w="669" w:type="dxa"/>
            <w:vMerge w:val="continue"/>
            <w:vAlign w:val="center"/>
          </w:tcPr>
          <w:p>
            <w:pPr>
              <w:pStyle w:val="107"/>
            </w:pPr>
          </w:p>
        </w:tc>
        <w:tc>
          <w:tcPr>
            <w:tcW w:w="1229" w:type="dxa"/>
            <w:vMerge w:val="continue"/>
            <w:vAlign w:val="center"/>
          </w:tcPr>
          <w:p>
            <w:pPr>
              <w:pStyle w:val="107"/>
            </w:pPr>
          </w:p>
        </w:tc>
        <w:tc>
          <w:tcPr>
            <w:tcW w:w="1425" w:type="dxa"/>
            <w:shd w:val="clear" w:color="auto" w:fill="auto"/>
            <w:vAlign w:val="center"/>
          </w:tcPr>
          <w:p>
            <w:pPr>
              <w:pStyle w:val="107"/>
            </w:pPr>
            <w:r>
              <w:rPr>
                <w:rFonts w:hint="eastAsia"/>
              </w:rPr>
              <w:t>硫化氢</w:t>
            </w:r>
          </w:p>
        </w:tc>
        <w:tc>
          <w:tcPr>
            <w:tcW w:w="1597" w:type="dxa"/>
            <w:shd w:val="clear" w:color="auto" w:fill="auto"/>
            <w:vAlign w:val="center"/>
          </w:tcPr>
          <w:p>
            <w:pPr>
              <w:pStyle w:val="107"/>
            </w:pPr>
            <w:r>
              <w:t>/</w:t>
            </w:r>
          </w:p>
        </w:tc>
        <w:tc>
          <w:tcPr>
            <w:tcW w:w="3353" w:type="dxa"/>
            <w:shd w:val="clear" w:color="auto" w:fill="auto"/>
            <w:vAlign w:val="center"/>
          </w:tcPr>
          <w:p>
            <w:pPr>
              <w:pStyle w:val="107"/>
            </w:pPr>
            <w:r>
              <w:t>/</w:t>
            </w:r>
          </w:p>
        </w:tc>
        <w:tc>
          <w:tcPr>
            <w:tcW w:w="873" w:type="dxa"/>
            <w:gridSpan w:val="2"/>
            <w:shd w:val="clear" w:color="auto" w:fill="auto"/>
            <w:vAlign w:val="center"/>
          </w:tcPr>
          <w:p>
            <w:pPr>
              <w:pStyle w:val="107"/>
            </w:pPr>
            <w:r>
              <w:t>/</w:t>
            </w:r>
          </w:p>
        </w:tc>
        <w:tc>
          <w:tcPr>
            <w:tcW w:w="1384" w:type="dxa"/>
            <w:shd w:val="clear" w:color="auto" w:fill="auto"/>
            <w:vAlign w:val="center"/>
          </w:tcPr>
          <w:p>
            <w:pPr>
              <w:pStyle w:val="107"/>
            </w:pPr>
            <w:r>
              <w:t>/</w:t>
            </w:r>
          </w:p>
        </w:tc>
        <w:tc>
          <w:tcPr>
            <w:tcW w:w="1200" w:type="dxa"/>
            <w:shd w:val="clear" w:color="auto" w:fill="auto"/>
            <w:vAlign w:val="center"/>
          </w:tcPr>
          <w:p>
            <w:pPr>
              <w:pStyle w:val="107"/>
            </w:pPr>
            <w:r>
              <w:t>/</w:t>
            </w:r>
          </w:p>
        </w:tc>
        <w:tc>
          <w:tcPr>
            <w:tcW w:w="1651" w:type="dxa"/>
            <w:shd w:val="clear" w:color="auto" w:fill="auto"/>
            <w:vAlign w:val="center"/>
          </w:tcPr>
          <w:p>
            <w:pPr>
              <w:pStyle w:val="107"/>
            </w:pPr>
            <w:r>
              <w:t>0.06</w:t>
            </w:r>
          </w:p>
        </w:tc>
        <w:tc>
          <w:tcPr>
            <w:tcW w:w="1275" w:type="dxa"/>
            <w:shd w:val="clear" w:color="auto" w:fill="auto"/>
            <w:vAlign w:val="center"/>
          </w:tcPr>
          <w:p>
            <w:pPr>
              <w:pStyle w:val="107"/>
            </w:pPr>
            <w:r>
              <w:t>/</w:t>
            </w:r>
          </w:p>
        </w:tc>
        <w:tc>
          <w:tcPr>
            <w:tcW w:w="4694" w:type="dxa"/>
            <w:vMerge w:val="restart"/>
            <w:shd w:val="clear" w:color="auto" w:fill="auto"/>
            <w:vAlign w:val="center"/>
          </w:tcPr>
          <w:p>
            <w:pPr>
              <w:pStyle w:val="107"/>
            </w:pPr>
            <w:r>
              <w:rPr>
                <w:rFonts w:hint="eastAsia"/>
              </w:rPr>
              <w:t>《恶臭污染物排放标准》（</w:t>
            </w:r>
            <w:r>
              <w:t>GB 14554-93</w:t>
            </w:r>
            <w:r>
              <w:rPr>
                <w:rFonts w:hint="eastAsia"/>
              </w:rPr>
              <w:t>）表</w:t>
            </w:r>
            <w:r>
              <w:t>1</w:t>
            </w:r>
            <w:r>
              <w:rPr>
                <w:rFonts w:hint="eastAsia"/>
              </w:rPr>
              <w:t>中厂界标准值</w:t>
            </w:r>
            <w:r>
              <w:t>-</w:t>
            </w:r>
            <w:r>
              <w:rPr>
                <w:rFonts w:hint="eastAsia"/>
              </w:rPr>
              <w:t>新改扩建二级标准</w:t>
            </w:r>
          </w:p>
        </w:tc>
        <w:tc>
          <w:tcPr>
            <w:tcW w:w="1099" w:type="dxa"/>
            <w:gridSpan w:val="3"/>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0" w:hRule="atLeast"/>
        </w:trPr>
        <w:tc>
          <w:tcPr>
            <w:tcW w:w="452" w:type="dxa"/>
            <w:shd w:val="clear" w:color="auto" w:fill="auto"/>
            <w:vAlign w:val="center"/>
          </w:tcPr>
          <w:p>
            <w:pPr>
              <w:pStyle w:val="107"/>
              <w:numPr>
                <w:ilvl w:val="0"/>
                <w:numId w:val="71"/>
              </w:numPr>
            </w:pPr>
          </w:p>
        </w:tc>
        <w:tc>
          <w:tcPr>
            <w:tcW w:w="669" w:type="dxa"/>
            <w:vMerge w:val="continue"/>
            <w:vAlign w:val="center"/>
          </w:tcPr>
          <w:p>
            <w:pPr>
              <w:pStyle w:val="107"/>
            </w:pPr>
          </w:p>
        </w:tc>
        <w:tc>
          <w:tcPr>
            <w:tcW w:w="1229" w:type="dxa"/>
            <w:vMerge w:val="continue"/>
            <w:vAlign w:val="center"/>
          </w:tcPr>
          <w:p>
            <w:pPr>
              <w:pStyle w:val="107"/>
            </w:pPr>
          </w:p>
        </w:tc>
        <w:tc>
          <w:tcPr>
            <w:tcW w:w="1425" w:type="dxa"/>
            <w:shd w:val="clear" w:color="auto" w:fill="auto"/>
            <w:vAlign w:val="center"/>
          </w:tcPr>
          <w:p>
            <w:pPr>
              <w:pStyle w:val="107"/>
            </w:pPr>
            <w:r>
              <w:rPr>
                <w:rFonts w:hint="eastAsia"/>
              </w:rPr>
              <w:t>臭气浓度</w:t>
            </w:r>
          </w:p>
        </w:tc>
        <w:tc>
          <w:tcPr>
            <w:tcW w:w="1597" w:type="dxa"/>
            <w:shd w:val="clear" w:color="auto" w:fill="auto"/>
            <w:vAlign w:val="center"/>
          </w:tcPr>
          <w:p>
            <w:pPr>
              <w:pStyle w:val="107"/>
            </w:pPr>
            <w:r>
              <w:t>/</w:t>
            </w:r>
          </w:p>
        </w:tc>
        <w:tc>
          <w:tcPr>
            <w:tcW w:w="3353" w:type="dxa"/>
            <w:shd w:val="clear" w:color="auto" w:fill="auto"/>
            <w:vAlign w:val="center"/>
          </w:tcPr>
          <w:p>
            <w:pPr>
              <w:pStyle w:val="107"/>
            </w:pPr>
            <w:r>
              <w:t>/</w:t>
            </w:r>
          </w:p>
        </w:tc>
        <w:tc>
          <w:tcPr>
            <w:tcW w:w="873" w:type="dxa"/>
            <w:gridSpan w:val="2"/>
            <w:shd w:val="clear" w:color="auto" w:fill="auto"/>
            <w:vAlign w:val="center"/>
          </w:tcPr>
          <w:p>
            <w:pPr>
              <w:pStyle w:val="107"/>
            </w:pPr>
            <w:r>
              <w:t>/</w:t>
            </w:r>
          </w:p>
        </w:tc>
        <w:tc>
          <w:tcPr>
            <w:tcW w:w="1384" w:type="dxa"/>
            <w:shd w:val="clear" w:color="auto" w:fill="auto"/>
            <w:vAlign w:val="center"/>
          </w:tcPr>
          <w:p>
            <w:pPr>
              <w:pStyle w:val="107"/>
            </w:pPr>
            <w:r>
              <w:t>/</w:t>
            </w:r>
          </w:p>
        </w:tc>
        <w:tc>
          <w:tcPr>
            <w:tcW w:w="1200" w:type="dxa"/>
            <w:shd w:val="clear" w:color="auto" w:fill="auto"/>
            <w:vAlign w:val="center"/>
          </w:tcPr>
          <w:p>
            <w:pPr>
              <w:pStyle w:val="107"/>
            </w:pPr>
            <w:r>
              <w:t>/</w:t>
            </w:r>
          </w:p>
        </w:tc>
        <w:tc>
          <w:tcPr>
            <w:tcW w:w="1651" w:type="dxa"/>
            <w:shd w:val="clear" w:color="auto" w:fill="auto"/>
            <w:vAlign w:val="center"/>
          </w:tcPr>
          <w:p>
            <w:pPr>
              <w:pStyle w:val="107"/>
            </w:pPr>
            <w:r>
              <w:t>20</w:t>
            </w:r>
            <w:r>
              <w:rPr>
                <w:rFonts w:hint="eastAsia"/>
              </w:rPr>
              <w:t>（无量纲）</w:t>
            </w:r>
          </w:p>
        </w:tc>
        <w:tc>
          <w:tcPr>
            <w:tcW w:w="1275" w:type="dxa"/>
            <w:shd w:val="clear" w:color="auto" w:fill="auto"/>
            <w:vAlign w:val="center"/>
          </w:tcPr>
          <w:p>
            <w:pPr>
              <w:pStyle w:val="107"/>
            </w:pPr>
            <w:r>
              <w:t>/</w:t>
            </w:r>
          </w:p>
        </w:tc>
        <w:tc>
          <w:tcPr>
            <w:tcW w:w="4694" w:type="dxa"/>
            <w:vMerge w:val="continue"/>
            <w:vAlign w:val="center"/>
          </w:tcPr>
          <w:p>
            <w:pPr>
              <w:pStyle w:val="107"/>
            </w:pPr>
          </w:p>
        </w:tc>
        <w:tc>
          <w:tcPr>
            <w:tcW w:w="1099" w:type="dxa"/>
            <w:gridSpan w:val="3"/>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16" w:type="dxa"/>
          <w:trHeight w:val="1020" w:hRule="atLeast"/>
        </w:trPr>
        <w:tc>
          <w:tcPr>
            <w:tcW w:w="452" w:type="dxa"/>
            <w:shd w:val="clear" w:color="auto" w:fill="auto"/>
            <w:vAlign w:val="center"/>
          </w:tcPr>
          <w:p>
            <w:pPr>
              <w:pStyle w:val="107"/>
              <w:numPr>
                <w:ilvl w:val="0"/>
                <w:numId w:val="71"/>
              </w:numPr>
            </w:pPr>
          </w:p>
        </w:tc>
        <w:tc>
          <w:tcPr>
            <w:tcW w:w="669" w:type="dxa"/>
            <w:shd w:val="clear" w:color="auto" w:fill="auto"/>
            <w:vAlign w:val="center"/>
          </w:tcPr>
          <w:p>
            <w:pPr>
              <w:pStyle w:val="107"/>
            </w:pPr>
            <w:r>
              <w:rPr>
                <w:rFonts w:hint="eastAsia"/>
              </w:rPr>
              <w:t>废水</w:t>
            </w:r>
          </w:p>
        </w:tc>
        <w:tc>
          <w:tcPr>
            <w:tcW w:w="2654" w:type="dxa"/>
            <w:gridSpan w:val="2"/>
            <w:shd w:val="clear" w:color="auto" w:fill="auto"/>
            <w:vAlign w:val="center"/>
          </w:tcPr>
          <w:p>
            <w:pPr>
              <w:pStyle w:val="107"/>
            </w:pPr>
            <w:r>
              <w:t>COD</w:t>
            </w:r>
            <w:r>
              <w:rPr>
                <w:vertAlign w:val="subscript"/>
              </w:rPr>
              <w:t>Cr</w:t>
            </w:r>
            <w:r>
              <w:rPr>
                <w:rFonts w:hint="eastAsia"/>
              </w:rPr>
              <w:t>、</w:t>
            </w:r>
            <w:r>
              <w:t>BOD</w:t>
            </w:r>
            <w:r>
              <w:rPr>
                <w:vertAlign w:val="subscript"/>
              </w:rPr>
              <w:t>5</w:t>
            </w:r>
            <w:r>
              <w:rPr>
                <w:rFonts w:hint="eastAsia"/>
              </w:rPr>
              <w:t>、氨氮、</w:t>
            </w:r>
            <w:r>
              <w:t>SS</w:t>
            </w:r>
            <w:r>
              <w:rPr>
                <w:rFonts w:hint="eastAsia"/>
              </w:rPr>
              <w:t>、动植物油等</w:t>
            </w:r>
          </w:p>
        </w:tc>
        <w:tc>
          <w:tcPr>
            <w:tcW w:w="1597" w:type="dxa"/>
            <w:shd w:val="clear" w:color="auto" w:fill="auto"/>
            <w:vAlign w:val="center"/>
          </w:tcPr>
          <w:p>
            <w:pPr>
              <w:pStyle w:val="107"/>
            </w:pPr>
            <w:r>
              <w:t>324</w:t>
            </w:r>
          </w:p>
        </w:tc>
        <w:tc>
          <w:tcPr>
            <w:tcW w:w="6810" w:type="dxa"/>
            <w:gridSpan w:val="5"/>
            <w:shd w:val="clear" w:color="auto" w:fill="auto"/>
            <w:vAlign w:val="center"/>
          </w:tcPr>
          <w:p>
            <w:pPr>
              <w:pStyle w:val="107"/>
            </w:pPr>
            <w:r>
              <w:rPr>
                <w:rFonts w:hint="eastAsia"/>
              </w:rPr>
              <w:t>生活污水经三级化粪池预处理达到污水处理厂接管水质要求后，排入污水管网由苍城龙污水处理厂统一处理</w:t>
            </w:r>
          </w:p>
        </w:tc>
        <w:tc>
          <w:tcPr>
            <w:tcW w:w="7620" w:type="dxa"/>
            <w:gridSpan w:val="3"/>
            <w:shd w:val="clear" w:color="auto" w:fill="auto"/>
            <w:vAlign w:val="center"/>
          </w:tcPr>
          <w:p>
            <w:pPr>
              <w:pStyle w:val="107"/>
            </w:pPr>
            <w:r>
              <w:rPr>
                <w:rFonts w:hint="eastAsia"/>
              </w:rPr>
              <w:br w:type="textWrapping"/>
            </w:r>
            <w:r>
              <w:rPr>
                <w:rFonts w:hint="eastAsia"/>
              </w:rPr>
              <w:t>《橡胶制品工业污染物排放标准》（GB 27632-2011）表 2 新建企业水污染物排放限值（间接排放限值），和广东省《水污染物排放限值》（DB 44/26-2001）第二时段三级标准中较严者</w:t>
            </w:r>
          </w:p>
        </w:tc>
        <w:tc>
          <w:tcPr>
            <w:tcW w:w="1083" w:type="dxa"/>
            <w:shd w:val="clear" w:color="auto" w:fill="auto"/>
            <w:vAlign w:val="center"/>
          </w:tcPr>
          <w:p>
            <w:pPr>
              <w:pStyle w:val="107"/>
            </w:pPr>
            <w:r>
              <w:rPr>
                <w:rFonts w:hint="eastAsia"/>
              </w:rPr>
              <w:t>生活污水排放口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16" w:type="dxa"/>
          <w:trHeight w:val="795" w:hRule="atLeast"/>
        </w:trPr>
        <w:tc>
          <w:tcPr>
            <w:tcW w:w="452" w:type="dxa"/>
            <w:shd w:val="clear" w:color="auto" w:fill="auto"/>
            <w:vAlign w:val="center"/>
          </w:tcPr>
          <w:p>
            <w:pPr>
              <w:pStyle w:val="107"/>
              <w:numPr>
                <w:ilvl w:val="0"/>
                <w:numId w:val="71"/>
              </w:numPr>
            </w:pPr>
          </w:p>
        </w:tc>
        <w:tc>
          <w:tcPr>
            <w:tcW w:w="669" w:type="dxa"/>
            <w:shd w:val="clear" w:color="auto" w:fill="auto"/>
            <w:vAlign w:val="center"/>
          </w:tcPr>
          <w:p>
            <w:pPr>
              <w:pStyle w:val="107"/>
            </w:pPr>
            <w:r>
              <w:rPr>
                <w:rFonts w:hint="eastAsia"/>
              </w:rPr>
              <w:t>噪声</w:t>
            </w:r>
          </w:p>
        </w:tc>
        <w:tc>
          <w:tcPr>
            <w:tcW w:w="1229" w:type="dxa"/>
            <w:shd w:val="clear" w:color="auto" w:fill="auto"/>
            <w:vAlign w:val="center"/>
          </w:tcPr>
          <w:p>
            <w:pPr>
              <w:pStyle w:val="107"/>
            </w:pPr>
            <w:r>
              <w:rPr>
                <w:rFonts w:hint="eastAsia"/>
              </w:rPr>
              <w:t>设备噪声</w:t>
            </w:r>
          </w:p>
        </w:tc>
        <w:tc>
          <w:tcPr>
            <w:tcW w:w="1425" w:type="dxa"/>
            <w:shd w:val="clear" w:color="auto" w:fill="auto"/>
            <w:vAlign w:val="center"/>
          </w:tcPr>
          <w:p>
            <w:pPr>
              <w:pStyle w:val="107"/>
            </w:pPr>
            <w:r>
              <w:t>LAeq</w:t>
            </w:r>
          </w:p>
        </w:tc>
        <w:tc>
          <w:tcPr>
            <w:tcW w:w="1597" w:type="dxa"/>
            <w:shd w:val="clear" w:color="auto" w:fill="auto"/>
            <w:vAlign w:val="center"/>
          </w:tcPr>
          <w:p>
            <w:pPr>
              <w:pStyle w:val="107"/>
            </w:pPr>
            <w:r>
              <w:t>/</w:t>
            </w:r>
          </w:p>
        </w:tc>
        <w:tc>
          <w:tcPr>
            <w:tcW w:w="6810" w:type="dxa"/>
            <w:gridSpan w:val="5"/>
            <w:shd w:val="clear" w:color="auto" w:fill="auto"/>
            <w:vAlign w:val="center"/>
          </w:tcPr>
          <w:p>
            <w:pPr>
              <w:pStyle w:val="107"/>
            </w:pPr>
            <w:r>
              <w:rPr>
                <w:rFonts w:hint="eastAsia"/>
              </w:rPr>
              <w:t>低噪声设备，风管消音、设备减振等消声减振措施。</w:t>
            </w:r>
          </w:p>
        </w:tc>
        <w:tc>
          <w:tcPr>
            <w:tcW w:w="7620" w:type="dxa"/>
            <w:gridSpan w:val="3"/>
            <w:shd w:val="clear" w:color="auto" w:fill="auto"/>
            <w:vAlign w:val="center"/>
          </w:tcPr>
          <w:p>
            <w:pPr>
              <w:pStyle w:val="107"/>
            </w:pPr>
            <w:r>
              <w:rPr>
                <w:rFonts w:hint="eastAsia"/>
              </w:rPr>
              <w:t>《工业企业厂界环境噪声排放标准》（</w:t>
            </w:r>
            <w:r>
              <w:t>GB12348-2008</w:t>
            </w:r>
            <w:r>
              <w:rPr>
                <w:rFonts w:hint="eastAsia"/>
              </w:rPr>
              <w:t>）</w:t>
            </w:r>
            <w:r>
              <w:t>2</w:t>
            </w:r>
            <w:r>
              <w:rPr>
                <w:rFonts w:hint="eastAsia"/>
              </w:rPr>
              <w:t>类标准（昼间</w:t>
            </w:r>
            <w:r>
              <w:t>60dB(A)</w:t>
            </w:r>
            <w:r>
              <w:rPr>
                <w:rFonts w:hint="eastAsia"/>
              </w:rPr>
              <w:t>，夜间</w:t>
            </w:r>
            <w:r>
              <w:t>50dB(A)</w:t>
            </w:r>
            <w:r>
              <w:rPr>
                <w:rFonts w:hint="eastAsia"/>
              </w:rPr>
              <w:t>）</w:t>
            </w:r>
          </w:p>
        </w:tc>
        <w:tc>
          <w:tcPr>
            <w:tcW w:w="1083" w:type="dxa"/>
            <w:shd w:val="clear" w:color="auto" w:fill="auto"/>
            <w:vAlign w:val="center"/>
          </w:tcPr>
          <w:p>
            <w:pPr>
              <w:pStyle w:val="107"/>
            </w:pPr>
            <w:r>
              <w:rPr>
                <w:rFonts w:hint="eastAsia"/>
              </w:rPr>
              <w:t>四周厂界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16" w:type="dxa"/>
          <w:trHeight w:val="300" w:hRule="atLeast"/>
        </w:trPr>
        <w:tc>
          <w:tcPr>
            <w:tcW w:w="452" w:type="dxa"/>
            <w:shd w:val="clear" w:color="auto" w:fill="auto"/>
            <w:vAlign w:val="center"/>
          </w:tcPr>
          <w:p>
            <w:pPr>
              <w:pStyle w:val="107"/>
              <w:numPr>
                <w:ilvl w:val="0"/>
                <w:numId w:val="71"/>
              </w:numPr>
            </w:pPr>
          </w:p>
        </w:tc>
        <w:tc>
          <w:tcPr>
            <w:tcW w:w="669" w:type="dxa"/>
            <w:vMerge w:val="restart"/>
            <w:shd w:val="clear" w:color="auto" w:fill="auto"/>
            <w:vAlign w:val="center"/>
          </w:tcPr>
          <w:p>
            <w:pPr>
              <w:pStyle w:val="107"/>
            </w:pPr>
            <w:r>
              <w:rPr>
                <w:rFonts w:hint="eastAsia"/>
              </w:rPr>
              <w:t>固体废物</w:t>
            </w:r>
          </w:p>
        </w:tc>
        <w:tc>
          <w:tcPr>
            <w:tcW w:w="1229" w:type="dxa"/>
            <w:vMerge w:val="restart"/>
            <w:shd w:val="clear" w:color="auto" w:fill="auto"/>
            <w:vAlign w:val="center"/>
          </w:tcPr>
          <w:p>
            <w:pPr>
              <w:pStyle w:val="107"/>
            </w:pPr>
            <w:r>
              <w:rPr>
                <w:rFonts w:hint="eastAsia"/>
              </w:rPr>
              <w:t>生产过程</w:t>
            </w:r>
          </w:p>
        </w:tc>
        <w:tc>
          <w:tcPr>
            <w:tcW w:w="1425" w:type="dxa"/>
            <w:shd w:val="clear" w:color="auto" w:fill="auto"/>
            <w:vAlign w:val="center"/>
          </w:tcPr>
          <w:p>
            <w:pPr>
              <w:pStyle w:val="107"/>
            </w:pPr>
            <w:r>
              <w:rPr>
                <w:rFonts w:hint="eastAsia"/>
              </w:rPr>
              <w:t>一般废物</w:t>
            </w:r>
          </w:p>
        </w:tc>
        <w:tc>
          <w:tcPr>
            <w:tcW w:w="1597" w:type="dxa"/>
            <w:shd w:val="clear" w:color="auto" w:fill="auto"/>
            <w:vAlign w:val="center"/>
          </w:tcPr>
          <w:p>
            <w:pPr>
              <w:pStyle w:val="107"/>
            </w:pPr>
            <w:r>
              <w:t>/</w:t>
            </w:r>
          </w:p>
        </w:tc>
        <w:tc>
          <w:tcPr>
            <w:tcW w:w="6810" w:type="dxa"/>
            <w:gridSpan w:val="5"/>
            <w:shd w:val="clear" w:color="auto" w:fill="auto"/>
            <w:vAlign w:val="center"/>
          </w:tcPr>
          <w:p>
            <w:pPr>
              <w:pStyle w:val="107"/>
            </w:pPr>
            <w:r>
              <w:rPr>
                <w:rFonts w:hint="eastAsia"/>
              </w:rPr>
              <w:t>一般工业固废堆放点</w:t>
            </w:r>
          </w:p>
        </w:tc>
        <w:tc>
          <w:tcPr>
            <w:tcW w:w="7620" w:type="dxa"/>
            <w:gridSpan w:val="3"/>
            <w:shd w:val="clear" w:color="auto" w:fill="auto"/>
            <w:vAlign w:val="center"/>
          </w:tcPr>
          <w:p>
            <w:pPr>
              <w:pStyle w:val="107"/>
            </w:pPr>
            <w:r>
              <w:rPr>
                <w:rFonts w:hint="eastAsia"/>
              </w:rPr>
              <w:t>满足环保要求</w:t>
            </w:r>
          </w:p>
        </w:tc>
        <w:tc>
          <w:tcPr>
            <w:tcW w:w="1083" w:type="dxa"/>
            <w:shd w:val="clear" w:color="auto" w:fill="auto"/>
            <w:vAlign w:val="center"/>
          </w:tcPr>
          <w:p>
            <w:pPr>
              <w:pStyle w:val="107"/>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16" w:type="dxa"/>
          <w:trHeight w:val="1035" w:hRule="atLeast"/>
        </w:trPr>
        <w:tc>
          <w:tcPr>
            <w:tcW w:w="452" w:type="dxa"/>
            <w:shd w:val="clear" w:color="auto" w:fill="auto"/>
            <w:vAlign w:val="center"/>
          </w:tcPr>
          <w:p>
            <w:pPr>
              <w:pStyle w:val="107"/>
              <w:numPr>
                <w:ilvl w:val="0"/>
                <w:numId w:val="71"/>
              </w:numPr>
            </w:pPr>
          </w:p>
        </w:tc>
        <w:tc>
          <w:tcPr>
            <w:tcW w:w="669" w:type="dxa"/>
            <w:vMerge w:val="continue"/>
            <w:vAlign w:val="center"/>
          </w:tcPr>
          <w:p>
            <w:pPr>
              <w:pStyle w:val="107"/>
            </w:pPr>
          </w:p>
        </w:tc>
        <w:tc>
          <w:tcPr>
            <w:tcW w:w="1229" w:type="dxa"/>
            <w:vMerge w:val="continue"/>
            <w:vAlign w:val="center"/>
          </w:tcPr>
          <w:p>
            <w:pPr>
              <w:pStyle w:val="107"/>
            </w:pPr>
          </w:p>
        </w:tc>
        <w:tc>
          <w:tcPr>
            <w:tcW w:w="1425" w:type="dxa"/>
            <w:shd w:val="clear" w:color="auto" w:fill="auto"/>
            <w:vAlign w:val="center"/>
          </w:tcPr>
          <w:p>
            <w:pPr>
              <w:pStyle w:val="107"/>
            </w:pPr>
            <w:r>
              <w:rPr>
                <w:rFonts w:hint="eastAsia"/>
              </w:rPr>
              <w:t>危险废物</w:t>
            </w:r>
          </w:p>
        </w:tc>
        <w:tc>
          <w:tcPr>
            <w:tcW w:w="1597" w:type="dxa"/>
            <w:shd w:val="clear" w:color="auto" w:fill="auto"/>
            <w:vAlign w:val="center"/>
          </w:tcPr>
          <w:p>
            <w:pPr>
              <w:pStyle w:val="107"/>
            </w:pPr>
            <w:r>
              <w:t>/</w:t>
            </w:r>
          </w:p>
        </w:tc>
        <w:tc>
          <w:tcPr>
            <w:tcW w:w="6810" w:type="dxa"/>
            <w:gridSpan w:val="5"/>
            <w:shd w:val="clear" w:color="auto" w:fill="auto"/>
            <w:vAlign w:val="center"/>
          </w:tcPr>
          <w:p>
            <w:pPr>
              <w:pStyle w:val="107"/>
            </w:pPr>
            <w:r>
              <w:rPr>
                <w:rFonts w:hint="eastAsia"/>
              </w:rPr>
              <w:t>危险废物临时存放点</w:t>
            </w:r>
          </w:p>
        </w:tc>
        <w:tc>
          <w:tcPr>
            <w:tcW w:w="7620" w:type="dxa"/>
            <w:gridSpan w:val="3"/>
            <w:shd w:val="clear" w:color="auto" w:fill="auto"/>
            <w:vAlign w:val="center"/>
          </w:tcPr>
          <w:p>
            <w:pPr>
              <w:pStyle w:val="107"/>
            </w:pPr>
            <w:r>
              <w:rPr>
                <w:rFonts w:hint="eastAsia"/>
              </w:rPr>
              <w:t>委托有危废处理资质的单位处理，遵守《危险废物转移联单管理办法》、《危险废物贮存污染控制标准》（</w:t>
            </w:r>
            <w:r>
              <w:t>GB 18596</w:t>
            </w:r>
            <w:r>
              <w:rPr>
                <w:rFonts w:hint="eastAsia"/>
              </w:rPr>
              <w:t>）</w:t>
            </w:r>
          </w:p>
        </w:tc>
        <w:tc>
          <w:tcPr>
            <w:tcW w:w="1083" w:type="dxa"/>
            <w:shd w:val="clear" w:color="auto" w:fill="auto"/>
            <w:vAlign w:val="center"/>
          </w:tcPr>
          <w:p>
            <w:pPr>
              <w:pStyle w:val="107"/>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16" w:type="dxa"/>
          <w:trHeight w:val="300" w:hRule="atLeast"/>
        </w:trPr>
        <w:tc>
          <w:tcPr>
            <w:tcW w:w="452" w:type="dxa"/>
            <w:shd w:val="clear" w:color="auto" w:fill="auto"/>
            <w:vAlign w:val="center"/>
          </w:tcPr>
          <w:p>
            <w:pPr>
              <w:pStyle w:val="107"/>
              <w:numPr>
                <w:ilvl w:val="0"/>
                <w:numId w:val="71"/>
              </w:numPr>
            </w:pPr>
          </w:p>
        </w:tc>
        <w:tc>
          <w:tcPr>
            <w:tcW w:w="669" w:type="dxa"/>
            <w:vMerge w:val="continue"/>
            <w:vAlign w:val="center"/>
          </w:tcPr>
          <w:p>
            <w:pPr>
              <w:pStyle w:val="107"/>
            </w:pPr>
          </w:p>
        </w:tc>
        <w:tc>
          <w:tcPr>
            <w:tcW w:w="1229" w:type="dxa"/>
            <w:shd w:val="clear" w:color="auto" w:fill="auto"/>
            <w:vAlign w:val="center"/>
          </w:tcPr>
          <w:p>
            <w:pPr>
              <w:pStyle w:val="107"/>
            </w:pPr>
            <w:r>
              <w:rPr>
                <w:rFonts w:hint="eastAsia"/>
              </w:rPr>
              <w:t>员工生活</w:t>
            </w:r>
          </w:p>
        </w:tc>
        <w:tc>
          <w:tcPr>
            <w:tcW w:w="1425" w:type="dxa"/>
            <w:shd w:val="clear" w:color="auto" w:fill="auto"/>
            <w:vAlign w:val="center"/>
          </w:tcPr>
          <w:p>
            <w:pPr>
              <w:pStyle w:val="107"/>
            </w:pPr>
            <w:r>
              <w:rPr>
                <w:rFonts w:hint="eastAsia"/>
              </w:rPr>
              <w:t>生活垃圾</w:t>
            </w:r>
          </w:p>
        </w:tc>
        <w:tc>
          <w:tcPr>
            <w:tcW w:w="1597" w:type="dxa"/>
            <w:shd w:val="clear" w:color="auto" w:fill="auto"/>
            <w:vAlign w:val="center"/>
          </w:tcPr>
          <w:p>
            <w:pPr>
              <w:pStyle w:val="107"/>
            </w:pPr>
            <w:r>
              <w:t>/</w:t>
            </w:r>
          </w:p>
        </w:tc>
        <w:tc>
          <w:tcPr>
            <w:tcW w:w="6810" w:type="dxa"/>
            <w:gridSpan w:val="5"/>
            <w:shd w:val="clear" w:color="auto" w:fill="auto"/>
            <w:vAlign w:val="center"/>
          </w:tcPr>
          <w:p>
            <w:pPr>
              <w:pStyle w:val="107"/>
            </w:pPr>
            <w:r>
              <w:rPr>
                <w:rFonts w:hint="eastAsia"/>
              </w:rPr>
              <w:t>垃圾桶、垃圾箱</w:t>
            </w:r>
          </w:p>
        </w:tc>
        <w:tc>
          <w:tcPr>
            <w:tcW w:w="7620" w:type="dxa"/>
            <w:gridSpan w:val="3"/>
            <w:shd w:val="clear" w:color="auto" w:fill="auto"/>
            <w:vAlign w:val="center"/>
          </w:tcPr>
          <w:p>
            <w:pPr>
              <w:pStyle w:val="107"/>
            </w:pPr>
            <w:r>
              <w:rPr>
                <w:rFonts w:hint="eastAsia"/>
              </w:rPr>
              <w:t>满足环保要求</w:t>
            </w:r>
          </w:p>
        </w:tc>
        <w:tc>
          <w:tcPr>
            <w:tcW w:w="1083" w:type="dxa"/>
            <w:shd w:val="clear" w:color="auto" w:fill="auto"/>
            <w:vAlign w:val="center"/>
          </w:tcPr>
          <w:p>
            <w:pPr>
              <w:pStyle w:val="107"/>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16" w:type="dxa"/>
          <w:trHeight w:val="285" w:hRule="atLeast"/>
        </w:trPr>
        <w:tc>
          <w:tcPr>
            <w:tcW w:w="452" w:type="dxa"/>
            <w:vMerge w:val="restart"/>
            <w:shd w:val="clear" w:color="auto" w:fill="auto"/>
            <w:vAlign w:val="center"/>
          </w:tcPr>
          <w:p>
            <w:pPr>
              <w:pStyle w:val="107"/>
              <w:numPr>
                <w:ilvl w:val="0"/>
                <w:numId w:val="71"/>
              </w:numPr>
            </w:pPr>
          </w:p>
        </w:tc>
        <w:tc>
          <w:tcPr>
            <w:tcW w:w="669" w:type="dxa"/>
            <w:vMerge w:val="restart"/>
            <w:shd w:val="clear" w:color="auto" w:fill="auto"/>
            <w:vAlign w:val="center"/>
          </w:tcPr>
          <w:p>
            <w:pPr>
              <w:pStyle w:val="107"/>
            </w:pPr>
            <w:r>
              <w:rPr>
                <w:rFonts w:hint="eastAsia"/>
              </w:rPr>
              <w:t>环境风险</w:t>
            </w:r>
          </w:p>
        </w:tc>
        <w:tc>
          <w:tcPr>
            <w:tcW w:w="1229" w:type="dxa"/>
            <w:vMerge w:val="restart"/>
            <w:shd w:val="clear" w:color="auto" w:fill="auto"/>
            <w:vAlign w:val="center"/>
          </w:tcPr>
          <w:p>
            <w:pPr>
              <w:pStyle w:val="107"/>
            </w:pPr>
            <w:r>
              <w:rPr>
                <w:rFonts w:hint="eastAsia"/>
              </w:rPr>
              <w:t>生产区</w:t>
            </w:r>
          </w:p>
        </w:tc>
        <w:tc>
          <w:tcPr>
            <w:tcW w:w="1425" w:type="dxa"/>
            <w:vMerge w:val="restart"/>
            <w:shd w:val="clear" w:color="auto" w:fill="auto"/>
            <w:vAlign w:val="center"/>
          </w:tcPr>
          <w:p>
            <w:pPr>
              <w:pStyle w:val="107"/>
            </w:pPr>
            <w:r>
              <w:rPr>
                <w:rFonts w:hint="eastAsia"/>
              </w:rPr>
              <w:t>环境风险</w:t>
            </w:r>
          </w:p>
        </w:tc>
        <w:tc>
          <w:tcPr>
            <w:tcW w:w="1597" w:type="dxa"/>
            <w:vMerge w:val="restart"/>
            <w:shd w:val="clear" w:color="auto" w:fill="auto"/>
            <w:vAlign w:val="center"/>
          </w:tcPr>
          <w:p>
            <w:pPr>
              <w:pStyle w:val="107"/>
            </w:pPr>
            <w:r>
              <w:t>/</w:t>
            </w:r>
          </w:p>
        </w:tc>
        <w:tc>
          <w:tcPr>
            <w:tcW w:w="6810" w:type="dxa"/>
            <w:gridSpan w:val="5"/>
            <w:shd w:val="clear" w:color="auto" w:fill="auto"/>
            <w:vAlign w:val="center"/>
          </w:tcPr>
          <w:p>
            <w:pPr>
              <w:pStyle w:val="107"/>
            </w:pPr>
            <w:r>
              <w:t>1</w:t>
            </w:r>
            <w:r>
              <w:rPr>
                <w:rFonts w:hint="eastAsia"/>
              </w:rPr>
              <w:t>、制定风险防范措施和应急预案；</w:t>
            </w:r>
          </w:p>
        </w:tc>
        <w:tc>
          <w:tcPr>
            <w:tcW w:w="7620" w:type="dxa"/>
            <w:gridSpan w:val="3"/>
            <w:vMerge w:val="restart"/>
            <w:shd w:val="clear" w:color="auto" w:fill="auto"/>
            <w:vAlign w:val="center"/>
          </w:tcPr>
          <w:p>
            <w:pPr>
              <w:pStyle w:val="107"/>
            </w:pPr>
            <w:r>
              <w:rPr>
                <w:rFonts w:hint="eastAsia"/>
              </w:rPr>
              <w:t>满足环境风险防范要求。</w:t>
            </w:r>
          </w:p>
        </w:tc>
        <w:tc>
          <w:tcPr>
            <w:tcW w:w="1083" w:type="dxa"/>
            <w:vMerge w:val="restart"/>
            <w:shd w:val="clear" w:color="auto" w:fill="auto"/>
            <w:vAlign w:val="center"/>
          </w:tcPr>
          <w:p>
            <w:pPr>
              <w:pStyle w:val="107"/>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16" w:type="dxa"/>
          <w:trHeight w:val="285" w:hRule="atLeast"/>
        </w:trPr>
        <w:tc>
          <w:tcPr>
            <w:tcW w:w="452" w:type="dxa"/>
            <w:vMerge w:val="continue"/>
            <w:vAlign w:val="center"/>
          </w:tcPr>
          <w:p>
            <w:pPr>
              <w:pStyle w:val="107"/>
            </w:pPr>
          </w:p>
        </w:tc>
        <w:tc>
          <w:tcPr>
            <w:tcW w:w="669" w:type="dxa"/>
            <w:vMerge w:val="continue"/>
            <w:vAlign w:val="center"/>
          </w:tcPr>
          <w:p>
            <w:pPr>
              <w:pStyle w:val="107"/>
            </w:pPr>
          </w:p>
        </w:tc>
        <w:tc>
          <w:tcPr>
            <w:tcW w:w="1229" w:type="dxa"/>
            <w:vMerge w:val="continue"/>
            <w:vAlign w:val="center"/>
          </w:tcPr>
          <w:p>
            <w:pPr>
              <w:pStyle w:val="107"/>
            </w:pPr>
          </w:p>
        </w:tc>
        <w:tc>
          <w:tcPr>
            <w:tcW w:w="1425" w:type="dxa"/>
            <w:vMerge w:val="continue"/>
            <w:vAlign w:val="center"/>
          </w:tcPr>
          <w:p>
            <w:pPr>
              <w:pStyle w:val="107"/>
            </w:pPr>
          </w:p>
        </w:tc>
        <w:tc>
          <w:tcPr>
            <w:tcW w:w="1597" w:type="dxa"/>
            <w:vMerge w:val="continue"/>
            <w:vAlign w:val="center"/>
          </w:tcPr>
          <w:p>
            <w:pPr>
              <w:pStyle w:val="107"/>
            </w:pPr>
          </w:p>
        </w:tc>
        <w:tc>
          <w:tcPr>
            <w:tcW w:w="6810" w:type="dxa"/>
            <w:gridSpan w:val="5"/>
            <w:shd w:val="clear" w:color="auto" w:fill="auto"/>
            <w:vAlign w:val="center"/>
          </w:tcPr>
          <w:p>
            <w:pPr>
              <w:pStyle w:val="107"/>
            </w:pPr>
            <w:r>
              <w:t>2</w:t>
            </w:r>
            <w:r>
              <w:rPr>
                <w:rFonts w:hint="eastAsia"/>
              </w:rPr>
              <w:t>、员工定期培训演练，应急设备处于正常状态；</w:t>
            </w:r>
          </w:p>
        </w:tc>
        <w:tc>
          <w:tcPr>
            <w:tcW w:w="7620" w:type="dxa"/>
            <w:gridSpan w:val="3"/>
            <w:vMerge w:val="continue"/>
            <w:vAlign w:val="center"/>
          </w:tcPr>
          <w:p>
            <w:pPr>
              <w:pStyle w:val="107"/>
            </w:pPr>
          </w:p>
        </w:tc>
        <w:tc>
          <w:tcPr>
            <w:tcW w:w="1083" w:type="dxa"/>
            <w:vMerge w:val="continue"/>
            <w:vAlign w:val="center"/>
          </w:tcPr>
          <w:p>
            <w:pPr>
              <w:pStyle w:val="107"/>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2"/>
          <w:wAfter w:w="16" w:type="dxa"/>
          <w:trHeight w:val="315" w:hRule="atLeast"/>
        </w:trPr>
        <w:tc>
          <w:tcPr>
            <w:tcW w:w="452" w:type="dxa"/>
            <w:vMerge w:val="continue"/>
            <w:vAlign w:val="center"/>
          </w:tcPr>
          <w:p>
            <w:pPr>
              <w:pStyle w:val="107"/>
            </w:pPr>
          </w:p>
        </w:tc>
        <w:tc>
          <w:tcPr>
            <w:tcW w:w="669" w:type="dxa"/>
            <w:vMerge w:val="continue"/>
            <w:vAlign w:val="center"/>
          </w:tcPr>
          <w:p>
            <w:pPr>
              <w:pStyle w:val="107"/>
            </w:pPr>
          </w:p>
        </w:tc>
        <w:tc>
          <w:tcPr>
            <w:tcW w:w="1229" w:type="dxa"/>
            <w:vMerge w:val="continue"/>
            <w:vAlign w:val="center"/>
          </w:tcPr>
          <w:p>
            <w:pPr>
              <w:pStyle w:val="107"/>
            </w:pPr>
          </w:p>
        </w:tc>
        <w:tc>
          <w:tcPr>
            <w:tcW w:w="1425" w:type="dxa"/>
            <w:vMerge w:val="continue"/>
            <w:vAlign w:val="center"/>
          </w:tcPr>
          <w:p>
            <w:pPr>
              <w:pStyle w:val="107"/>
            </w:pPr>
          </w:p>
        </w:tc>
        <w:tc>
          <w:tcPr>
            <w:tcW w:w="1597" w:type="dxa"/>
            <w:vMerge w:val="continue"/>
            <w:vAlign w:val="center"/>
          </w:tcPr>
          <w:p>
            <w:pPr>
              <w:pStyle w:val="107"/>
            </w:pPr>
          </w:p>
        </w:tc>
        <w:tc>
          <w:tcPr>
            <w:tcW w:w="6810" w:type="dxa"/>
            <w:gridSpan w:val="5"/>
            <w:shd w:val="clear" w:color="auto" w:fill="auto"/>
            <w:vAlign w:val="center"/>
          </w:tcPr>
          <w:p>
            <w:pPr>
              <w:pStyle w:val="107"/>
            </w:pPr>
            <w:r>
              <w:t>3</w:t>
            </w:r>
            <w:r>
              <w:rPr>
                <w:rFonts w:hint="eastAsia"/>
              </w:rPr>
              <w:t>、事故应急废水池（有效容积）：</w:t>
            </w:r>
            <w:r>
              <w:t>82m</w:t>
            </w:r>
            <w:r>
              <w:rPr>
                <w:vertAlign w:val="superscript"/>
              </w:rPr>
              <w:t>3</w:t>
            </w:r>
            <w:r>
              <w:rPr>
                <w:rFonts w:hint="eastAsia"/>
              </w:rPr>
              <w:t>。</w:t>
            </w:r>
          </w:p>
        </w:tc>
        <w:tc>
          <w:tcPr>
            <w:tcW w:w="7620" w:type="dxa"/>
            <w:gridSpan w:val="3"/>
            <w:vMerge w:val="continue"/>
            <w:vAlign w:val="center"/>
          </w:tcPr>
          <w:p>
            <w:pPr>
              <w:pStyle w:val="107"/>
            </w:pPr>
          </w:p>
        </w:tc>
        <w:tc>
          <w:tcPr>
            <w:tcW w:w="1083" w:type="dxa"/>
            <w:vMerge w:val="continue"/>
            <w:vAlign w:val="center"/>
          </w:tcPr>
          <w:p>
            <w:pPr>
              <w:pStyle w:val="107"/>
            </w:pPr>
          </w:p>
        </w:tc>
      </w:tr>
    </w:tbl>
    <w:p>
      <w:pPr>
        <w:pStyle w:val="107"/>
        <w:sectPr>
          <w:pgSz w:w="23757" w:h="16783" w:orient="landscape"/>
          <w:pgMar w:top="1418" w:right="1418" w:bottom="1418" w:left="1418" w:header="851" w:footer="992" w:gutter="0"/>
          <w:cols w:space="0" w:num="1"/>
          <w:docGrid w:type="linesAndChars" w:linePitch="331" w:charSpace="610"/>
        </w:sectPr>
      </w:pPr>
    </w:p>
    <w:p>
      <w:pPr>
        <w:pStyle w:val="3"/>
        <w:rPr>
          <w:rFonts w:eastAsiaTheme="minorEastAsia"/>
        </w:rPr>
      </w:pPr>
      <w:bookmarkStart w:id="720" w:name="_Toc3538824"/>
      <w:bookmarkStart w:id="721" w:name="_Toc4109"/>
      <w:r>
        <w:rPr>
          <w:rFonts w:eastAsiaTheme="minorEastAsia"/>
        </w:rPr>
        <w:t>结论</w:t>
      </w:r>
      <w:bookmarkEnd w:id="717"/>
      <w:bookmarkEnd w:id="718"/>
      <w:bookmarkEnd w:id="719"/>
      <w:bookmarkEnd w:id="720"/>
      <w:bookmarkEnd w:id="721"/>
    </w:p>
    <w:p>
      <w:pPr>
        <w:pStyle w:val="4"/>
      </w:pPr>
      <w:bookmarkStart w:id="722" w:name="_Toc331536320"/>
      <w:bookmarkStart w:id="723" w:name="_Toc3538825"/>
      <w:bookmarkStart w:id="724" w:name="_Toc26497"/>
      <w:bookmarkStart w:id="725" w:name="_Toc1472"/>
      <w:bookmarkStart w:id="726" w:name="_Toc329784259"/>
      <w:r>
        <w:t>项目概况</w:t>
      </w:r>
      <w:bookmarkEnd w:id="722"/>
      <w:bookmarkEnd w:id="723"/>
      <w:bookmarkEnd w:id="724"/>
      <w:bookmarkEnd w:id="725"/>
      <w:bookmarkEnd w:id="726"/>
    </w:p>
    <w:p>
      <w:pPr>
        <w:adjustRightInd w:val="0"/>
        <w:snapToGrid w:val="0"/>
        <w:ind w:firstLine="486"/>
        <w:rPr>
          <w:rFonts w:cs="Times New Roman" w:eastAsiaTheme="minorEastAsia"/>
        </w:rPr>
      </w:pPr>
      <w:r>
        <w:rPr>
          <w:rFonts w:hint="eastAsia" w:cs="Times New Roman" w:eastAsiaTheme="minorEastAsia"/>
        </w:rPr>
        <w:t>开平市骑达橡胶制品厂位于开平市苍城镇西郊工业园三区7号。主要从事橡胶制品的生产与销售，年产橡胶脚轮</w:t>
      </w:r>
      <w:r>
        <w:rPr>
          <w:rFonts w:cs="Times New Roman" w:eastAsiaTheme="minorEastAsia"/>
        </w:rPr>
        <w:t>800</w:t>
      </w:r>
      <w:r>
        <w:rPr>
          <w:rFonts w:hint="eastAsia" w:cs="Times New Roman" w:eastAsiaTheme="minorEastAsia"/>
        </w:rPr>
        <w:t>万个脚轮。</w:t>
      </w:r>
      <w:bookmarkStart w:id="727" w:name="_Toc287131204"/>
      <w:bookmarkStart w:id="728" w:name="_Toc331536321"/>
      <w:bookmarkStart w:id="729" w:name="_Toc18159"/>
      <w:bookmarkStart w:id="730" w:name="_Toc329784260"/>
      <w:r>
        <w:rPr>
          <w:rFonts w:hint="eastAsia" w:cs="Times New Roman" w:eastAsiaTheme="minorEastAsia"/>
        </w:rPr>
        <w:t>项目总投资</w:t>
      </w:r>
      <w:r>
        <w:rPr>
          <w:rFonts w:cs="Times New Roman" w:eastAsiaTheme="minorEastAsia"/>
        </w:rPr>
        <w:t>2</w:t>
      </w:r>
      <w:r>
        <w:rPr>
          <w:rFonts w:hint="eastAsia" w:cs="Times New Roman" w:eastAsiaTheme="minorEastAsia"/>
        </w:rPr>
        <w:t>00万元，其中环保投资</w:t>
      </w:r>
      <w:r>
        <w:rPr>
          <w:rFonts w:cs="Times New Roman" w:eastAsiaTheme="minorEastAsia"/>
        </w:rPr>
        <w:t>30万元</w:t>
      </w:r>
      <w:r>
        <w:rPr>
          <w:rFonts w:hint="eastAsia" w:cs="Times New Roman" w:eastAsiaTheme="minorEastAsia"/>
        </w:rPr>
        <w:t>，占地面积</w:t>
      </w:r>
      <w:r>
        <w:rPr>
          <w:rFonts w:hint="eastAsia"/>
        </w:rPr>
        <w:t>1266.7</w:t>
      </w:r>
      <w:r>
        <w:rPr>
          <w:rFonts w:hint="eastAsia" w:cs="Times New Roman" w:eastAsiaTheme="minorEastAsia"/>
        </w:rPr>
        <w:t>m</w:t>
      </w:r>
      <w:r>
        <w:rPr>
          <w:rFonts w:hint="eastAsia" w:cs="Times New Roman" w:eastAsiaTheme="minorEastAsia"/>
          <w:vertAlign w:val="superscript"/>
        </w:rPr>
        <w:t>2</w:t>
      </w:r>
      <w:r>
        <w:rPr>
          <w:rFonts w:hint="eastAsia" w:cs="Times New Roman" w:eastAsiaTheme="minorEastAsia"/>
        </w:rPr>
        <w:t>，建筑面积</w:t>
      </w:r>
      <w:r>
        <w:rPr>
          <w:rFonts w:cs="Times New Roman" w:eastAsiaTheme="minorEastAsia"/>
        </w:rPr>
        <w:t>1040</w:t>
      </w:r>
      <w:r>
        <w:rPr>
          <w:rFonts w:hint="eastAsia" w:cs="Times New Roman" w:eastAsiaTheme="minorEastAsia"/>
        </w:rPr>
        <w:t>m</w:t>
      </w:r>
      <w:r>
        <w:rPr>
          <w:rFonts w:cs="Times New Roman" w:eastAsiaTheme="minorEastAsia"/>
          <w:vertAlign w:val="superscript"/>
        </w:rPr>
        <w:t>2</w:t>
      </w:r>
      <w:r>
        <w:rPr>
          <w:rFonts w:hint="eastAsia" w:cs="Times New Roman" w:eastAsiaTheme="minorEastAsia"/>
        </w:rPr>
        <w:t>。项目</w:t>
      </w:r>
      <w:r>
        <w:rPr>
          <w:rFonts w:hint="eastAsia" w:eastAsiaTheme="minorEastAsia"/>
        </w:rPr>
        <w:t>正常生产为两班制，每班8小时，全年有效工作日约</w:t>
      </w:r>
      <w:r>
        <w:rPr>
          <w:rFonts w:eastAsiaTheme="minorEastAsia"/>
        </w:rPr>
        <w:t>300</w:t>
      </w:r>
      <w:r>
        <w:rPr>
          <w:rFonts w:hint="eastAsia" w:eastAsiaTheme="minorEastAsia"/>
        </w:rPr>
        <w:t>天。</w:t>
      </w:r>
      <w:r>
        <w:rPr>
          <w:rFonts w:hint="eastAsia" w:cs="Times New Roman" w:eastAsiaTheme="minorEastAsia"/>
        </w:rPr>
        <w:t>全厂共有员工</w:t>
      </w:r>
      <w:r>
        <w:rPr>
          <w:rFonts w:cs="Times New Roman" w:eastAsiaTheme="minorEastAsia"/>
        </w:rPr>
        <w:t>30</w:t>
      </w:r>
      <w:r>
        <w:rPr>
          <w:rFonts w:hint="eastAsia" w:cs="Times New Roman" w:eastAsiaTheme="minorEastAsia"/>
        </w:rPr>
        <w:t>人</w:t>
      </w:r>
      <w:r>
        <w:rPr>
          <w:rFonts w:eastAsiaTheme="minorEastAsia"/>
        </w:rPr>
        <w:t>，</w:t>
      </w:r>
      <w:r>
        <w:rPr>
          <w:rFonts w:hint="eastAsia" w:eastAsiaTheme="minorEastAsia"/>
        </w:rPr>
        <w:t>厂区不提供食宿</w:t>
      </w:r>
      <w:r>
        <w:rPr>
          <w:rFonts w:eastAsiaTheme="minorEastAsia"/>
        </w:rPr>
        <w:t>。</w:t>
      </w:r>
    </w:p>
    <w:p>
      <w:pPr>
        <w:ind w:firstLine="486"/>
        <w:rPr>
          <w:rFonts w:eastAsiaTheme="minorEastAsia"/>
        </w:rPr>
      </w:pPr>
      <w:r>
        <w:rPr>
          <w:rFonts w:eastAsiaTheme="minorEastAsia"/>
        </w:rPr>
        <w:t>项目</w:t>
      </w:r>
      <w:r>
        <w:rPr>
          <w:rFonts w:hint="eastAsia" w:eastAsiaTheme="minorEastAsia"/>
        </w:rPr>
        <w:t>生产过程为橡胶制品生产，将天然胶、合成胶作为原料，</w:t>
      </w:r>
      <w:r>
        <w:rPr>
          <w:rFonts w:eastAsiaTheme="minorEastAsia"/>
        </w:rPr>
        <w:t>再加入配合剂，进行混炼（密炼、开炼）、硫化得到项目</w:t>
      </w:r>
      <w:r>
        <w:rPr>
          <w:rFonts w:hint="eastAsia" w:eastAsiaTheme="minorEastAsia"/>
        </w:rPr>
        <w:t>终</w:t>
      </w:r>
      <w:r>
        <w:rPr>
          <w:rFonts w:eastAsiaTheme="minorEastAsia"/>
        </w:rPr>
        <w:t>产品橡胶轮。</w:t>
      </w:r>
    </w:p>
    <w:p>
      <w:pPr>
        <w:ind w:firstLine="486"/>
        <w:jc w:val="both"/>
        <w:rPr>
          <w:rFonts w:cs="Times New Roman" w:eastAsiaTheme="minorEastAsia"/>
        </w:rPr>
      </w:pPr>
      <w:r>
        <w:rPr>
          <w:rFonts w:hint="eastAsia" w:eastAsiaTheme="minorEastAsia"/>
        </w:rPr>
        <w:t>项目</w:t>
      </w:r>
      <w:r>
        <w:rPr>
          <w:rFonts w:eastAsiaTheme="minorEastAsia"/>
        </w:rPr>
        <w:t>生产过程中主要</w:t>
      </w:r>
      <w:r>
        <w:rPr>
          <w:rFonts w:hint="eastAsia" w:eastAsiaTheme="minorEastAsia"/>
        </w:rPr>
        <w:t>有配料粉尘、投料粉尘、炼胶废气（密炼、开炼废气）、硫化废气，生活污水、废包装材料、废饱和活性炭</w:t>
      </w:r>
      <w:r>
        <w:rPr>
          <w:rFonts w:eastAsiaTheme="minorEastAsia"/>
        </w:rPr>
        <w:t>和噪声</w:t>
      </w:r>
      <w:r>
        <w:rPr>
          <w:rFonts w:hint="eastAsia" w:eastAsiaTheme="minorEastAsia"/>
        </w:rPr>
        <w:t>等污染。</w:t>
      </w:r>
    </w:p>
    <w:p>
      <w:pPr>
        <w:pStyle w:val="4"/>
      </w:pPr>
      <w:bookmarkStart w:id="731" w:name="_Toc22043"/>
      <w:bookmarkStart w:id="732" w:name="_Toc3538826"/>
      <w:r>
        <w:t>环境质量现状评价结论</w:t>
      </w:r>
      <w:bookmarkEnd w:id="727"/>
      <w:bookmarkEnd w:id="728"/>
      <w:bookmarkEnd w:id="729"/>
      <w:bookmarkEnd w:id="730"/>
      <w:bookmarkEnd w:id="731"/>
      <w:bookmarkEnd w:id="732"/>
    </w:p>
    <w:p>
      <w:pPr>
        <w:pStyle w:val="5"/>
      </w:pPr>
      <w:bookmarkStart w:id="733" w:name="_Toc331536322"/>
      <w:r>
        <w:t>地表水环境质量现状</w:t>
      </w:r>
      <w:bookmarkEnd w:id="733"/>
      <w:r>
        <w:rPr>
          <w:rFonts w:hint="eastAsia"/>
        </w:rPr>
        <w:t>结论</w:t>
      </w:r>
    </w:p>
    <w:p>
      <w:pPr>
        <w:ind w:firstLine="486"/>
        <w:rPr>
          <w:rFonts w:cs="Times New Roman" w:eastAsiaTheme="minorEastAsia"/>
        </w:rPr>
      </w:pPr>
      <w:bookmarkStart w:id="734" w:name="_Toc331536323"/>
      <w:r>
        <w:rPr>
          <w:rFonts w:eastAsiaTheme="minorEastAsia"/>
          <w:lang w:val="zh-CN"/>
        </w:rPr>
        <w:t>监测结果</w:t>
      </w:r>
      <w:r>
        <w:rPr>
          <w:rFonts w:hint="eastAsia" w:eastAsiaTheme="minorEastAsia"/>
          <w:lang w:val="zh-CN"/>
        </w:rPr>
        <w:t>表明</w:t>
      </w:r>
      <w:r>
        <w:rPr>
          <w:rFonts w:hint="eastAsia" w:cs="Times New Roman" w:eastAsiaTheme="minorEastAsia"/>
        </w:rPr>
        <w:t>：</w:t>
      </w:r>
    </w:p>
    <w:p>
      <w:pPr>
        <w:pStyle w:val="131"/>
        <w:numPr>
          <w:ilvl w:val="0"/>
          <w:numId w:val="0"/>
        </w:numPr>
        <w:ind w:firstLine="484" w:firstLineChars="200"/>
        <w:rPr>
          <w:rFonts w:cs="Times New Roman"/>
          <w:color w:val="auto"/>
        </w:rPr>
      </w:pPr>
      <w:r>
        <w:rPr>
          <w:rFonts w:hint="eastAsia" w:cs="Times New Roman"/>
        </w:rPr>
        <w:t>项目厂区东侧镇海水</w:t>
      </w:r>
      <w:r>
        <w:rPr>
          <w:rFonts w:hint="eastAsia" w:cs="Times New Roman"/>
          <w:color w:val="auto"/>
        </w:rPr>
        <w:t>W1</w:t>
      </w:r>
      <w:r>
        <w:rPr>
          <w:rFonts w:cs="Times New Roman"/>
          <w:color w:val="auto"/>
        </w:rPr>
        <w:t>断面</w:t>
      </w:r>
      <w:r>
        <w:rPr>
          <w:rFonts w:hint="eastAsia" w:cs="Times New Roman"/>
          <w:color w:val="auto"/>
        </w:rPr>
        <w:t>总磷、总氮</w:t>
      </w:r>
      <w:r>
        <w:rPr>
          <w:rFonts w:cs="Times New Roman"/>
          <w:color w:val="auto"/>
        </w:rPr>
        <w:t>2</w:t>
      </w:r>
      <w:r>
        <w:rPr>
          <w:rFonts w:hint="eastAsia" w:cs="Times New Roman"/>
          <w:color w:val="auto"/>
        </w:rPr>
        <w:t>个指标及W</w:t>
      </w:r>
      <w:r>
        <w:rPr>
          <w:rFonts w:cs="Times New Roman"/>
          <w:color w:val="auto"/>
        </w:rPr>
        <w:t>2断面</w:t>
      </w:r>
      <w:r>
        <w:rPr>
          <w:rFonts w:hint="eastAsia" w:cs="Times New Roman"/>
          <w:color w:val="auto"/>
        </w:rPr>
        <w:t>总氮均超过</w:t>
      </w:r>
      <w:r>
        <w:rPr>
          <w:rFonts w:cs="Times New Roman"/>
          <w:color w:val="auto"/>
        </w:rPr>
        <w:t>《地表水环境质量标准》（GB 3838-2002）</w:t>
      </w:r>
      <w:r>
        <w:rPr>
          <w:rFonts w:hint="eastAsia" w:cs="Times New Roman"/>
          <w:color w:val="auto"/>
        </w:rPr>
        <w:t>III</w:t>
      </w:r>
      <w:r>
        <w:rPr>
          <w:rFonts w:cs="Times New Roman"/>
          <w:color w:val="auto"/>
        </w:rPr>
        <w:t>类水质标准</w:t>
      </w:r>
      <w:r>
        <w:rPr>
          <w:rFonts w:hint="eastAsia" w:cs="Times New Roman"/>
          <w:color w:val="auto"/>
        </w:rPr>
        <w:t>，其余监测指标都满足</w:t>
      </w:r>
      <w:r>
        <w:rPr>
          <w:rFonts w:cs="Times New Roman"/>
          <w:color w:val="auto"/>
        </w:rPr>
        <w:t>《地表水环境质量标准》（GB 3838-2002）</w:t>
      </w:r>
      <w:r>
        <w:rPr>
          <w:rFonts w:hint="eastAsia" w:cs="Times New Roman"/>
          <w:color w:val="auto"/>
        </w:rPr>
        <w:t>III</w:t>
      </w:r>
      <w:r>
        <w:rPr>
          <w:rFonts w:cs="Times New Roman"/>
          <w:color w:val="auto"/>
        </w:rPr>
        <w:t>类标准</w:t>
      </w:r>
      <w:r>
        <w:rPr>
          <w:rFonts w:hint="eastAsia" w:cs="Times New Roman"/>
          <w:color w:val="auto"/>
        </w:rPr>
        <w:t>的要求</w:t>
      </w:r>
      <w:r>
        <w:rPr>
          <w:rFonts w:cs="Times New Roman"/>
          <w:color w:val="auto"/>
        </w:rPr>
        <w:t>。</w:t>
      </w:r>
    </w:p>
    <w:p>
      <w:pPr>
        <w:ind w:firstLine="486"/>
        <w:rPr>
          <w:rFonts w:cs="Times New Roman" w:eastAsiaTheme="minorEastAsia"/>
        </w:rPr>
      </w:pPr>
      <w:r>
        <w:rPr>
          <w:rFonts w:hint="eastAsia" w:cs="Times New Roman" w:eastAsiaTheme="minorEastAsia"/>
        </w:rPr>
        <w:t>综上所述，评价范围内的水体普遍受到一定的有机物污染。根据调查和分析，项目评价范围内的水体沿岸污染源主要分为工业污染源、生活污染源以及流域内的农田退水。氨氮、总磷、总氮、</w:t>
      </w:r>
      <w:r>
        <w:rPr>
          <w:rFonts w:hint="eastAsia" w:cs="Times New Roman"/>
        </w:rPr>
        <w:t>粪</w:t>
      </w:r>
      <w:r>
        <w:rPr>
          <w:rFonts w:cs="Times New Roman"/>
        </w:rPr>
        <w:t>大肠菌群</w:t>
      </w:r>
      <w:r>
        <w:rPr>
          <w:rFonts w:hint="eastAsia" w:cs="Times New Roman" w:eastAsiaTheme="minorEastAsia"/>
        </w:rPr>
        <w:t>监测指标超标主要为沿河两岸的生活污水及流域的农田退水排入所致；石油类监测指标超标主要为沿岸工业排污所致。</w:t>
      </w:r>
    </w:p>
    <w:p>
      <w:pPr>
        <w:ind w:firstLine="486"/>
        <w:rPr>
          <w:rFonts w:eastAsiaTheme="minorEastAsia"/>
          <w:lang w:val="zh-CN"/>
        </w:rPr>
      </w:pPr>
      <w:r>
        <w:rPr>
          <w:rFonts w:hint="eastAsia" w:eastAsiaTheme="minorEastAsia"/>
          <w:lang w:val="zh-CN"/>
        </w:rPr>
        <w:t>建议区域加快市政污水管网的完善和城市污水处理设施的建设，将目前乱排的村民生活污水集中收集处理；相关政府部门加强对周边工业企业的管理和监督，杜绝超标排放的情况，以削减纳污水体的污染负荷，逐步改善水体水质。</w:t>
      </w:r>
    </w:p>
    <w:p>
      <w:pPr>
        <w:pStyle w:val="5"/>
      </w:pPr>
      <w:r>
        <w:t>地下水环境质量现状</w:t>
      </w:r>
      <w:bookmarkEnd w:id="734"/>
      <w:r>
        <w:rPr>
          <w:rFonts w:hint="eastAsia"/>
        </w:rPr>
        <w:t>结论</w:t>
      </w:r>
    </w:p>
    <w:p>
      <w:pPr>
        <w:ind w:firstLine="486"/>
        <w:rPr>
          <w:rFonts w:eastAsiaTheme="minorEastAsia"/>
          <w:lang w:val="zh-CN"/>
        </w:rPr>
      </w:pPr>
      <w:bookmarkStart w:id="735" w:name="_Toc331536324"/>
      <w:r>
        <w:rPr>
          <w:rFonts w:eastAsiaTheme="minorEastAsia"/>
        </w:rPr>
        <w:t>监测结果</w:t>
      </w:r>
      <w:r>
        <w:rPr>
          <w:rFonts w:hint="eastAsia" w:eastAsiaTheme="minorEastAsia"/>
        </w:rPr>
        <w:t>表明</w:t>
      </w:r>
      <w:r>
        <w:rPr>
          <w:rFonts w:eastAsiaTheme="minorEastAsia"/>
        </w:rPr>
        <w:t>，项目所在区域地下水全部测点</w:t>
      </w:r>
      <w:r>
        <w:rPr>
          <w:rFonts w:hint="eastAsia" w:eastAsiaTheme="minorEastAsia"/>
        </w:rPr>
        <w:t>各</w:t>
      </w:r>
      <w:r>
        <w:rPr>
          <w:rFonts w:eastAsiaTheme="minorEastAsia"/>
        </w:rPr>
        <w:t>水质</w:t>
      </w:r>
      <w:r>
        <w:rPr>
          <w:rFonts w:hint="eastAsia" w:eastAsiaTheme="minorEastAsia"/>
        </w:rPr>
        <w:t>监测指标</w:t>
      </w:r>
      <w:r>
        <w:rPr>
          <w:rFonts w:eastAsiaTheme="minorEastAsia"/>
        </w:rPr>
        <w:t>均在</w:t>
      </w:r>
      <w:r>
        <w:rPr>
          <w:rFonts w:hint="eastAsia" w:cs="Times New Roman" w:eastAsiaTheme="minorEastAsia"/>
        </w:rPr>
        <w:t>《地下水质量标准》（</w:t>
      </w:r>
      <w:r>
        <w:rPr>
          <w:rFonts w:cs="Times New Roman" w:eastAsiaTheme="minorEastAsia"/>
        </w:rPr>
        <w:t>GB/T 14848-2017</w:t>
      </w:r>
      <w:r>
        <w:rPr>
          <w:rFonts w:hint="eastAsia" w:cs="Times New Roman" w:eastAsiaTheme="minorEastAsia"/>
        </w:rPr>
        <w:t>）</w:t>
      </w:r>
      <w:r>
        <w:rPr>
          <w:rFonts w:hint="eastAsia" w:eastAsiaTheme="minorEastAsia"/>
        </w:rPr>
        <w:t>III</w:t>
      </w:r>
      <w:r>
        <w:rPr>
          <w:rFonts w:eastAsiaTheme="minorEastAsia"/>
        </w:rPr>
        <w:t>类水质标准限值内</w:t>
      </w:r>
      <w:r>
        <w:rPr>
          <w:rFonts w:hint="eastAsia" w:eastAsiaTheme="minorEastAsia"/>
        </w:rPr>
        <w:t>，评价区域地下水环境质量良好。</w:t>
      </w:r>
    </w:p>
    <w:p>
      <w:pPr>
        <w:pStyle w:val="5"/>
      </w:pPr>
      <w:r>
        <w:t>环境空气质量现状</w:t>
      </w:r>
      <w:bookmarkEnd w:id="735"/>
      <w:r>
        <w:rPr>
          <w:rFonts w:hint="eastAsia"/>
        </w:rPr>
        <w:t>结论</w:t>
      </w:r>
    </w:p>
    <w:p>
      <w:pPr>
        <w:ind w:firstLine="486"/>
      </w:pPr>
      <w:bookmarkStart w:id="736" w:name="_Toc331536325"/>
      <w:r>
        <w:t>根据</w:t>
      </w:r>
      <w:r>
        <w:rPr>
          <w:snapToGrid w:val="0"/>
        </w:rPr>
        <w:t>江门市环境保护局网站上的《201</w:t>
      </w:r>
      <w:r>
        <w:rPr>
          <w:rFonts w:hint="eastAsia"/>
          <w:snapToGrid w:val="0"/>
        </w:rPr>
        <w:t>8</w:t>
      </w:r>
      <w:r>
        <w:rPr>
          <w:snapToGrid w:val="0"/>
        </w:rPr>
        <w:t>年江门市环境状况（公报）》中2018年度</w:t>
      </w:r>
      <w:r>
        <w:rPr>
          <w:rFonts w:hint="eastAsia"/>
          <w:snapToGrid w:val="0"/>
        </w:rPr>
        <w:t>开平</w:t>
      </w:r>
      <w:r>
        <w:rPr>
          <w:snapToGrid w:val="0"/>
        </w:rPr>
        <w:t>市空气质量监测数据</w:t>
      </w:r>
      <w:r>
        <w:t>，项目评价区内环境空气SO</w:t>
      </w:r>
      <w:r>
        <w:rPr>
          <w:vertAlign w:val="subscript"/>
        </w:rPr>
        <w:t>2</w:t>
      </w:r>
      <w:r>
        <w:t>、NO</w:t>
      </w:r>
      <w:r>
        <w:rPr>
          <w:vertAlign w:val="subscript"/>
        </w:rPr>
        <w:t>2</w:t>
      </w:r>
      <w:r>
        <w:t>、PM</w:t>
      </w:r>
      <w:r>
        <w:rPr>
          <w:vertAlign w:val="subscript"/>
        </w:rPr>
        <w:t>10</w:t>
      </w:r>
      <w:r>
        <w:t>、PM</w:t>
      </w:r>
      <w:r>
        <w:rPr>
          <w:vertAlign w:val="subscript"/>
        </w:rPr>
        <w:t>2.5</w:t>
      </w:r>
      <w:r>
        <w:t>、CO年平均值满足《环境空气质量标准》（GB3095-2012，2018年修改单）二级标准，O</w:t>
      </w:r>
      <w:r>
        <w:rPr>
          <w:vertAlign w:val="subscript"/>
        </w:rPr>
        <w:t>3</w:t>
      </w:r>
      <w:r>
        <w:rPr>
          <w:vertAlign w:val="superscript"/>
        </w:rPr>
        <w:t>-</w:t>
      </w:r>
      <w:r>
        <w:t>8h年平均值</w:t>
      </w:r>
      <w:r>
        <w:rPr>
          <w:rFonts w:hint="eastAsia"/>
        </w:rPr>
        <w:t>不</w:t>
      </w:r>
      <w:r>
        <w:t>满足《环境空气质量标准》（GB3095-2012，2018年修改单）二级标准</w:t>
      </w:r>
      <w:r>
        <w:rPr>
          <w:rFonts w:hint="eastAsia"/>
        </w:rPr>
        <w:t>。</w:t>
      </w:r>
      <w:r>
        <w:t>空气质量达标天数比例在87.3%，说明项目所在地周边环境空气质量现状一般。为切实改善</w:t>
      </w:r>
      <w:r>
        <w:rPr>
          <w:rFonts w:hint="eastAsia"/>
        </w:rPr>
        <w:t>开平</w:t>
      </w:r>
      <w:r>
        <w:t>市环境空气质量，大气污染防治强化措施主要有工业源治理、移动源治理、面源治理、加强监管执法、污染天气应对和保障措施，预计“到2020年，主要污染物排放持续下降，环境空气质量持续改善，全面稳定达到国家空气质量二级标准”。</w:t>
      </w:r>
    </w:p>
    <w:p>
      <w:pPr>
        <w:ind w:firstLine="486"/>
        <w:rPr>
          <w:rFonts w:eastAsiaTheme="minorEastAsia"/>
        </w:rPr>
      </w:pPr>
      <w:r>
        <w:rPr>
          <w:rFonts w:hint="eastAsia" w:eastAsiaTheme="minorEastAsia"/>
        </w:rPr>
        <w:t>补充</w:t>
      </w:r>
      <w:r>
        <w:rPr>
          <w:rFonts w:eastAsiaTheme="minorEastAsia"/>
        </w:rPr>
        <w:t>监测结果表明</w:t>
      </w:r>
      <w:r>
        <w:rPr>
          <w:rFonts w:hint="eastAsia" w:eastAsiaTheme="minorEastAsia"/>
        </w:rPr>
        <w:t>：</w:t>
      </w:r>
    </w:p>
    <w:p>
      <w:pPr>
        <w:ind w:firstLine="486"/>
        <w:rPr>
          <w:rFonts w:eastAsiaTheme="minorEastAsia"/>
        </w:rPr>
      </w:pPr>
      <w:r>
        <w:rPr>
          <w:rFonts w:hint="eastAsia" w:eastAsiaTheme="minorEastAsia"/>
        </w:rPr>
        <w:t>评价区各监测点</w:t>
      </w:r>
      <w:r>
        <w:rPr>
          <w:rFonts w:eastAsiaTheme="minorEastAsia"/>
        </w:rPr>
        <w:t>H</w:t>
      </w:r>
      <w:r>
        <w:rPr>
          <w:rFonts w:eastAsiaTheme="minorEastAsia"/>
          <w:vertAlign w:val="subscript"/>
        </w:rPr>
        <w:t>2</w:t>
      </w:r>
      <w:r>
        <w:rPr>
          <w:rFonts w:eastAsiaTheme="minorEastAsia"/>
        </w:rPr>
        <w:t>S</w:t>
      </w:r>
      <w:r>
        <w:rPr>
          <w:rFonts w:hint="eastAsia" w:eastAsiaTheme="minorEastAsia"/>
        </w:rPr>
        <w:t>均未检出，能够满足《环境影响评价技术导则 大气环境》（HJ 2.2-2018）附录D有关标准；</w:t>
      </w:r>
    </w:p>
    <w:p>
      <w:pPr>
        <w:ind w:firstLine="486"/>
        <w:rPr>
          <w:rFonts w:cs="Times New Roman" w:eastAsiaTheme="minorEastAsia"/>
          <w:bCs/>
        </w:rPr>
      </w:pPr>
      <w:r>
        <w:rPr>
          <w:rFonts w:hint="eastAsia" w:eastAsiaTheme="minorEastAsia"/>
        </w:rPr>
        <w:t>评价区各</w:t>
      </w:r>
      <w:r>
        <w:rPr>
          <w:rFonts w:cs="Times New Roman" w:eastAsiaTheme="minorEastAsia"/>
          <w:bCs/>
        </w:rPr>
        <w:t>监测点非甲烷总烃小时平均浓度均＜0.2mg/m</w:t>
      </w:r>
      <w:r>
        <w:rPr>
          <w:rFonts w:cs="Times New Roman" w:eastAsiaTheme="minorEastAsia"/>
          <w:bCs/>
          <w:vertAlign w:val="superscript"/>
        </w:rPr>
        <w:t>3</w:t>
      </w:r>
      <w:r>
        <w:rPr>
          <w:rFonts w:cs="Times New Roman" w:eastAsiaTheme="minorEastAsia"/>
          <w:bCs/>
        </w:rPr>
        <w:t>，</w:t>
      </w:r>
      <w:r>
        <w:rPr>
          <w:rFonts w:hint="eastAsia" w:cs="Times New Roman" w:eastAsiaTheme="minorEastAsia"/>
          <w:bCs/>
        </w:rPr>
        <w:t>满足</w:t>
      </w:r>
      <w:r>
        <w:rPr>
          <w:rFonts w:cs="Times New Roman" w:eastAsiaTheme="minorEastAsia"/>
          <w:bCs/>
        </w:rPr>
        <w:t>原国家环境保护</w:t>
      </w:r>
      <w:r>
        <w:rPr>
          <w:rFonts w:hint="eastAsia" w:cs="Times New Roman" w:eastAsiaTheme="minorEastAsia"/>
          <w:bCs/>
        </w:rPr>
        <w:t>总</w:t>
      </w:r>
      <w:r>
        <w:rPr>
          <w:rFonts w:cs="Times New Roman" w:eastAsiaTheme="minorEastAsia"/>
          <w:bCs/>
        </w:rPr>
        <w:t>局科技标准司</w:t>
      </w:r>
      <w:r>
        <w:rPr>
          <w:rFonts w:hint="eastAsia" w:cs="Times New Roman" w:eastAsiaTheme="minorEastAsia"/>
          <w:bCs/>
        </w:rPr>
        <w:t>编制</w:t>
      </w:r>
      <w:r>
        <w:rPr>
          <w:rFonts w:cs="Times New Roman" w:eastAsiaTheme="minorEastAsia"/>
          <w:bCs/>
        </w:rPr>
        <w:t>的《大气污染物综合排放标准详解》</w:t>
      </w:r>
      <w:r>
        <w:rPr>
          <w:rFonts w:hint="eastAsia" w:cs="Times New Roman" w:eastAsiaTheme="minorEastAsia"/>
          <w:bCs/>
        </w:rPr>
        <w:t>（中国环境科学出版社出版）推荐限值</w:t>
      </w:r>
      <w:r>
        <w:rPr>
          <w:rFonts w:cs="Times New Roman" w:eastAsiaTheme="minorEastAsia"/>
          <w:bCs/>
        </w:rPr>
        <w:t>；</w:t>
      </w:r>
    </w:p>
    <w:p>
      <w:pPr>
        <w:ind w:firstLine="486"/>
        <w:rPr>
          <w:rFonts w:cs="Times New Roman" w:eastAsiaTheme="minorEastAsia"/>
          <w:bCs/>
        </w:rPr>
      </w:pPr>
      <w:r>
        <w:rPr>
          <w:rFonts w:hint="eastAsia" w:eastAsiaTheme="minorEastAsia"/>
        </w:rPr>
        <w:t>评价区</w:t>
      </w:r>
      <w:r>
        <w:rPr>
          <w:rFonts w:hint="eastAsia" w:cs="Times New Roman" w:eastAsiaTheme="minorEastAsia"/>
          <w:bCs/>
        </w:rPr>
        <w:t>各监测点</w:t>
      </w:r>
      <w:r>
        <w:rPr>
          <w:rFonts w:cs="Times New Roman" w:eastAsiaTheme="minorEastAsia"/>
          <w:bCs/>
        </w:rPr>
        <w:t>TVOC</w:t>
      </w:r>
      <w:r>
        <w:rPr>
          <w:rFonts w:hint="eastAsia" w:cs="Times New Roman" w:eastAsiaTheme="minorEastAsia"/>
          <w:bCs/>
        </w:rPr>
        <w:t>的</w:t>
      </w:r>
      <w:r>
        <w:rPr>
          <w:rFonts w:cs="Times New Roman" w:eastAsiaTheme="minorEastAsia"/>
          <w:bCs/>
        </w:rPr>
        <w:t>8小时平均浓度均低于</w:t>
      </w:r>
      <w:r>
        <w:rPr>
          <w:rFonts w:hint="eastAsia" w:cs="Times New Roman" w:eastAsiaTheme="minorEastAsia"/>
          <w:bCs/>
        </w:rPr>
        <w:t>《环境影响评价技术导则 大气环境》（HJ 2.2-2018）附录D有关标准。</w:t>
      </w:r>
    </w:p>
    <w:p>
      <w:pPr>
        <w:ind w:firstLine="486"/>
        <w:rPr>
          <w:rFonts w:cs="Times New Roman" w:eastAsiaTheme="minorEastAsia"/>
          <w:bCs/>
        </w:rPr>
      </w:pPr>
      <w:r>
        <w:rPr>
          <w:rFonts w:hint="eastAsia" w:eastAsiaTheme="minorEastAsia"/>
        </w:rPr>
        <w:t>评价区</w:t>
      </w:r>
      <w:r>
        <w:rPr>
          <w:rFonts w:hint="eastAsia" w:cs="Times New Roman" w:eastAsiaTheme="minorEastAsia"/>
          <w:bCs/>
        </w:rPr>
        <w:t>各监测点恶臭浓度的一次浓度监测值均&lt;</w:t>
      </w:r>
      <w:r>
        <w:rPr>
          <w:rFonts w:cs="Times New Roman" w:eastAsiaTheme="minorEastAsia"/>
          <w:bCs/>
        </w:rPr>
        <w:t>20</w:t>
      </w:r>
      <w:r>
        <w:rPr>
          <w:rFonts w:hint="eastAsia" w:cs="Times New Roman" w:eastAsiaTheme="minorEastAsia"/>
          <w:bCs/>
        </w:rPr>
        <w:t>（无量纲），满足《恶臭污染物排放标准》（GB</w:t>
      </w:r>
      <w:r>
        <w:rPr>
          <w:rFonts w:cs="Times New Roman" w:eastAsiaTheme="minorEastAsia"/>
          <w:bCs/>
        </w:rPr>
        <w:t xml:space="preserve"> </w:t>
      </w:r>
      <w:r>
        <w:rPr>
          <w:rFonts w:hint="eastAsia" w:cs="Times New Roman" w:eastAsiaTheme="minorEastAsia"/>
          <w:bCs/>
        </w:rPr>
        <w:t>14554-93）表1二级新扩改建标准。</w:t>
      </w:r>
    </w:p>
    <w:p>
      <w:pPr>
        <w:ind w:firstLine="486"/>
        <w:rPr>
          <w:rFonts w:eastAsiaTheme="minorEastAsia"/>
        </w:rPr>
      </w:pPr>
      <w:r>
        <w:rPr>
          <w:rFonts w:hint="eastAsia" w:eastAsiaTheme="minorEastAsia"/>
        </w:rPr>
        <w:t>综上所述，本项目所在区域的环境空气质量较好。</w:t>
      </w:r>
    </w:p>
    <w:p>
      <w:pPr>
        <w:pStyle w:val="5"/>
      </w:pPr>
      <w:r>
        <w:t>声环境</w:t>
      </w:r>
      <w:r>
        <w:rPr>
          <w:rFonts w:hint="eastAsia"/>
        </w:rPr>
        <w:t>质量</w:t>
      </w:r>
      <w:r>
        <w:t>现状</w:t>
      </w:r>
      <w:bookmarkEnd w:id="736"/>
      <w:r>
        <w:rPr>
          <w:rFonts w:hint="eastAsia"/>
        </w:rPr>
        <w:t>结论</w:t>
      </w:r>
    </w:p>
    <w:p>
      <w:pPr>
        <w:ind w:firstLine="486"/>
        <w:rPr>
          <w:rFonts w:eastAsiaTheme="minorEastAsia"/>
          <w:color w:val="000000" w:themeColor="text1"/>
          <w14:textFill>
            <w14:solidFill>
              <w14:schemeClr w14:val="tx1"/>
            </w14:solidFill>
          </w14:textFill>
        </w:rPr>
      </w:pPr>
      <w:bookmarkStart w:id="737" w:name="_Toc331536326"/>
      <w:bookmarkStart w:id="738" w:name="_Toc329784261"/>
      <w:r>
        <w:rPr>
          <w:rFonts w:hint="eastAsia" w:eastAsiaTheme="minorEastAsia"/>
          <w:color w:val="000000" w:themeColor="text1"/>
          <w14:textFill>
            <w14:solidFill>
              <w14:schemeClr w14:val="tx1"/>
            </w14:solidFill>
          </w14:textFill>
        </w:rPr>
        <w:t>由噪声实测结果可知，</w:t>
      </w:r>
      <w:r>
        <w:rPr>
          <w:rStyle w:val="63"/>
          <w:rFonts w:hint="eastAsia"/>
          <w:color w:val="000000" w:themeColor="text1"/>
          <w14:textFill>
            <w14:solidFill>
              <w14:schemeClr w14:val="tx1"/>
            </w14:solidFill>
          </w14:textFill>
        </w:rPr>
        <w:t>项目正常运行工况下</w:t>
      </w:r>
      <w:r>
        <w:rPr>
          <w:rFonts w:hint="eastAsia" w:eastAsiaTheme="minorEastAsia"/>
          <w:color w:val="000000" w:themeColor="text1"/>
          <w14:textFill>
            <w14:solidFill>
              <w14:schemeClr w14:val="tx1"/>
            </w14:solidFill>
          </w14:textFill>
        </w:rPr>
        <w:t>厂界</w:t>
      </w:r>
      <w:r>
        <w:rPr>
          <w:rFonts w:cs="Times New Roman" w:eastAsiaTheme="minorEastAsia"/>
          <w:color w:val="000000" w:themeColor="text1"/>
          <w14:textFill>
            <w14:solidFill>
              <w14:schemeClr w14:val="tx1"/>
            </w14:solidFill>
          </w14:textFill>
        </w:rPr>
        <w:t>各监测点位</w:t>
      </w:r>
      <w:r>
        <w:rPr>
          <w:rFonts w:hint="eastAsia" w:eastAsiaTheme="minorEastAsia"/>
          <w:color w:val="000000" w:themeColor="text1"/>
          <w14:textFill>
            <w14:solidFill>
              <w14:schemeClr w14:val="tx1"/>
            </w14:solidFill>
          </w14:textFill>
        </w:rPr>
        <w:t>的</w:t>
      </w:r>
      <w:r>
        <w:rPr>
          <w:rFonts w:cs="Times New Roman" w:eastAsiaTheme="minorEastAsia"/>
          <w:color w:val="000000" w:themeColor="text1"/>
          <w14:textFill>
            <w14:solidFill>
              <w14:schemeClr w14:val="tx1"/>
            </w14:solidFill>
          </w14:textFill>
        </w:rPr>
        <w:t>昼间</w:t>
      </w:r>
      <w:r>
        <w:rPr>
          <w:rFonts w:hint="eastAsia" w:cs="Times New Roman" w:eastAsiaTheme="minorEastAsia"/>
          <w:color w:val="000000" w:themeColor="text1"/>
          <w14:textFill>
            <w14:solidFill>
              <w14:schemeClr w14:val="tx1"/>
            </w14:solidFill>
          </w14:textFill>
        </w:rPr>
        <w:t>、夜间</w:t>
      </w:r>
      <w:r>
        <w:rPr>
          <w:rFonts w:hint="eastAsia" w:eastAsiaTheme="minorEastAsia"/>
          <w:color w:val="000000" w:themeColor="text1"/>
          <w14:textFill>
            <w14:solidFill>
              <w14:schemeClr w14:val="tx1"/>
            </w14:solidFill>
          </w14:textFill>
        </w:rPr>
        <w:t>现状噪声监测值达到《声环境质量标准》（GB</w:t>
      </w:r>
      <w:r>
        <w:rPr>
          <w:rFonts w:eastAsiaTheme="minorEastAsia"/>
          <w:color w:val="000000" w:themeColor="text1"/>
          <w14:textFill>
            <w14:solidFill>
              <w14:schemeClr w14:val="tx1"/>
            </w14:solidFill>
          </w14:textFill>
        </w:rPr>
        <w:t xml:space="preserve"> </w:t>
      </w:r>
      <w:r>
        <w:rPr>
          <w:rFonts w:hint="eastAsia" w:eastAsiaTheme="minorEastAsia"/>
          <w:color w:val="000000" w:themeColor="text1"/>
          <w14:textFill>
            <w14:solidFill>
              <w14:schemeClr w14:val="tx1"/>
            </w14:solidFill>
          </w14:textFill>
        </w:rPr>
        <w:t>3096-2008）2类标准。表明项目所在地声环境质量现状良好</w:t>
      </w:r>
      <w:r>
        <w:rPr>
          <w:rStyle w:val="63"/>
          <w:rFonts w:hint="eastAsia"/>
          <w:color w:val="000000" w:themeColor="text1"/>
          <w14:textFill>
            <w14:solidFill>
              <w14:schemeClr w14:val="tx1"/>
            </w14:solidFill>
          </w14:textFill>
        </w:rPr>
        <w:t>，项目正常工况运行时厂界噪声贡献值可满足《工业企业厂界环境噪声排放标准》（GB 12348-2008）中2类区标准。</w:t>
      </w:r>
    </w:p>
    <w:p>
      <w:pPr>
        <w:pStyle w:val="5"/>
        <w:rPr>
          <w:rStyle w:val="63"/>
          <w:color w:val="000000" w:themeColor="text1"/>
          <w14:textFill>
            <w14:solidFill>
              <w14:schemeClr w14:val="tx1"/>
            </w14:solidFill>
          </w14:textFill>
        </w:rPr>
      </w:pPr>
      <w:r>
        <w:rPr>
          <w:rStyle w:val="63"/>
          <w:color w:val="000000" w:themeColor="text1"/>
          <w14:textFill>
            <w14:solidFill>
              <w14:schemeClr w14:val="tx1"/>
            </w14:solidFill>
          </w14:textFill>
        </w:rPr>
        <w:t>土壤环境</w:t>
      </w:r>
      <w:r>
        <w:rPr>
          <w:rStyle w:val="63"/>
          <w:rFonts w:hint="eastAsia"/>
          <w:color w:val="000000" w:themeColor="text1"/>
          <w14:textFill>
            <w14:solidFill>
              <w14:schemeClr w14:val="tx1"/>
            </w14:solidFill>
          </w14:textFill>
        </w:rPr>
        <w:t>质量现状结论</w:t>
      </w:r>
    </w:p>
    <w:p>
      <w:pPr>
        <w:ind w:firstLine="486"/>
        <w:rPr>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土壤环境质量现状结果表明，厂区内S1监测点位中各污染物含量低于《土壤环境质量 建设用地土壤污染风险管控标准（试行）》（GB</w:t>
      </w:r>
      <w:r>
        <w:rPr>
          <w:rStyle w:val="63"/>
          <w:color w:val="000000" w:themeColor="text1"/>
          <w14:textFill>
            <w14:solidFill>
              <w14:schemeClr w14:val="tx1"/>
            </w14:solidFill>
          </w14:textFill>
        </w:rPr>
        <w:t xml:space="preserve"> </w:t>
      </w:r>
      <w:r>
        <w:rPr>
          <w:rStyle w:val="63"/>
          <w:rFonts w:hint="eastAsia"/>
          <w:color w:val="000000" w:themeColor="text1"/>
          <w14:textFill>
            <w14:solidFill>
              <w14:schemeClr w14:val="tx1"/>
            </w14:solidFill>
          </w14:textFill>
        </w:rPr>
        <w:t>36600—2018）中的第二类用地风险筛选值（无相应风险管控标准值的污染物不进行评价），土壤污染风险一般情况下可以忽略。</w:t>
      </w:r>
    </w:p>
    <w:p>
      <w:pPr>
        <w:pStyle w:val="4"/>
      </w:pPr>
      <w:bookmarkStart w:id="739" w:name="_Toc3538827"/>
      <w:r>
        <w:rPr>
          <w:rFonts w:hint="eastAsia"/>
        </w:rPr>
        <w:t>污染物排放情况</w:t>
      </w:r>
      <w:bookmarkEnd w:id="739"/>
    </w:p>
    <w:p>
      <w:pPr>
        <w:ind w:firstLine="486"/>
        <w:rPr>
          <w:rFonts w:eastAsiaTheme="minorEastAsia"/>
        </w:rPr>
      </w:pPr>
      <w:r>
        <w:rPr>
          <w:rFonts w:hint="eastAsia" w:eastAsiaTheme="minorEastAsia"/>
        </w:rPr>
        <w:t>本项目污染物产生、削减、排放状况汇总如</w:t>
      </w:r>
      <w:r>
        <w:rPr>
          <w:rFonts w:eastAsiaTheme="minorEastAsia"/>
          <w:color w:val="000000" w:themeColor="text1"/>
          <w14:textFill>
            <w14:solidFill>
              <w14:schemeClr w14:val="tx1"/>
            </w14:solidFill>
          </w14:textFill>
        </w:rPr>
        <w:fldChar w:fldCharType="begin"/>
      </w:r>
      <w:r>
        <w:rPr>
          <w:rFonts w:eastAsiaTheme="minorEastAsia"/>
          <w:color w:val="000000" w:themeColor="text1"/>
          <w14:textFill>
            <w14:solidFill>
              <w14:schemeClr w14:val="tx1"/>
            </w14:solidFill>
          </w14:textFill>
        </w:rPr>
        <w:instrText xml:space="preserve"> </w:instrText>
      </w:r>
      <w:r>
        <w:rPr>
          <w:rFonts w:hint="eastAsia" w:eastAsiaTheme="minorEastAsia"/>
          <w:color w:val="000000" w:themeColor="text1"/>
          <w14:textFill>
            <w14:solidFill>
              <w14:schemeClr w14:val="tx1"/>
            </w14:solidFill>
          </w14:textFill>
        </w:rPr>
        <w:instrText xml:space="preserve">REF _Ref530343778 \h</w:instrText>
      </w:r>
      <w:r>
        <w:rPr>
          <w:rFonts w:eastAsiaTheme="minorEastAsia"/>
          <w:color w:val="000000" w:themeColor="text1"/>
          <w14:textFill>
            <w14:solidFill>
              <w14:schemeClr w14:val="tx1"/>
            </w14:solidFill>
          </w14:textFill>
        </w:rPr>
        <w:instrText xml:space="preserve"> </w:instrText>
      </w:r>
      <w:r>
        <w:rPr>
          <w:rFonts w:eastAsiaTheme="minorEastAsia"/>
          <w:color w:val="000000" w:themeColor="text1"/>
          <w14:textFill>
            <w14:solidFill>
              <w14:schemeClr w14:val="tx1"/>
            </w14:solidFill>
          </w14:textFill>
        </w:rPr>
        <w:fldChar w:fldCharType="separate"/>
      </w:r>
      <w:r>
        <w:rPr>
          <w:rStyle w:val="63"/>
          <w:rFonts w:hint="eastAsia"/>
          <w:color w:val="000000" w:themeColor="text1"/>
          <w14:textFill>
            <w14:solidFill>
              <w14:schemeClr w14:val="tx1"/>
            </w14:solidFill>
          </w14:textFill>
        </w:rPr>
        <w:t xml:space="preserve">表 </w:t>
      </w:r>
      <w:r>
        <w:rPr>
          <w:rStyle w:val="63"/>
          <w:color w:val="000000" w:themeColor="text1"/>
          <w14:textFill>
            <w14:solidFill>
              <w14:schemeClr w14:val="tx1"/>
            </w14:solidFill>
          </w14:textFill>
        </w:rPr>
        <w:t>2.9</w:t>
      </w:r>
      <w:r>
        <w:rPr>
          <w:rStyle w:val="63"/>
          <w:color w:val="000000" w:themeColor="text1"/>
          <w14:textFill>
            <w14:solidFill>
              <w14:schemeClr w14:val="tx1"/>
            </w14:solidFill>
          </w14:textFill>
        </w:rPr>
        <w:noBreakHyphen/>
      </w:r>
      <w:r>
        <w:rPr>
          <w:rStyle w:val="63"/>
          <w:color w:val="000000" w:themeColor="text1"/>
          <w14:textFill>
            <w14:solidFill>
              <w14:schemeClr w14:val="tx1"/>
            </w14:solidFill>
          </w14:textFill>
        </w:rPr>
        <w:t>2</w:t>
      </w:r>
      <w:r>
        <w:rPr>
          <w:rFonts w:eastAsiaTheme="minorEastAsia"/>
          <w:color w:val="000000" w:themeColor="text1"/>
          <w14:textFill>
            <w14:solidFill>
              <w14:schemeClr w14:val="tx1"/>
            </w14:solidFill>
          </w14:textFill>
        </w:rPr>
        <w:fldChar w:fldCharType="end"/>
      </w:r>
      <w:r>
        <w:rPr>
          <w:rFonts w:hint="eastAsia" w:eastAsiaTheme="minorEastAsia"/>
        </w:rPr>
        <w:t>所示。</w:t>
      </w:r>
    </w:p>
    <w:p>
      <w:pPr>
        <w:pStyle w:val="18"/>
      </w:pPr>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8.3</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t xml:space="preserve"> </w:t>
      </w:r>
      <w:r>
        <w:rPr>
          <w:rFonts w:hint="eastAsia"/>
        </w:rPr>
        <w:t>项目污染物产生及排放情况汇总表</w:t>
      </w:r>
    </w:p>
    <w:tbl>
      <w:tblPr>
        <w:tblStyle w:val="56"/>
        <w:tblW w:w="9050" w:type="dxa"/>
        <w:tblInd w:w="0" w:type="dxa"/>
        <w:tblLayout w:type="fixed"/>
        <w:tblCellMar>
          <w:top w:w="0" w:type="dxa"/>
          <w:left w:w="108" w:type="dxa"/>
          <w:bottom w:w="0" w:type="dxa"/>
          <w:right w:w="108" w:type="dxa"/>
        </w:tblCellMar>
      </w:tblPr>
      <w:tblGrid>
        <w:gridCol w:w="851"/>
        <w:gridCol w:w="1383"/>
        <w:gridCol w:w="1553"/>
        <w:gridCol w:w="867"/>
        <w:gridCol w:w="1381"/>
        <w:gridCol w:w="1725"/>
        <w:gridCol w:w="1272"/>
        <w:gridCol w:w="18"/>
      </w:tblGrid>
      <w:tr>
        <w:tblPrEx>
          <w:tblLayout w:type="fixed"/>
          <w:tblCellMar>
            <w:top w:w="0" w:type="dxa"/>
            <w:left w:w="108" w:type="dxa"/>
            <w:bottom w:w="0" w:type="dxa"/>
            <w:right w:w="108" w:type="dxa"/>
          </w:tblCellMar>
        </w:tblPrEx>
        <w:trPr>
          <w:gridAfter w:val="1"/>
          <w:wAfter w:w="18" w:type="dxa"/>
          <w:trHeight w:val="20" w:hRule="atLeast"/>
          <w:tblHeader/>
        </w:trPr>
        <w:tc>
          <w:tcPr>
            <w:tcW w:w="851" w:type="dxa"/>
            <w:tcBorders>
              <w:top w:val="single" w:color="auto" w:sz="8" w:space="0"/>
              <w:left w:val="single" w:color="auto" w:sz="8" w:space="0"/>
              <w:bottom w:val="single" w:color="auto" w:sz="8" w:space="0"/>
              <w:right w:val="single" w:color="auto" w:sz="8" w:space="0"/>
            </w:tcBorders>
            <w:shd w:val="clear" w:color="auto" w:fill="D8D8D8" w:themeFill="background1" w:themeFillShade="D9"/>
            <w:vAlign w:val="center"/>
          </w:tcPr>
          <w:p>
            <w:pPr>
              <w:pStyle w:val="107"/>
              <w:rPr>
                <w:b/>
              </w:rPr>
            </w:pPr>
            <w:r>
              <w:rPr>
                <w:rFonts w:hint="eastAsia"/>
                <w:b/>
              </w:rPr>
              <w:t>类别</w:t>
            </w:r>
          </w:p>
        </w:tc>
        <w:tc>
          <w:tcPr>
            <w:tcW w:w="2936" w:type="dxa"/>
            <w:gridSpan w:val="2"/>
            <w:tcBorders>
              <w:top w:val="single" w:color="auto" w:sz="8" w:space="0"/>
              <w:left w:val="nil"/>
              <w:bottom w:val="nil"/>
              <w:right w:val="single" w:color="000000" w:sz="8" w:space="0"/>
            </w:tcBorders>
            <w:shd w:val="clear" w:color="auto" w:fill="D8D8D8" w:themeFill="background1" w:themeFillShade="D9"/>
            <w:vAlign w:val="center"/>
          </w:tcPr>
          <w:p>
            <w:pPr>
              <w:pStyle w:val="107"/>
              <w:rPr>
                <w:b/>
              </w:rPr>
            </w:pPr>
            <w:r>
              <w:rPr>
                <w:rFonts w:hint="eastAsia"/>
                <w:b/>
              </w:rPr>
              <w:t>主要污染物</w:t>
            </w:r>
          </w:p>
        </w:tc>
        <w:tc>
          <w:tcPr>
            <w:tcW w:w="867" w:type="dxa"/>
            <w:tcBorders>
              <w:top w:val="single" w:color="auto" w:sz="8" w:space="0"/>
              <w:left w:val="nil"/>
              <w:bottom w:val="nil"/>
              <w:right w:val="single" w:color="auto" w:sz="8" w:space="0"/>
            </w:tcBorders>
            <w:shd w:val="clear" w:color="auto" w:fill="D8D8D8" w:themeFill="background1" w:themeFillShade="D9"/>
            <w:vAlign w:val="center"/>
          </w:tcPr>
          <w:p>
            <w:pPr>
              <w:pStyle w:val="107"/>
              <w:rPr>
                <w:b/>
              </w:rPr>
            </w:pPr>
            <w:r>
              <w:rPr>
                <w:rFonts w:hint="eastAsia"/>
                <w:b/>
              </w:rPr>
              <w:t>单位</w:t>
            </w:r>
          </w:p>
        </w:tc>
        <w:tc>
          <w:tcPr>
            <w:tcW w:w="1381" w:type="dxa"/>
            <w:tcBorders>
              <w:top w:val="single" w:color="auto" w:sz="8" w:space="0"/>
              <w:left w:val="nil"/>
              <w:bottom w:val="nil"/>
              <w:right w:val="single" w:color="auto" w:sz="8" w:space="0"/>
            </w:tcBorders>
            <w:shd w:val="clear" w:color="auto" w:fill="D8D8D8" w:themeFill="background1" w:themeFillShade="D9"/>
            <w:vAlign w:val="center"/>
          </w:tcPr>
          <w:p>
            <w:pPr>
              <w:pStyle w:val="107"/>
              <w:rPr>
                <w:b/>
              </w:rPr>
            </w:pPr>
            <w:r>
              <w:rPr>
                <w:rFonts w:hint="eastAsia"/>
                <w:b/>
              </w:rPr>
              <w:t>产生量</w:t>
            </w:r>
          </w:p>
        </w:tc>
        <w:tc>
          <w:tcPr>
            <w:tcW w:w="1725" w:type="dxa"/>
            <w:tcBorders>
              <w:top w:val="single" w:color="auto" w:sz="8" w:space="0"/>
              <w:left w:val="nil"/>
              <w:bottom w:val="nil"/>
              <w:right w:val="single" w:color="auto" w:sz="8" w:space="0"/>
            </w:tcBorders>
            <w:shd w:val="clear" w:color="auto" w:fill="D8D8D8" w:themeFill="background1" w:themeFillShade="D9"/>
            <w:vAlign w:val="center"/>
          </w:tcPr>
          <w:p>
            <w:pPr>
              <w:pStyle w:val="107"/>
              <w:rPr>
                <w:b/>
              </w:rPr>
            </w:pPr>
            <w:r>
              <w:rPr>
                <w:rFonts w:hint="eastAsia"/>
                <w:b/>
              </w:rPr>
              <w:t>削减量</w:t>
            </w:r>
          </w:p>
        </w:tc>
        <w:tc>
          <w:tcPr>
            <w:tcW w:w="1272" w:type="dxa"/>
            <w:tcBorders>
              <w:top w:val="single" w:color="auto" w:sz="8" w:space="0"/>
              <w:left w:val="nil"/>
              <w:bottom w:val="nil"/>
              <w:right w:val="single" w:color="auto" w:sz="8" w:space="0"/>
            </w:tcBorders>
            <w:shd w:val="clear" w:color="auto" w:fill="D8D8D8" w:themeFill="background1" w:themeFillShade="D9"/>
            <w:vAlign w:val="center"/>
          </w:tcPr>
          <w:p>
            <w:pPr>
              <w:pStyle w:val="107"/>
              <w:rPr>
                <w:b/>
              </w:rPr>
            </w:pPr>
            <w:r>
              <w:rPr>
                <w:rFonts w:hint="eastAsia"/>
                <w:b/>
              </w:rPr>
              <w:t>排放量</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restart"/>
            <w:tcBorders>
              <w:top w:val="nil"/>
              <w:left w:val="single" w:color="auto" w:sz="8" w:space="0"/>
              <w:right w:val="nil"/>
            </w:tcBorders>
            <w:shd w:val="clear" w:color="auto" w:fill="auto"/>
            <w:vAlign w:val="center"/>
          </w:tcPr>
          <w:p>
            <w:pPr>
              <w:pStyle w:val="107"/>
            </w:pPr>
            <w:r>
              <w:rPr>
                <w:rFonts w:hint="eastAsia"/>
              </w:rPr>
              <w:t>废水</w:t>
            </w:r>
          </w:p>
        </w:tc>
        <w:tc>
          <w:tcPr>
            <w:tcW w:w="138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生活污水</w:t>
            </w:r>
          </w:p>
        </w:tc>
        <w:tc>
          <w:tcPr>
            <w:tcW w:w="1553"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废水量</w:t>
            </w:r>
          </w:p>
        </w:tc>
        <w:tc>
          <w:tcPr>
            <w:tcW w:w="867" w:type="dxa"/>
            <w:tcBorders>
              <w:top w:val="single" w:color="auto" w:sz="4" w:space="0"/>
              <w:left w:val="nil"/>
              <w:bottom w:val="single" w:color="auto" w:sz="4" w:space="0"/>
              <w:right w:val="single" w:color="auto" w:sz="4" w:space="0"/>
            </w:tcBorders>
            <w:shd w:val="clear" w:color="auto" w:fill="auto"/>
            <w:vAlign w:val="center"/>
          </w:tcPr>
          <w:p>
            <w:pPr>
              <w:pStyle w:val="107"/>
            </w:pPr>
            <w:r>
              <w:rPr>
                <w:rFonts w:eastAsia="等线" w:cs="Arial"/>
              </w:rPr>
              <w:t>m</w:t>
            </w:r>
            <w:r>
              <w:rPr>
                <w:rFonts w:eastAsia="等线" w:cs="Arial"/>
                <w:vertAlign w:val="superscript"/>
              </w:rPr>
              <w:t xml:space="preserve">3 </w:t>
            </w:r>
            <w:r>
              <w:rPr>
                <w:rFonts w:eastAsia="等线" w:cs="Arial"/>
              </w:rPr>
              <w:t>/a</w:t>
            </w:r>
          </w:p>
        </w:tc>
        <w:tc>
          <w:tcPr>
            <w:tcW w:w="1381" w:type="dxa"/>
            <w:tcBorders>
              <w:top w:val="single" w:color="auto" w:sz="4" w:space="0"/>
              <w:left w:val="nil"/>
              <w:bottom w:val="single" w:color="auto" w:sz="4" w:space="0"/>
              <w:right w:val="single" w:color="auto" w:sz="4" w:space="0"/>
            </w:tcBorders>
            <w:shd w:val="clear" w:color="auto" w:fill="auto"/>
            <w:vAlign w:val="center"/>
          </w:tcPr>
          <w:p>
            <w:pPr>
              <w:pStyle w:val="107"/>
            </w:pPr>
            <w:r>
              <w:t>324</w:t>
            </w:r>
          </w:p>
        </w:tc>
        <w:tc>
          <w:tcPr>
            <w:tcW w:w="1725" w:type="dxa"/>
            <w:tcBorders>
              <w:top w:val="single" w:color="auto" w:sz="4" w:space="0"/>
              <w:left w:val="nil"/>
              <w:bottom w:val="single" w:color="auto" w:sz="4" w:space="0"/>
              <w:right w:val="single" w:color="auto" w:sz="4" w:space="0"/>
            </w:tcBorders>
            <w:shd w:val="clear" w:color="auto" w:fill="auto"/>
            <w:vAlign w:val="bottom"/>
          </w:tcPr>
          <w:p>
            <w:pPr>
              <w:pStyle w:val="107"/>
            </w:pPr>
            <w:r>
              <w:rPr>
                <w:rFonts w:hint="eastAsia"/>
              </w:rPr>
              <w:t>0</w:t>
            </w:r>
          </w:p>
        </w:tc>
        <w:tc>
          <w:tcPr>
            <w:tcW w:w="1272" w:type="dxa"/>
            <w:tcBorders>
              <w:top w:val="single" w:color="auto" w:sz="4" w:space="0"/>
              <w:left w:val="nil"/>
              <w:bottom w:val="single" w:color="auto" w:sz="4" w:space="0"/>
              <w:right w:val="single" w:color="auto" w:sz="4" w:space="0"/>
            </w:tcBorders>
            <w:shd w:val="clear" w:color="auto" w:fill="auto"/>
            <w:vAlign w:val="center"/>
          </w:tcPr>
          <w:p>
            <w:pPr>
              <w:pStyle w:val="107"/>
            </w:pPr>
            <w:r>
              <w:t>324</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left w:val="single" w:color="auto" w:sz="8" w:space="0"/>
              <w:right w:val="nil"/>
            </w:tcBorders>
            <w:vAlign w:val="center"/>
          </w:tcPr>
          <w:p>
            <w:pPr>
              <w:pStyle w:val="107"/>
            </w:pPr>
          </w:p>
        </w:tc>
        <w:tc>
          <w:tcPr>
            <w:tcW w:w="1383"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COD</w:t>
            </w:r>
            <w:r>
              <w:rPr>
                <w:rFonts w:eastAsia="等线" w:cs="Arial"/>
                <w:vertAlign w:val="subscript"/>
              </w:rPr>
              <w:t>Cr</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pPr>
            <w:r>
              <w:t>0.081</w:t>
            </w:r>
          </w:p>
        </w:tc>
        <w:tc>
          <w:tcPr>
            <w:tcW w:w="1725" w:type="dxa"/>
            <w:tcBorders>
              <w:top w:val="nil"/>
              <w:left w:val="nil"/>
              <w:bottom w:val="single" w:color="auto" w:sz="4" w:space="0"/>
              <w:right w:val="single" w:color="auto" w:sz="4" w:space="0"/>
            </w:tcBorders>
            <w:shd w:val="clear" w:color="auto" w:fill="auto"/>
            <w:vAlign w:val="center"/>
          </w:tcPr>
          <w:p>
            <w:pPr>
              <w:pStyle w:val="107"/>
            </w:pPr>
            <w:r>
              <w:rPr>
                <w:rFonts w:ascii="Times New Roman" w:hAnsi="Times New Roman" w:eastAsia="等线" w:cs="Times New Roman"/>
                <w:color w:val="000000"/>
              </w:rPr>
              <w:t>0.008</w:t>
            </w:r>
          </w:p>
        </w:tc>
        <w:tc>
          <w:tcPr>
            <w:tcW w:w="1272" w:type="dxa"/>
            <w:tcBorders>
              <w:top w:val="nil"/>
              <w:left w:val="nil"/>
              <w:bottom w:val="single" w:color="auto" w:sz="4" w:space="0"/>
              <w:right w:val="single" w:color="auto" w:sz="4" w:space="0"/>
            </w:tcBorders>
            <w:shd w:val="clear" w:color="auto" w:fill="auto"/>
            <w:vAlign w:val="center"/>
          </w:tcPr>
          <w:p>
            <w:pPr>
              <w:pStyle w:val="107"/>
            </w:pPr>
            <w:r>
              <w:t>0.073</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left w:val="single" w:color="auto" w:sz="8" w:space="0"/>
              <w:right w:val="nil"/>
            </w:tcBorders>
            <w:vAlign w:val="center"/>
          </w:tcPr>
          <w:p>
            <w:pPr>
              <w:pStyle w:val="107"/>
            </w:pPr>
          </w:p>
        </w:tc>
        <w:tc>
          <w:tcPr>
            <w:tcW w:w="1383"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BOD</w:t>
            </w:r>
            <w:r>
              <w:rPr>
                <w:rFonts w:eastAsia="等线" w:cs="Arial"/>
                <w:vertAlign w:val="subscript"/>
              </w:rPr>
              <w:t>5</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pPr>
            <w:r>
              <w:t>0.039</w:t>
            </w:r>
          </w:p>
        </w:tc>
        <w:tc>
          <w:tcPr>
            <w:tcW w:w="1725" w:type="dxa"/>
            <w:tcBorders>
              <w:top w:val="nil"/>
              <w:left w:val="nil"/>
              <w:bottom w:val="single" w:color="auto" w:sz="4" w:space="0"/>
              <w:right w:val="single" w:color="auto" w:sz="4" w:space="0"/>
            </w:tcBorders>
            <w:shd w:val="clear" w:color="auto" w:fill="auto"/>
            <w:vAlign w:val="center"/>
          </w:tcPr>
          <w:p>
            <w:pPr>
              <w:pStyle w:val="107"/>
            </w:pPr>
            <w:r>
              <w:rPr>
                <w:rFonts w:ascii="Times New Roman" w:hAnsi="Times New Roman" w:eastAsia="等线" w:cs="Times New Roman"/>
                <w:color w:val="000000"/>
              </w:rPr>
              <w:t>0.013</w:t>
            </w:r>
          </w:p>
        </w:tc>
        <w:tc>
          <w:tcPr>
            <w:tcW w:w="1272" w:type="dxa"/>
            <w:tcBorders>
              <w:top w:val="nil"/>
              <w:left w:val="nil"/>
              <w:bottom w:val="single" w:color="auto" w:sz="4" w:space="0"/>
              <w:right w:val="single" w:color="auto" w:sz="4" w:space="0"/>
            </w:tcBorders>
            <w:shd w:val="clear" w:color="auto" w:fill="auto"/>
            <w:vAlign w:val="center"/>
          </w:tcPr>
          <w:p>
            <w:pPr>
              <w:pStyle w:val="107"/>
            </w:pPr>
            <w:r>
              <w:t>0.026</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left w:val="single" w:color="auto" w:sz="8" w:space="0"/>
              <w:right w:val="nil"/>
            </w:tcBorders>
            <w:vAlign w:val="center"/>
          </w:tcPr>
          <w:p>
            <w:pPr>
              <w:pStyle w:val="107"/>
            </w:pPr>
          </w:p>
        </w:tc>
        <w:tc>
          <w:tcPr>
            <w:tcW w:w="1383"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SS</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pPr>
            <w:r>
              <w:t>0.0648</w:t>
            </w:r>
          </w:p>
        </w:tc>
        <w:tc>
          <w:tcPr>
            <w:tcW w:w="1725" w:type="dxa"/>
            <w:tcBorders>
              <w:top w:val="nil"/>
              <w:left w:val="nil"/>
              <w:bottom w:val="single" w:color="auto" w:sz="4" w:space="0"/>
              <w:right w:val="single" w:color="auto" w:sz="4" w:space="0"/>
            </w:tcBorders>
            <w:shd w:val="clear" w:color="auto" w:fill="auto"/>
            <w:vAlign w:val="center"/>
          </w:tcPr>
          <w:p>
            <w:pPr>
              <w:pStyle w:val="107"/>
            </w:pPr>
            <w:r>
              <w:rPr>
                <w:rFonts w:ascii="Times New Roman" w:hAnsi="Times New Roman" w:eastAsia="等线" w:cs="Times New Roman"/>
                <w:color w:val="000000"/>
              </w:rPr>
              <w:t>0.0324</w:t>
            </w:r>
          </w:p>
        </w:tc>
        <w:tc>
          <w:tcPr>
            <w:tcW w:w="1272" w:type="dxa"/>
            <w:tcBorders>
              <w:top w:val="nil"/>
              <w:left w:val="nil"/>
              <w:bottom w:val="single" w:color="auto" w:sz="4" w:space="0"/>
              <w:right w:val="single" w:color="auto" w:sz="4" w:space="0"/>
            </w:tcBorders>
            <w:shd w:val="clear" w:color="auto" w:fill="auto"/>
            <w:vAlign w:val="center"/>
          </w:tcPr>
          <w:p>
            <w:pPr>
              <w:pStyle w:val="107"/>
            </w:pPr>
            <w:r>
              <w:t>0.0324</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left w:val="single" w:color="auto" w:sz="8" w:space="0"/>
              <w:right w:val="nil"/>
            </w:tcBorders>
            <w:vAlign w:val="center"/>
          </w:tcPr>
          <w:p>
            <w:pPr>
              <w:pStyle w:val="107"/>
            </w:pPr>
          </w:p>
        </w:tc>
        <w:tc>
          <w:tcPr>
            <w:tcW w:w="1383"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NH</w:t>
            </w:r>
            <w:r>
              <w:rPr>
                <w:rFonts w:eastAsia="等线" w:cs="Arial"/>
                <w:vertAlign w:val="subscript"/>
              </w:rPr>
              <w:t>3</w:t>
            </w:r>
            <w:r>
              <w:rPr>
                <w:rFonts w:eastAsia="等线" w:cs="Arial"/>
              </w:rPr>
              <w:t>-N</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pPr>
            <w:r>
              <w:t>0.0097</w:t>
            </w:r>
          </w:p>
        </w:tc>
        <w:tc>
          <w:tcPr>
            <w:tcW w:w="1725" w:type="dxa"/>
            <w:tcBorders>
              <w:top w:val="nil"/>
              <w:left w:val="nil"/>
              <w:bottom w:val="single" w:color="auto" w:sz="4" w:space="0"/>
              <w:right w:val="single" w:color="auto" w:sz="4" w:space="0"/>
            </w:tcBorders>
            <w:shd w:val="clear" w:color="auto" w:fill="auto"/>
            <w:vAlign w:val="center"/>
          </w:tcPr>
          <w:p>
            <w:pPr>
              <w:pStyle w:val="107"/>
            </w:pPr>
            <w:r>
              <w:rPr>
                <w:rFonts w:ascii="Times New Roman" w:hAnsi="Times New Roman" w:eastAsia="等线" w:cs="Times New Roman"/>
                <w:color w:val="000000"/>
              </w:rPr>
              <w:t>0</w:t>
            </w:r>
          </w:p>
        </w:tc>
        <w:tc>
          <w:tcPr>
            <w:tcW w:w="1272" w:type="dxa"/>
            <w:tcBorders>
              <w:top w:val="nil"/>
              <w:left w:val="nil"/>
              <w:bottom w:val="single" w:color="auto" w:sz="4" w:space="0"/>
              <w:right w:val="single" w:color="auto" w:sz="4" w:space="0"/>
            </w:tcBorders>
            <w:shd w:val="clear" w:color="auto" w:fill="auto"/>
            <w:vAlign w:val="center"/>
          </w:tcPr>
          <w:p>
            <w:pPr>
              <w:pStyle w:val="107"/>
            </w:pPr>
            <w:r>
              <w:t>0.0097</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left w:val="single" w:color="auto" w:sz="8" w:space="0"/>
              <w:right w:val="nil"/>
            </w:tcBorders>
            <w:vAlign w:val="center"/>
          </w:tcPr>
          <w:p>
            <w:pPr>
              <w:pStyle w:val="107"/>
            </w:pPr>
          </w:p>
        </w:tc>
        <w:tc>
          <w:tcPr>
            <w:tcW w:w="1383" w:type="dxa"/>
            <w:vMerge w:val="continue"/>
            <w:tcBorders>
              <w:top w:val="single" w:color="auto" w:sz="4" w:space="0"/>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动植物油</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pPr>
            <w:r>
              <w:t xml:space="preserve">0.0097 </w:t>
            </w:r>
          </w:p>
        </w:tc>
        <w:tc>
          <w:tcPr>
            <w:tcW w:w="1725" w:type="dxa"/>
            <w:tcBorders>
              <w:top w:val="nil"/>
              <w:left w:val="nil"/>
              <w:bottom w:val="single" w:color="auto" w:sz="4" w:space="0"/>
              <w:right w:val="single" w:color="auto" w:sz="4" w:space="0"/>
            </w:tcBorders>
            <w:shd w:val="clear" w:color="auto" w:fill="auto"/>
            <w:vAlign w:val="center"/>
          </w:tcPr>
          <w:p>
            <w:pPr>
              <w:pStyle w:val="107"/>
            </w:pPr>
            <w:r>
              <w:rPr>
                <w:rFonts w:ascii="Times New Roman" w:hAnsi="Times New Roman" w:eastAsia="等线" w:cs="Times New Roman"/>
                <w:color w:val="000000"/>
              </w:rPr>
              <w:t>0.0048</w:t>
            </w:r>
          </w:p>
        </w:tc>
        <w:tc>
          <w:tcPr>
            <w:tcW w:w="1272" w:type="dxa"/>
            <w:tcBorders>
              <w:top w:val="nil"/>
              <w:left w:val="nil"/>
              <w:bottom w:val="single" w:color="auto" w:sz="4" w:space="0"/>
              <w:right w:val="single" w:color="auto" w:sz="4" w:space="0"/>
            </w:tcBorders>
            <w:shd w:val="clear" w:color="auto" w:fill="auto"/>
            <w:vAlign w:val="center"/>
          </w:tcPr>
          <w:p>
            <w:pPr>
              <w:pStyle w:val="107"/>
            </w:pPr>
            <w:r>
              <w:t xml:space="preserve">0.0049 </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left w:val="single" w:color="auto" w:sz="8" w:space="0"/>
              <w:bottom w:val="nil"/>
              <w:right w:val="nil"/>
            </w:tcBorders>
            <w:vAlign w:val="center"/>
          </w:tcPr>
          <w:p>
            <w:pPr>
              <w:pStyle w:val="107"/>
            </w:pPr>
          </w:p>
        </w:tc>
        <w:tc>
          <w:tcPr>
            <w:tcW w:w="1383" w:type="dxa"/>
            <w:tcBorders>
              <w:top w:val="nil"/>
              <w:left w:val="single" w:color="auto" w:sz="4" w:space="0"/>
              <w:bottom w:val="single" w:color="auto" w:sz="4" w:space="0"/>
              <w:right w:val="single" w:color="auto" w:sz="4" w:space="0"/>
            </w:tcBorders>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喷淋废水</w:t>
            </w:r>
          </w:p>
        </w:tc>
        <w:tc>
          <w:tcPr>
            <w:tcW w:w="1553"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废水量</w:t>
            </w:r>
          </w:p>
        </w:tc>
        <w:tc>
          <w:tcPr>
            <w:tcW w:w="867"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color w:val="000000" w:themeColor="text1"/>
                <w14:textFill>
                  <w14:solidFill>
                    <w14:schemeClr w14:val="tx1"/>
                  </w14:solidFill>
                </w14:textFill>
              </w:rPr>
              <w:t>m</w:t>
            </w:r>
            <w:r>
              <w:rPr>
                <w:rStyle w:val="63"/>
                <w:color w:val="000000" w:themeColor="text1"/>
                <w:vertAlign w:val="superscript"/>
                <w14:textFill>
                  <w14:solidFill>
                    <w14:schemeClr w14:val="tx1"/>
                  </w14:solidFill>
                </w14:textFill>
              </w:rPr>
              <w:t>3</w:t>
            </w:r>
            <w:r>
              <w:rPr>
                <w:rStyle w:val="63"/>
                <w:color w:val="000000" w:themeColor="text1"/>
                <w14:textFill>
                  <w14:solidFill>
                    <w14:schemeClr w14:val="tx1"/>
                  </w14:solidFill>
                </w14:textFill>
              </w:rPr>
              <w:t xml:space="preserve"> /a</w:t>
            </w:r>
          </w:p>
        </w:tc>
        <w:tc>
          <w:tcPr>
            <w:tcW w:w="1381" w:type="dxa"/>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1</w:t>
            </w:r>
            <w:r>
              <w:rPr>
                <w:rStyle w:val="63"/>
                <w:color w:val="000000" w:themeColor="text1"/>
                <w14:textFill>
                  <w14:solidFill>
                    <w14:schemeClr w14:val="tx1"/>
                  </w14:solidFill>
                </w14:textFill>
              </w:rPr>
              <w:t>0</w:t>
            </w:r>
          </w:p>
        </w:tc>
        <w:tc>
          <w:tcPr>
            <w:tcW w:w="2997" w:type="dxa"/>
            <w:gridSpan w:val="2"/>
            <w:tcBorders>
              <w:top w:val="nil"/>
              <w:left w:val="nil"/>
              <w:bottom w:val="single" w:color="auto" w:sz="4" w:space="0"/>
              <w:right w:val="single" w:color="auto" w:sz="4" w:space="0"/>
            </w:tcBorders>
            <w:shd w:val="clear" w:color="auto" w:fill="auto"/>
            <w:vAlign w:val="center"/>
          </w:tcPr>
          <w:p>
            <w:pPr>
              <w:pStyle w:val="107"/>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定期交有资质单位拉运处理</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restart"/>
            <w:tcBorders>
              <w:top w:val="single" w:color="auto" w:sz="4" w:space="0"/>
              <w:left w:val="single" w:color="auto" w:sz="4" w:space="0"/>
              <w:bottom w:val="single" w:color="auto" w:sz="4" w:space="0"/>
              <w:right w:val="nil"/>
            </w:tcBorders>
            <w:shd w:val="clear" w:color="auto" w:fill="auto"/>
            <w:vAlign w:val="center"/>
          </w:tcPr>
          <w:p>
            <w:pPr>
              <w:pStyle w:val="107"/>
            </w:pPr>
            <w:r>
              <w:rPr>
                <w:rFonts w:hint="eastAsia"/>
              </w:rPr>
              <w:t>废气</w:t>
            </w:r>
          </w:p>
        </w:tc>
        <w:tc>
          <w:tcPr>
            <w:tcW w:w="1383" w:type="dxa"/>
            <w:vMerge w:val="restart"/>
            <w:tcBorders>
              <w:top w:val="nil"/>
              <w:left w:val="single" w:color="auto" w:sz="4" w:space="0"/>
              <w:bottom w:val="single" w:color="auto" w:sz="4" w:space="0"/>
              <w:right w:val="single" w:color="auto" w:sz="4" w:space="0"/>
            </w:tcBorders>
            <w:shd w:val="clear" w:color="auto" w:fill="auto"/>
            <w:vAlign w:val="center"/>
          </w:tcPr>
          <w:p>
            <w:pPr>
              <w:pStyle w:val="107"/>
            </w:pPr>
            <w:r>
              <w:rPr>
                <w:rFonts w:hint="eastAsia"/>
              </w:rPr>
              <w:t>有组织</w:t>
            </w: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颗粒物</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t/a</w:t>
            </w:r>
          </w:p>
        </w:tc>
        <w:tc>
          <w:tcPr>
            <w:tcW w:w="138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t>0.4281</w:t>
            </w:r>
          </w:p>
        </w:tc>
        <w:tc>
          <w:tcPr>
            <w:tcW w:w="1725" w:type="dxa"/>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0.424033</w:t>
            </w:r>
          </w:p>
        </w:tc>
        <w:tc>
          <w:tcPr>
            <w:tcW w:w="1272" w:type="dxa"/>
            <w:tcBorders>
              <w:top w:val="single" w:color="auto" w:sz="4" w:space="0"/>
              <w:left w:val="nil"/>
              <w:bottom w:val="single" w:color="auto" w:sz="4" w:space="0"/>
              <w:right w:val="single" w:color="auto" w:sz="4" w:space="0"/>
            </w:tcBorders>
            <w:shd w:val="clear" w:color="auto" w:fill="auto"/>
            <w:vAlign w:val="center"/>
          </w:tcPr>
          <w:p>
            <w:pPr>
              <w:pStyle w:val="107"/>
            </w:pPr>
            <w:r>
              <w:t>0.004067</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top w:val="single" w:color="auto" w:sz="4" w:space="0"/>
              <w:left w:val="single" w:color="auto" w:sz="4" w:space="0"/>
              <w:bottom w:val="single" w:color="auto" w:sz="4" w:space="0"/>
              <w:right w:val="nil"/>
            </w:tcBorders>
            <w:vAlign w:val="center"/>
          </w:tcPr>
          <w:p>
            <w:pPr>
              <w:pStyle w:val="107"/>
            </w:pPr>
          </w:p>
        </w:tc>
        <w:tc>
          <w:tcPr>
            <w:tcW w:w="1383" w:type="dxa"/>
            <w:vMerge w:val="continue"/>
            <w:tcBorders>
              <w:top w:val="nil"/>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非甲烷总烃</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pPr>
            <w:r>
              <w:t xml:space="preserve">0.298 </w:t>
            </w:r>
          </w:p>
        </w:tc>
        <w:tc>
          <w:tcPr>
            <w:tcW w:w="1725" w:type="dxa"/>
            <w:tcBorders>
              <w:top w:val="nil"/>
              <w:left w:val="nil"/>
              <w:bottom w:val="single" w:color="auto" w:sz="4" w:space="0"/>
              <w:right w:val="single" w:color="auto" w:sz="4" w:space="0"/>
            </w:tcBorders>
            <w:shd w:val="clear" w:color="auto" w:fill="auto"/>
            <w:vAlign w:val="center"/>
          </w:tcPr>
          <w:p>
            <w:pPr>
              <w:pStyle w:val="107"/>
            </w:pPr>
            <w:r>
              <w:rPr>
                <w:rFonts w:hint="eastAsia"/>
              </w:rPr>
              <w:t>0.276065</w:t>
            </w:r>
          </w:p>
        </w:tc>
        <w:tc>
          <w:tcPr>
            <w:tcW w:w="1272" w:type="dxa"/>
            <w:tcBorders>
              <w:top w:val="nil"/>
              <w:left w:val="nil"/>
              <w:bottom w:val="single" w:color="auto" w:sz="4" w:space="0"/>
              <w:right w:val="single" w:color="auto" w:sz="4" w:space="0"/>
            </w:tcBorders>
            <w:shd w:val="clear" w:color="auto" w:fill="auto"/>
            <w:vAlign w:val="center"/>
          </w:tcPr>
          <w:p>
            <w:pPr>
              <w:pStyle w:val="107"/>
            </w:pPr>
            <w:r>
              <w:t xml:space="preserve">0.021935 </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top w:val="single" w:color="auto" w:sz="4" w:space="0"/>
              <w:left w:val="single" w:color="auto" w:sz="4" w:space="0"/>
              <w:bottom w:val="single" w:color="auto" w:sz="4" w:space="0"/>
              <w:right w:val="nil"/>
            </w:tcBorders>
            <w:vAlign w:val="center"/>
          </w:tcPr>
          <w:p>
            <w:pPr>
              <w:pStyle w:val="107"/>
            </w:pPr>
          </w:p>
        </w:tc>
        <w:tc>
          <w:tcPr>
            <w:tcW w:w="1383" w:type="dxa"/>
            <w:vMerge w:val="continue"/>
            <w:tcBorders>
              <w:top w:val="nil"/>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硫化氢</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pPr>
            <w:r>
              <w:t>0.0112</w:t>
            </w:r>
          </w:p>
        </w:tc>
        <w:tc>
          <w:tcPr>
            <w:tcW w:w="1725" w:type="dxa"/>
            <w:tcBorders>
              <w:top w:val="nil"/>
              <w:left w:val="nil"/>
              <w:bottom w:val="single" w:color="auto" w:sz="4" w:space="0"/>
              <w:right w:val="single" w:color="auto" w:sz="4" w:space="0"/>
            </w:tcBorders>
            <w:shd w:val="clear" w:color="auto" w:fill="auto"/>
            <w:vAlign w:val="center"/>
          </w:tcPr>
          <w:p>
            <w:pPr>
              <w:pStyle w:val="107"/>
            </w:pPr>
            <w:r>
              <w:rPr>
                <w:rFonts w:hint="eastAsia"/>
              </w:rPr>
              <w:t>0.010384</w:t>
            </w:r>
          </w:p>
        </w:tc>
        <w:tc>
          <w:tcPr>
            <w:tcW w:w="1272" w:type="dxa"/>
            <w:tcBorders>
              <w:top w:val="nil"/>
              <w:left w:val="nil"/>
              <w:bottom w:val="single" w:color="auto" w:sz="4" w:space="0"/>
              <w:right w:val="single" w:color="auto" w:sz="4" w:space="0"/>
            </w:tcBorders>
            <w:shd w:val="clear" w:color="auto" w:fill="auto"/>
            <w:vAlign w:val="center"/>
          </w:tcPr>
          <w:p>
            <w:pPr>
              <w:pStyle w:val="107"/>
            </w:pPr>
            <w:r>
              <w:t>0.000816</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top w:val="single" w:color="auto" w:sz="4" w:space="0"/>
              <w:left w:val="single" w:color="auto" w:sz="4" w:space="0"/>
              <w:bottom w:val="single" w:color="auto" w:sz="4" w:space="0"/>
              <w:right w:val="nil"/>
            </w:tcBorders>
            <w:vAlign w:val="center"/>
          </w:tcPr>
          <w:p>
            <w:pPr>
              <w:pStyle w:val="107"/>
            </w:pPr>
          </w:p>
        </w:tc>
        <w:tc>
          <w:tcPr>
            <w:tcW w:w="1383" w:type="dxa"/>
            <w:vMerge w:val="continue"/>
            <w:tcBorders>
              <w:top w:val="nil"/>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抛丸粉尘</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pPr>
            <w:r>
              <w:t>2</w:t>
            </w:r>
          </w:p>
        </w:tc>
        <w:tc>
          <w:tcPr>
            <w:tcW w:w="1725" w:type="dxa"/>
            <w:tcBorders>
              <w:top w:val="nil"/>
              <w:left w:val="nil"/>
              <w:bottom w:val="single" w:color="auto" w:sz="4" w:space="0"/>
              <w:right w:val="single" w:color="auto" w:sz="4" w:space="0"/>
            </w:tcBorders>
            <w:shd w:val="clear" w:color="auto" w:fill="auto"/>
            <w:vAlign w:val="center"/>
          </w:tcPr>
          <w:p>
            <w:pPr>
              <w:pStyle w:val="107"/>
            </w:pPr>
            <w:r>
              <w:t>1.8</w:t>
            </w:r>
          </w:p>
        </w:tc>
        <w:tc>
          <w:tcPr>
            <w:tcW w:w="1272" w:type="dxa"/>
            <w:tcBorders>
              <w:top w:val="nil"/>
              <w:left w:val="nil"/>
              <w:bottom w:val="single" w:color="auto" w:sz="4" w:space="0"/>
              <w:right w:val="single" w:color="auto" w:sz="4" w:space="0"/>
            </w:tcBorders>
            <w:shd w:val="clear" w:color="auto" w:fill="auto"/>
            <w:vAlign w:val="center"/>
          </w:tcPr>
          <w:p>
            <w:pPr>
              <w:pStyle w:val="107"/>
            </w:pPr>
            <w:r>
              <w:t>0.2</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top w:val="single" w:color="auto" w:sz="4" w:space="0"/>
              <w:left w:val="single" w:color="auto" w:sz="4" w:space="0"/>
              <w:bottom w:val="single" w:color="auto" w:sz="4" w:space="0"/>
              <w:right w:val="nil"/>
            </w:tcBorders>
            <w:vAlign w:val="center"/>
          </w:tcPr>
          <w:p>
            <w:pPr>
              <w:pStyle w:val="107"/>
            </w:pPr>
          </w:p>
        </w:tc>
        <w:tc>
          <w:tcPr>
            <w:tcW w:w="1383" w:type="dxa"/>
            <w:vMerge w:val="restart"/>
            <w:tcBorders>
              <w:top w:val="nil"/>
              <w:left w:val="single" w:color="auto" w:sz="4" w:space="0"/>
              <w:bottom w:val="single" w:color="auto" w:sz="4" w:space="0"/>
              <w:right w:val="single" w:color="auto" w:sz="4" w:space="0"/>
            </w:tcBorders>
            <w:shd w:val="clear" w:color="auto" w:fill="auto"/>
            <w:vAlign w:val="center"/>
          </w:tcPr>
          <w:p>
            <w:pPr>
              <w:pStyle w:val="107"/>
            </w:pPr>
            <w:r>
              <w:rPr>
                <w:rFonts w:hint="eastAsia"/>
              </w:rPr>
              <w:t>无组织</w:t>
            </w: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颗粒物</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pPr>
            <w:r>
              <w:t>0.0214048</w:t>
            </w:r>
          </w:p>
        </w:tc>
        <w:tc>
          <w:tcPr>
            <w:tcW w:w="1725" w:type="dxa"/>
            <w:tcBorders>
              <w:top w:val="nil"/>
              <w:left w:val="nil"/>
              <w:bottom w:val="single" w:color="auto" w:sz="4" w:space="0"/>
              <w:right w:val="single" w:color="auto" w:sz="4" w:space="0"/>
            </w:tcBorders>
            <w:shd w:val="clear" w:color="auto" w:fill="auto"/>
            <w:vAlign w:val="bottom"/>
          </w:tcPr>
          <w:p>
            <w:pPr>
              <w:pStyle w:val="107"/>
            </w:pPr>
            <w:r>
              <w:rPr>
                <w:rFonts w:hint="eastAsia"/>
              </w:rPr>
              <w:t>0</w:t>
            </w:r>
          </w:p>
        </w:tc>
        <w:tc>
          <w:tcPr>
            <w:tcW w:w="1272" w:type="dxa"/>
            <w:tcBorders>
              <w:top w:val="nil"/>
              <w:left w:val="nil"/>
              <w:bottom w:val="single" w:color="auto" w:sz="4" w:space="0"/>
              <w:right w:val="single" w:color="auto" w:sz="4" w:space="0"/>
            </w:tcBorders>
            <w:shd w:val="clear" w:color="auto" w:fill="auto"/>
            <w:vAlign w:val="center"/>
          </w:tcPr>
          <w:p>
            <w:pPr>
              <w:pStyle w:val="107"/>
            </w:pPr>
            <w:r>
              <w:t>0.0214048</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top w:val="single" w:color="auto" w:sz="4" w:space="0"/>
              <w:left w:val="single" w:color="auto" w:sz="4" w:space="0"/>
              <w:bottom w:val="single" w:color="auto" w:sz="4" w:space="0"/>
              <w:right w:val="nil"/>
            </w:tcBorders>
            <w:vAlign w:val="center"/>
          </w:tcPr>
          <w:p>
            <w:pPr>
              <w:pStyle w:val="107"/>
            </w:pPr>
          </w:p>
        </w:tc>
        <w:tc>
          <w:tcPr>
            <w:tcW w:w="1383" w:type="dxa"/>
            <w:vMerge w:val="continue"/>
            <w:tcBorders>
              <w:top w:val="nil"/>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非甲烷总烃</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pPr>
            <w:r>
              <w:t xml:space="preserve">0.02382 </w:t>
            </w:r>
          </w:p>
        </w:tc>
        <w:tc>
          <w:tcPr>
            <w:tcW w:w="1725" w:type="dxa"/>
            <w:tcBorders>
              <w:top w:val="nil"/>
              <w:left w:val="nil"/>
              <w:bottom w:val="single" w:color="auto" w:sz="4" w:space="0"/>
              <w:right w:val="single" w:color="auto" w:sz="4" w:space="0"/>
            </w:tcBorders>
            <w:shd w:val="clear" w:color="auto" w:fill="auto"/>
            <w:vAlign w:val="bottom"/>
          </w:tcPr>
          <w:p>
            <w:pPr>
              <w:pStyle w:val="107"/>
            </w:pPr>
            <w:r>
              <w:rPr>
                <w:rFonts w:hint="eastAsia"/>
              </w:rPr>
              <w:t>0</w:t>
            </w:r>
          </w:p>
        </w:tc>
        <w:tc>
          <w:tcPr>
            <w:tcW w:w="1272" w:type="dxa"/>
            <w:tcBorders>
              <w:top w:val="nil"/>
              <w:left w:val="nil"/>
              <w:bottom w:val="single" w:color="auto" w:sz="4" w:space="0"/>
              <w:right w:val="single" w:color="auto" w:sz="4" w:space="0"/>
            </w:tcBorders>
            <w:shd w:val="clear" w:color="auto" w:fill="auto"/>
            <w:vAlign w:val="center"/>
          </w:tcPr>
          <w:p>
            <w:pPr>
              <w:pStyle w:val="107"/>
            </w:pPr>
            <w:r>
              <w:t xml:space="preserve">0.02382 </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top w:val="single" w:color="auto" w:sz="4" w:space="0"/>
              <w:left w:val="single" w:color="auto" w:sz="4" w:space="0"/>
              <w:bottom w:val="single" w:color="auto" w:sz="4" w:space="0"/>
              <w:right w:val="nil"/>
            </w:tcBorders>
            <w:vAlign w:val="center"/>
          </w:tcPr>
          <w:p>
            <w:pPr>
              <w:pStyle w:val="107"/>
            </w:pPr>
          </w:p>
        </w:tc>
        <w:tc>
          <w:tcPr>
            <w:tcW w:w="1383" w:type="dxa"/>
            <w:vMerge w:val="continue"/>
            <w:tcBorders>
              <w:top w:val="nil"/>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硫化氢</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pPr>
            <w:r>
              <w:t xml:space="preserve">0.001 </w:t>
            </w:r>
          </w:p>
        </w:tc>
        <w:tc>
          <w:tcPr>
            <w:tcW w:w="1725" w:type="dxa"/>
            <w:tcBorders>
              <w:top w:val="nil"/>
              <w:left w:val="nil"/>
              <w:bottom w:val="single" w:color="auto" w:sz="4" w:space="0"/>
              <w:right w:val="single" w:color="auto" w:sz="4" w:space="0"/>
            </w:tcBorders>
            <w:shd w:val="clear" w:color="auto" w:fill="auto"/>
            <w:vAlign w:val="bottom"/>
          </w:tcPr>
          <w:p>
            <w:pPr>
              <w:pStyle w:val="107"/>
            </w:pPr>
            <w:r>
              <w:rPr>
                <w:rFonts w:hint="eastAsia"/>
              </w:rPr>
              <w:t>0</w:t>
            </w:r>
          </w:p>
        </w:tc>
        <w:tc>
          <w:tcPr>
            <w:tcW w:w="1272" w:type="dxa"/>
            <w:tcBorders>
              <w:top w:val="nil"/>
              <w:left w:val="nil"/>
              <w:bottom w:val="single" w:color="auto" w:sz="4" w:space="0"/>
              <w:right w:val="single" w:color="auto" w:sz="4" w:space="0"/>
            </w:tcBorders>
            <w:shd w:val="clear" w:color="auto" w:fill="auto"/>
            <w:vAlign w:val="center"/>
          </w:tcPr>
          <w:p>
            <w:pPr>
              <w:pStyle w:val="107"/>
            </w:pPr>
            <w:r>
              <w:t xml:space="preserve">0.001 </w:t>
            </w:r>
          </w:p>
        </w:tc>
      </w:tr>
      <w:tr>
        <w:tblPrEx>
          <w:tblLayout w:type="fixed"/>
          <w:tblCellMar>
            <w:top w:w="0" w:type="dxa"/>
            <w:left w:w="108" w:type="dxa"/>
            <w:bottom w:w="0" w:type="dxa"/>
            <w:right w:w="108" w:type="dxa"/>
          </w:tblCellMar>
        </w:tblPrEx>
        <w:trPr>
          <w:gridAfter w:val="1"/>
          <w:wAfter w:w="18" w:type="dxa"/>
          <w:trHeight w:val="20" w:hRule="atLeast"/>
        </w:trPr>
        <w:tc>
          <w:tcPr>
            <w:tcW w:w="851" w:type="dxa"/>
            <w:vMerge w:val="continue"/>
            <w:tcBorders>
              <w:top w:val="single" w:color="auto" w:sz="4" w:space="0"/>
              <w:left w:val="single" w:color="auto" w:sz="4" w:space="0"/>
              <w:bottom w:val="single" w:color="auto" w:sz="4" w:space="0"/>
              <w:right w:val="nil"/>
            </w:tcBorders>
            <w:vAlign w:val="center"/>
          </w:tcPr>
          <w:p>
            <w:pPr>
              <w:pStyle w:val="107"/>
            </w:pPr>
          </w:p>
        </w:tc>
        <w:tc>
          <w:tcPr>
            <w:tcW w:w="1383" w:type="dxa"/>
            <w:vMerge w:val="continue"/>
            <w:tcBorders>
              <w:top w:val="nil"/>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V</w:t>
            </w:r>
            <w:r>
              <w:t>OC</w:t>
            </w:r>
            <w:r>
              <w:rPr>
                <w:rFonts w:hint="eastAsia"/>
              </w:rPr>
              <w:t>s</w:t>
            </w:r>
          </w:p>
        </w:tc>
        <w:tc>
          <w:tcPr>
            <w:tcW w:w="867" w:type="dxa"/>
            <w:tcBorders>
              <w:top w:val="nil"/>
              <w:left w:val="nil"/>
              <w:bottom w:val="single" w:color="auto" w:sz="4" w:space="0"/>
              <w:right w:val="single" w:color="auto" w:sz="4" w:space="0"/>
            </w:tcBorders>
            <w:shd w:val="clear" w:color="auto" w:fill="auto"/>
            <w:vAlign w:val="center"/>
          </w:tcPr>
          <w:p>
            <w:pPr>
              <w:pStyle w:val="107"/>
              <w:rPr>
                <w:rFonts w:eastAsia="等线" w:cs="Arial"/>
              </w:rPr>
            </w:pPr>
            <w:r>
              <w:rPr>
                <w:rFonts w:hint="eastAsia" w:eastAsia="等线" w:cs="Arial"/>
              </w:rPr>
              <w:t>t</w:t>
            </w:r>
            <w:r>
              <w:rPr>
                <w:rFonts w:eastAsia="等线" w:cs="Arial"/>
              </w:rPr>
              <w:t xml:space="preserve">/a </w:t>
            </w:r>
          </w:p>
        </w:tc>
        <w:tc>
          <w:tcPr>
            <w:tcW w:w="1381" w:type="dxa"/>
            <w:tcBorders>
              <w:top w:val="nil"/>
              <w:left w:val="nil"/>
              <w:bottom w:val="single" w:color="auto" w:sz="4" w:space="0"/>
              <w:right w:val="single" w:color="auto" w:sz="4" w:space="0"/>
            </w:tcBorders>
            <w:shd w:val="clear" w:color="auto" w:fill="auto"/>
            <w:vAlign w:val="center"/>
          </w:tcPr>
          <w:p>
            <w:pPr>
              <w:pStyle w:val="107"/>
            </w:pPr>
            <w:r>
              <w:rPr>
                <w:rFonts w:hint="eastAsia"/>
              </w:rPr>
              <w:t>0</w:t>
            </w:r>
            <w:r>
              <w:t>.008</w:t>
            </w:r>
          </w:p>
        </w:tc>
        <w:tc>
          <w:tcPr>
            <w:tcW w:w="1725" w:type="dxa"/>
            <w:tcBorders>
              <w:top w:val="nil"/>
              <w:left w:val="nil"/>
              <w:bottom w:val="single" w:color="auto" w:sz="4" w:space="0"/>
              <w:right w:val="single" w:color="auto" w:sz="4" w:space="0"/>
            </w:tcBorders>
            <w:shd w:val="clear" w:color="auto" w:fill="auto"/>
            <w:vAlign w:val="bottom"/>
          </w:tcPr>
          <w:p>
            <w:pPr>
              <w:pStyle w:val="107"/>
            </w:pPr>
            <w:r>
              <w:rPr>
                <w:rFonts w:hint="eastAsia"/>
              </w:rPr>
              <w:t>0</w:t>
            </w:r>
          </w:p>
        </w:tc>
        <w:tc>
          <w:tcPr>
            <w:tcW w:w="1272" w:type="dxa"/>
            <w:tcBorders>
              <w:top w:val="nil"/>
              <w:left w:val="nil"/>
              <w:bottom w:val="single" w:color="auto" w:sz="4" w:space="0"/>
              <w:right w:val="single" w:color="auto" w:sz="4" w:space="0"/>
            </w:tcBorders>
            <w:shd w:val="clear" w:color="auto" w:fill="auto"/>
            <w:vAlign w:val="center"/>
          </w:tcPr>
          <w:p>
            <w:pPr>
              <w:pStyle w:val="107"/>
            </w:pPr>
            <w:r>
              <w:rPr>
                <w:rFonts w:hint="eastAsia"/>
              </w:rPr>
              <w:t>0</w:t>
            </w:r>
            <w:r>
              <w:t>.008</w:t>
            </w:r>
          </w:p>
        </w:tc>
      </w:tr>
      <w:tr>
        <w:tblPrEx>
          <w:tblLayout w:type="fixed"/>
          <w:tblCellMar>
            <w:top w:w="0" w:type="dxa"/>
            <w:left w:w="108" w:type="dxa"/>
            <w:bottom w:w="0" w:type="dxa"/>
            <w:right w:w="108" w:type="dxa"/>
          </w:tblCellMar>
        </w:tblPrEx>
        <w:trPr>
          <w:trHeight w:val="20" w:hRule="atLeast"/>
        </w:trPr>
        <w:tc>
          <w:tcPr>
            <w:tcW w:w="851" w:type="dxa"/>
            <w:vMerge w:val="continue"/>
            <w:tcBorders>
              <w:top w:val="single" w:color="auto" w:sz="4" w:space="0"/>
              <w:left w:val="single" w:color="auto" w:sz="4" w:space="0"/>
              <w:bottom w:val="single" w:color="auto" w:sz="4" w:space="0"/>
              <w:right w:val="nil"/>
            </w:tcBorders>
            <w:vAlign w:val="center"/>
          </w:tcPr>
          <w:p>
            <w:pPr>
              <w:pStyle w:val="107"/>
            </w:pPr>
          </w:p>
        </w:tc>
        <w:tc>
          <w:tcPr>
            <w:tcW w:w="1383" w:type="dxa"/>
            <w:vMerge w:val="continue"/>
            <w:tcBorders>
              <w:top w:val="nil"/>
              <w:left w:val="single" w:color="auto" w:sz="4" w:space="0"/>
              <w:bottom w:val="single" w:color="auto"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恶臭</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t/a</w:t>
            </w:r>
          </w:p>
        </w:tc>
        <w:tc>
          <w:tcPr>
            <w:tcW w:w="4396" w:type="dxa"/>
            <w:gridSpan w:val="4"/>
            <w:tcBorders>
              <w:top w:val="single" w:color="auto" w:sz="4" w:space="0"/>
              <w:left w:val="nil"/>
              <w:bottom w:val="single" w:color="auto" w:sz="4" w:space="0"/>
              <w:right w:val="single" w:color="auto" w:sz="4" w:space="0"/>
            </w:tcBorders>
            <w:shd w:val="clear" w:color="auto" w:fill="auto"/>
            <w:vAlign w:val="center"/>
          </w:tcPr>
          <w:p>
            <w:pPr>
              <w:pStyle w:val="107"/>
            </w:pPr>
            <w:r>
              <w:rPr>
                <w:rFonts w:hint="eastAsia"/>
              </w:rPr>
              <w:t>少量</w:t>
            </w:r>
          </w:p>
        </w:tc>
      </w:tr>
      <w:tr>
        <w:tblPrEx>
          <w:tblLayout w:type="fixed"/>
          <w:tblCellMar>
            <w:top w:w="0" w:type="dxa"/>
            <w:left w:w="108" w:type="dxa"/>
            <w:bottom w:w="0" w:type="dxa"/>
            <w:right w:w="108" w:type="dxa"/>
          </w:tblCellMar>
        </w:tblPrEx>
        <w:trPr>
          <w:trHeight w:val="20" w:hRule="atLeast"/>
        </w:trPr>
        <w:tc>
          <w:tcPr>
            <w:tcW w:w="851" w:type="dxa"/>
            <w:vMerge w:val="restart"/>
            <w:tcBorders>
              <w:top w:val="nil"/>
              <w:left w:val="single" w:color="auto" w:sz="4" w:space="0"/>
              <w:bottom w:val="single" w:color="auto" w:sz="4" w:space="0"/>
              <w:right w:val="single" w:color="auto" w:sz="4" w:space="0"/>
            </w:tcBorders>
            <w:shd w:val="clear" w:color="auto" w:fill="auto"/>
            <w:vAlign w:val="center"/>
          </w:tcPr>
          <w:p>
            <w:pPr>
              <w:pStyle w:val="107"/>
            </w:pPr>
            <w:r>
              <w:rPr>
                <w:rFonts w:hint="eastAsia"/>
              </w:rPr>
              <w:t>固体废物</w:t>
            </w:r>
          </w:p>
        </w:tc>
        <w:tc>
          <w:tcPr>
            <w:tcW w:w="1383" w:type="dxa"/>
            <w:vMerge w:val="restart"/>
            <w:tcBorders>
              <w:top w:val="nil"/>
              <w:left w:val="single" w:color="auto" w:sz="4" w:space="0"/>
              <w:bottom w:val="single" w:color="000000" w:sz="4" w:space="0"/>
              <w:right w:val="single" w:color="auto" w:sz="4" w:space="0"/>
            </w:tcBorders>
            <w:shd w:val="clear" w:color="auto" w:fill="auto"/>
            <w:vAlign w:val="center"/>
          </w:tcPr>
          <w:p>
            <w:pPr>
              <w:pStyle w:val="107"/>
            </w:pPr>
            <w:r>
              <w:rPr>
                <w:rFonts w:hint="eastAsia"/>
              </w:rPr>
              <w:t>一般工业固体废弃物</w:t>
            </w: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除尘灰</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pPr>
            <w:r>
              <w:t xml:space="preserve">0.402 </w:t>
            </w:r>
          </w:p>
        </w:tc>
        <w:tc>
          <w:tcPr>
            <w:tcW w:w="3015" w:type="dxa"/>
            <w:gridSpan w:val="3"/>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07"/>
            </w:pPr>
            <w:r>
              <w:rPr>
                <w:rFonts w:hint="eastAsia"/>
              </w:rPr>
              <w:t>固体废物处理处置率</w:t>
            </w:r>
            <w:r>
              <w:t>100%</w:t>
            </w: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vMerge w:val="continue"/>
            <w:tcBorders>
              <w:top w:val="nil"/>
              <w:left w:val="single" w:color="auto" w:sz="4" w:space="0"/>
              <w:bottom w:val="single" w:color="000000"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切胶边角料</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pPr>
            <w:r>
              <w:t>8</w:t>
            </w:r>
          </w:p>
        </w:tc>
        <w:tc>
          <w:tcPr>
            <w:tcW w:w="3015" w:type="dxa"/>
            <w:gridSpan w:val="3"/>
            <w:vMerge w:val="continue"/>
            <w:tcBorders>
              <w:top w:val="nil"/>
              <w:left w:val="nil"/>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vMerge w:val="continue"/>
            <w:tcBorders>
              <w:top w:val="nil"/>
              <w:left w:val="single" w:color="auto" w:sz="4" w:space="0"/>
              <w:bottom w:val="single" w:color="000000"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废包装材料</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eastAsia="等线" w:cs="Arial"/>
              </w:rPr>
              <w:t>t/a</w:t>
            </w:r>
          </w:p>
        </w:tc>
        <w:tc>
          <w:tcPr>
            <w:tcW w:w="1381" w:type="dxa"/>
            <w:tcBorders>
              <w:top w:val="nil"/>
              <w:left w:val="nil"/>
              <w:bottom w:val="single" w:color="auto" w:sz="4" w:space="0"/>
              <w:right w:val="single" w:color="auto" w:sz="4" w:space="0"/>
            </w:tcBorders>
            <w:shd w:val="clear" w:color="auto" w:fill="auto"/>
            <w:vAlign w:val="center"/>
          </w:tcPr>
          <w:p>
            <w:pPr>
              <w:pStyle w:val="107"/>
            </w:pPr>
            <w:r>
              <w:t xml:space="preserve">0.35 </w:t>
            </w:r>
          </w:p>
        </w:tc>
        <w:tc>
          <w:tcPr>
            <w:tcW w:w="3015" w:type="dxa"/>
            <w:gridSpan w:val="3"/>
            <w:vMerge w:val="continue"/>
            <w:tcBorders>
              <w:top w:val="nil"/>
              <w:left w:val="nil"/>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vMerge w:val="continue"/>
            <w:tcBorders>
              <w:top w:val="nil"/>
              <w:left w:val="single" w:color="auto" w:sz="4" w:space="0"/>
              <w:bottom w:val="single" w:color="000000"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修边边角料</w:t>
            </w:r>
          </w:p>
        </w:tc>
        <w:tc>
          <w:tcPr>
            <w:tcW w:w="867" w:type="dxa"/>
            <w:tcBorders>
              <w:top w:val="nil"/>
              <w:left w:val="nil"/>
              <w:bottom w:val="single" w:color="auto" w:sz="4" w:space="0"/>
              <w:right w:val="single" w:color="auto" w:sz="4" w:space="0"/>
            </w:tcBorders>
            <w:shd w:val="clear" w:color="auto" w:fill="auto"/>
            <w:vAlign w:val="center"/>
          </w:tcPr>
          <w:p>
            <w:pPr>
              <w:pStyle w:val="107"/>
            </w:pPr>
            <w:r>
              <w:t>t/a</w:t>
            </w:r>
          </w:p>
        </w:tc>
        <w:tc>
          <w:tcPr>
            <w:tcW w:w="1381" w:type="dxa"/>
            <w:tcBorders>
              <w:top w:val="nil"/>
              <w:left w:val="nil"/>
              <w:bottom w:val="single" w:color="auto" w:sz="4" w:space="0"/>
              <w:right w:val="single" w:color="auto" w:sz="4" w:space="0"/>
            </w:tcBorders>
            <w:shd w:val="clear" w:color="auto" w:fill="auto"/>
            <w:vAlign w:val="center"/>
          </w:tcPr>
          <w:p>
            <w:pPr>
              <w:pStyle w:val="107"/>
            </w:pPr>
            <w:r>
              <w:t xml:space="preserve">2 </w:t>
            </w:r>
          </w:p>
        </w:tc>
        <w:tc>
          <w:tcPr>
            <w:tcW w:w="3015" w:type="dxa"/>
            <w:gridSpan w:val="3"/>
            <w:vMerge w:val="continue"/>
            <w:tcBorders>
              <w:top w:val="nil"/>
              <w:left w:val="nil"/>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vMerge w:val="continue"/>
            <w:tcBorders>
              <w:top w:val="nil"/>
              <w:left w:val="single" w:color="auto" w:sz="4" w:space="0"/>
              <w:bottom w:val="single" w:color="000000"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抛丸收集粉尘</w:t>
            </w:r>
          </w:p>
        </w:tc>
        <w:tc>
          <w:tcPr>
            <w:tcW w:w="867" w:type="dxa"/>
            <w:tcBorders>
              <w:top w:val="nil"/>
              <w:left w:val="nil"/>
              <w:bottom w:val="single" w:color="auto" w:sz="4" w:space="0"/>
              <w:right w:val="single" w:color="auto" w:sz="4" w:space="0"/>
            </w:tcBorders>
            <w:shd w:val="clear" w:color="auto" w:fill="auto"/>
            <w:vAlign w:val="center"/>
          </w:tcPr>
          <w:p>
            <w:pPr>
              <w:pStyle w:val="107"/>
            </w:pPr>
            <w:r>
              <w:rPr>
                <w:rFonts w:hint="eastAsia"/>
              </w:rPr>
              <w:t>t/a</w:t>
            </w:r>
          </w:p>
        </w:tc>
        <w:tc>
          <w:tcPr>
            <w:tcW w:w="1381" w:type="dxa"/>
            <w:tcBorders>
              <w:top w:val="nil"/>
              <w:left w:val="nil"/>
              <w:bottom w:val="single" w:color="auto" w:sz="4" w:space="0"/>
              <w:right w:val="single" w:color="auto" w:sz="4" w:space="0"/>
            </w:tcBorders>
            <w:shd w:val="clear" w:color="auto" w:fill="auto"/>
            <w:vAlign w:val="center"/>
          </w:tcPr>
          <w:p>
            <w:pPr>
              <w:pStyle w:val="107"/>
            </w:pPr>
            <w:r>
              <w:rPr>
                <w:rFonts w:hint="eastAsia"/>
              </w:rPr>
              <w:t>1</w:t>
            </w:r>
            <w:r>
              <w:t>.8</w:t>
            </w:r>
          </w:p>
        </w:tc>
        <w:tc>
          <w:tcPr>
            <w:tcW w:w="3015" w:type="dxa"/>
            <w:gridSpan w:val="3"/>
            <w:vMerge w:val="continue"/>
            <w:tcBorders>
              <w:top w:val="nil"/>
              <w:left w:val="nil"/>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vMerge w:val="continue"/>
            <w:tcBorders>
              <w:top w:val="nil"/>
              <w:left w:val="single" w:color="auto" w:sz="4" w:space="0"/>
              <w:bottom w:val="single" w:color="000000"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不合格品</w:t>
            </w:r>
          </w:p>
        </w:tc>
        <w:tc>
          <w:tcPr>
            <w:tcW w:w="867" w:type="dxa"/>
            <w:tcBorders>
              <w:top w:val="nil"/>
              <w:left w:val="nil"/>
              <w:bottom w:val="single" w:color="auto" w:sz="4" w:space="0"/>
              <w:right w:val="single" w:color="auto" w:sz="4" w:space="0"/>
            </w:tcBorders>
            <w:shd w:val="clear" w:color="auto" w:fill="auto"/>
            <w:vAlign w:val="center"/>
          </w:tcPr>
          <w:p>
            <w:pPr>
              <w:pStyle w:val="107"/>
            </w:pPr>
            <w:r>
              <w:t>t/a</w:t>
            </w:r>
          </w:p>
        </w:tc>
        <w:tc>
          <w:tcPr>
            <w:tcW w:w="1381" w:type="dxa"/>
            <w:tcBorders>
              <w:top w:val="nil"/>
              <w:left w:val="nil"/>
              <w:bottom w:val="single" w:color="auto" w:sz="4" w:space="0"/>
              <w:right w:val="single" w:color="auto" w:sz="4" w:space="0"/>
            </w:tcBorders>
            <w:shd w:val="clear" w:color="auto" w:fill="auto"/>
            <w:vAlign w:val="center"/>
          </w:tcPr>
          <w:p>
            <w:pPr>
              <w:pStyle w:val="107"/>
            </w:pPr>
            <w:r>
              <w:rPr>
                <w:rFonts w:hint="eastAsia"/>
              </w:rPr>
              <w:t>9.</w:t>
            </w:r>
            <w:r>
              <w:t>2627</w:t>
            </w:r>
          </w:p>
        </w:tc>
        <w:tc>
          <w:tcPr>
            <w:tcW w:w="3015" w:type="dxa"/>
            <w:gridSpan w:val="3"/>
            <w:vMerge w:val="continue"/>
            <w:tcBorders>
              <w:top w:val="nil"/>
              <w:left w:val="nil"/>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vMerge w:val="restart"/>
            <w:tcBorders>
              <w:top w:val="nil"/>
              <w:left w:val="single" w:color="auto" w:sz="4" w:space="0"/>
              <w:bottom w:val="single" w:color="000000" w:sz="4" w:space="0"/>
              <w:right w:val="single" w:color="auto" w:sz="4" w:space="0"/>
            </w:tcBorders>
            <w:shd w:val="clear" w:color="auto" w:fill="auto"/>
            <w:vAlign w:val="center"/>
          </w:tcPr>
          <w:p>
            <w:pPr>
              <w:pStyle w:val="107"/>
            </w:pPr>
            <w:r>
              <w:rPr>
                <w:rFonts w:hint="eastAsia"/>
              </w:rPr>
              <w:t>危险废物</w:t>
            </w: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废饱和活性炭</w:t>
            </w:r>
          </w:p>
        </w:tc>
        <w:tc>
          <w:tcPr>
            <w:tcW w:w="867" w:type="dxa"/>
            <w:tcBorders>
              <w:top w:val="nil"/>
              <w:left w:val="nil"/>
              <w:bottom w:val="single" w:color="auto" w:sz="4" w:space="0"/>
              <w:right w:val="single" w:color="auto" w:sz="4" w:space="0"/>
            </w:tcBorders>
            <w:shd w:val="clear" w:color="auto" w:fill="auto"/>
            <w:vAlign w:val="center"/>
          </w:tcPr>
          <w:p>
            <w:pPr>
              <w:pStyle w:val="107"/>
            </w:pPr>
            <w:r>
              <w:t>t/a</w:t>
            </w:r>
          </w:p>
        </w:tc>
        <w:tc>
          <w:tcPr>
            <w:tcW w:w="1381" w:type="dxa"/>
            <w:tcBorders>
              <w:top w:val="nil"/>
              <w:left w:val="nil"/>
              <w:bottom w:val="single" w:color="auto" w:sz="4" w:space="0"/>
              <w:right w:val="single" w:color="auto" w:sz="4" w:space="0"/>
            </w:tcBorders>
            <w:shd w:val="clear" w:color="auto" w:fill="auto"/>
            <w:vAlign w:val="center"/>
          </w:tcPr>
          <w:p>
            <w:pPr>
              <w:pStyle w:val="107"/>
            </w:pPr>
            <w:r>
              <w:t xml:space="preserve">0.671 </w:t>
            </w:r>
          </w:p>
        </w:tc>
        <w:tc>
          <w:tcPr>
            <w:tcW w:w="3015" w:type="dxa"/>
            <w:gridSpan w:val="3"/>
            <w:vMerge w:val="continue"/>
            <w:tcBorders>
              <w:top w:val="nil"/>
              <w:left w:val="nil"/>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vMerge w:val="continue"/>
            <w:tcBorders>
              <w:top w:val="nil"/>
              <w:left w:val="single" w:color="auto" w:sz="4" w:space="0"/>
              <w:bottom w:val="single" w:color="000000"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废润滑油</w:t>
            </w:r>
          </w:p>
        </w:tc>
        <w:tc>
          <w:tcPr>
            <w:tcW w:w="867" w:type="dxa"/>
            <w:tcBorders>
              <w:top w:val="nil"/>
              <w:left w:val="nil"/>
              <w:bottom w:val="single" w:color="auto" w:sz="4" w:space="0"/>
              <w:right w:val="single" w:color="auto" w:sz="4" w:space="0"/>
            </w:tcBorders>
            <w:shd w:val="clear" w:color="auto" w:fill="auto"/>
            <w:vAlign w:val="center"/>
          </w:tcPr>
          <w:p>
            <w:pPr>
              <w:pStyle w:val="107"/>
            </w:pPr>
            <w:r>
              <w:t>t/a</w:t>
            </w:r>
          </w:p>
        </w:tc>
        <w:tc>
          <w:tcPr>
            <w:tcW w:w="1381" w:type="dxa"/>
            <w:tcBorders>
              <w:top w:val="nil"/>
              <w:left w:val="nil"/>
              <w:bottom w:val="single" w:color="auto" w:sz="4" w:space="0"/>
              <w:right w:val="single" w:color="auto" w:sz="4" w:space="0"/>
            </w:tcBorders>
            <w:shd w:val="clear" w:color="auto" w:fill="auto"/>
            <w:vAlign w:val="center"/>
          </w:tcPr>
          <w:p>
            <w:pPr>
              <w:pStyle w:val="107"/>
            </w:pPr>
            <w:r>
              <w:t>0.8</w:t>
            </w:r>
          </w:p>
        </w:tc>
        <w:tc>
          <w:tcPr>
            <w:tcW w:w="3015" w:type="dxa"/>
            <w:gridSpan w:val="3"/>
            <w:vMerge w:val="continue"/>
            <w:tcBorders>
              <w:top w:val="nil"/>
              <w:left w:val="nil"/>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vMerge w:val="continue"/>
            <w:tcBorders>
              <w:top w:val="nil"/>
              <w:left w:val="single" w:color="auto" w:sz="4" w:space="0"/>
              <w:bottom w:val="single" w:color="000000" w:sz="4" w:space="0"/>
              <w:right w:val="single" w:color="auto" w:sz="4" w:space="0"/>
            </w:tcBorders>
            <w:vAlign w:val="center"/>
          </w:tcPr>
          <w:p>
            <w:pPr>
              <w:pStyle w:val="107"/>
            </w:pP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含油废抹布</w:t>
            </w:r>
          </w:p>
        </w:tc>
        <w:tc>
          <w:tcPr>
            <w:tcW w:w="867" w:type="dxa"/>
            <w:tcBorders>
              <w:top w:val="nil"/>
              <w:left w:val="nil"/>
              <w:bottom w:val="single" w:color="auto" w:sz="4" w:space="0"/>
              <w:right w:val="single" w:color="auto" w:sz="4" w:space="0"/>
            </w:tcBorders>
            <w:shd w:val="clear" w:color="auto" w:fill="auto"/>
            <w:vAlign w:val="center"/>
          </w:tcPr>
          <w:p>
            <w:pPr>
              <w:pStyle w:val="107"/>
            </w:pPr>
            <w:r>
              <w:t>t/a</w:t>
            </w:r>
          </w:p>
        </w:tc>
        <w:tc>
          <w:tcPr>
            <w:tcW w:w="1381" w:type="dxa"/>
            <w:tcBorders>
              <w:top w:val="nil"/>
              <w:left w:val="nil"/>
              <w:bottom w:val="single" w:color="auto" w:sz="4" w:space="0"/>
              <w:right w:val="single" w:color="auto" w:sz="4" w:space="0"/>
            </w:tcBorders>
            <w:shd w:val="clear" w:color="auto" w:fill="auto"/>
            <w:vAlign w:val="center"/>
          </w:tcPr>
          <w:p>
            <w:pPr>
              <w:pStyle w:val="107"/>
            </w:pPr>
            <w:r>
              <w:t xml:space="preserve">0.1 </w:t>
            </w:r>
          </w:p>
        </w:tc>
        <w:tc>
          <w:tcPr>
            <w:tcW w:w="3015" w:type="dxa"/>
            <w:gridSpan w:val="3"/>
            <w:vMerge w:val="continue"/>
            <w:tcBorders>
              <w:top w:val="nil"/>
              <w:left w:val="nil"/>
              <w:bottom w:val="single" w:color="auto" w:sz="4" w:space="0"/>
              <w:right w:val="single" w:color="auto" w:sz="4" w:space="0"/>
            </w:tcBorders>
            <w:vAlign w:val="center"/>
          </w:tcPr>
          <w:p>
            <w:pPr>
              <w:pStyle w:val="107"/>
            </w:pPr>
          </w:p>
        </w:tc>
      </w:tr>
      <w:tr>
        <w:tblPrEx>
          <w:tblLayout w:type="fixed"/>
          <w:tblCellMar>
            <w:top w:w="0" w:type="dxa"/>
            <w:left w:w="108" w:type="dxa"/>
            <w:bottom w:w="0" w:type="dxa"/>
            <w:right w:w="108" w:type="dxa"/>
          </w:tblCellMar>
        </w:tblPrEx>
        <w:trPr>
          <w:trHeight w:val="20" w:hRule="atLeast"/>
        </w:trPr>
        <w:tc>
          <w:tcPr>
            <w:tcW w:w="851" w:type="dxa"/>
            <w:vMerge w:val="continue"/>
            <w:tcBorders>
              <w:top w:val="nil"/>
              <w:left w:val="single" w:color="auto" w:sz="4" w:space="0"/>
              <w:bottom w:val="single" w:color="auto" w:sz="4" w:space="0"/>
              <w:right w:val="single" w:color="auto" w:sz="4" w:space="0"/>
            </w:tcBorders>
            <w:vAlign w:val="center"/>
          </w:tcPr>
          <w:p>
            <w:pPr>
              <w:pStyle w:val="107"/>
            </w:pPr>
          </w:p>
        </w:tc>
        <w:tc>
          <w:tcPr>
            <w:tcW w:w="1383" w:type="dxa"/>
            <w:tcBorders>
              <w:top w:val="nil"/>
              <w:left w:val="nil"/>
              <w:bottom w:val="single" w:color="auto" w:sz="4" w:space="0"/>
              <w:right w:val="single" w:color="auto" w:sz="4" w:space="0"/>
            </w:tcBorders>
            <w:shd w:val="clear" w:color="auto" w:fill="auto"/>
            <w:vAlign w:val="center"/>
          </w:tcPr>
          <w:p>
            <w:pPr>
              <w:pStyle w:val="107"/>
            </w:pPr>
            <w:r>
              <w:rPr>
                <w:rFonts w:hint="eastAsia"/>
              </w:rPr>
              <w:t>生活垃圾</w:t>
            </w:r>
          </w:p>
        </w:tc>
        <w:tc>
          <w:tcPr>
            <w:tcW w:w="1553" w:type="dxa"/>
            <w:tcBorders>
              <w:top w:val="nil"/>
              <w:left w:val="nil"/>
              <w:bottom w:val="single" w:color="auto" w:sz="4" w:space="0"/>
              <w:right w:val="single" w:color="auto" w:sz="4" w:space="0"/>
            </w:tcBorders>
            <w:shd w:val="clear" w:color="auto" w:fill="auto"/>
            <w:vAlign w:val="center"/>
          </w:tcPr>
          <w:p>
            <w:pPr>
              <w:pStyle w:val="107"/>
            </w:pPr>
            <w:r>
              <w:rPr>
                <w:rFonts w:hint="eastAsia"/>
              </w:rPr>
              <w:t>生活垃圾</w:t>
            </w:r>
          </w:p>
        </w:tc>
        <w:tc>
          <w:tcPr>
            <w:tcW w:w="867" w:type="dxa"/>
            <w:tcBorders>
              <w:top w:val="nil"/>
              <w:left w:val="nil"/>
              <w:bottom w:val="single" w:color="auto" w:sz="4" w:space="0"/>
              <w:right w:val="single" w:color="auto" w:sz="4" w:space="0"/>
            </w:tcBorders>
            <w:shd w:val="clear" w:color="auto" w:fill="auto"/>
            <w:vAlign w:val="center"/>
          </w:tcPr>
          <w:p>
            <w:pPr>
              <w:pStyle w:val="107"/>
            </w:pPr>
            <w:r>
              <w:t>t/a</w:t>
            </w:r>
          </w:p>
        </w:tc>
        <w:tc>
          <w:tcPr>
            <w:tcW w:w="1381" w:type="dxa"/>
            <w:tcBorders>
              <w:top w:val="nil"/>
              <w:left w:val="nil"/>
              <w:bottom w:val="single" w:color="auto" w:sz="4" w:space="0"/>
              <w:right w:val="single" w:color="auto" w:sz="4" w:space="0"/>
            </w:tcBorders>
            <w:shd w:val="clear" w:color="auto" w:fill="auto"/>
            <w:vAlign w:val="center"/>
          </w:tcPr>
          <w:p>
            <w:pPr>
              <w:pStyle w:val="107"/>
            </w:pPr>
            <w:r>
              <w:t>4.5</w:t>
            </w:r>
          </w:p>
        </w:tc>
        <w:tc>
          <w:tcPr>
            <w:tcW w:w="3015" w:type="dxa"/>
            <w:gridSpan w:val="3"/>
            <w:vMerge w:val="continue"/>
            <w:tcBorders>
              <w:top w:val="nil"/>
              <w:left w:val="nil"/>
              <w:bottom w:val="single" w:color="auto" w:sz="4" w:space="0"/>
              <w:right w:val="single" w:color="auto" w:sz="4" w:space="0"/>
            </w:tcBorders>
            <w:vAlign w:val="center"/>
          </w:tcPr>
          <w:p>
            <w:pPr>
              <w:pStyle w:val="107"/>
            </w:pPr>
          </w:p>
        </w:tc>
      </w:tr>
    </w:tbl>
    <w:p>
      <w:pPr>
        <w:pStyle w:val="4"/>
      </w:pPr>
      <w:bookmarkStart w:id="740" w:name="_Toc862"/>
      <w:bookmarkStart w:id="741" w:name="_Toc3538828"/>
      <w:bookmarkStart w:id="742" w:name="_Toc15037"/>
      <w:r>
        <w:rPr>
          <w:rFonts w:hint="eastAsia"/>
        </w:rPr>
        <w:t>营运期主要</w:t>
      </w:r>
      <w:r>
        <w:t>环境影响评价结论</w:t>
      </w:r>
      <w:bookmarkEnd w:id="737"/>
      <w:bookmarkEnd w:id="738"/>
      <w:bookmarkEnd w:id="740"/>
      <w:bookmarkEnd w:id="741"/>
      <w:bookmarkEnd w:id="742"/>
    </w:p>
    <w:p>
      <w:pPr>
        <w:pStyle w:val="5"/>
      </w:pPr>
      <w:bookmarkStart w:id="743" w:name="_Toc331536327"/>
      <w:r>
        <w:t>地表水环境影响</w:t>
      </w:r>
      <w:bookmarkEnd w:id="743"/>
      <w:r>
        <w:rPr>
          <w:rFonts w:hint="eastAsia"/>
        </w:rPr>
        <w:t>评价结论</w:t>
      </w:r>
    </w:p>
    <w:p>
      <w:pPr>
        <w:ind w:firstLine="486"/>
        <w:rPr>
          <w:rFonts w:cs="Times New Roman" w:eastAsiaTheme="minorEastAsia"/>
          <w:snapToGrid w:val="0"/>
        </w:rPr>
      </w:pPr>
      <w:bookmarkStart w:id="744" w:name="_Toc331536328"/>
      <w:r>
        <w:rPr>
          <w:rFonts w:hint="eastAsia" w:eastAsiaTheme="minorEastAsia"/>
          <w:snapToGrid w:val="0"/>
        </w:rPr>
        <w:t>项目生产过程无工业废水对外排放，对外排放的废水主要为生活污水，</w:t>
      </w:r>
      <w:r>
        <w:rPr>
          <w:rFonts w:hint="eastAsia" w:eastAsiaTheme="minorEastAsia"/>
        </w:rPr>
        <w:t>排放总量约</w:t>
      </w:r>
      <w:r>
        <w:rPr>
          <w:rFonts w:eastAsiaTheme="minorEastAsia"/>
        </w:rPr>
        <w:t>1</w:t>
      </w:r>
      <w:r>
        <w:rPr>
          <w:rFonts w:hint="eastAsia" w:eastAsiaTheme="minorEastAsia"/>
        </w:rPr>
        <w:t>.</w:t>
      </w:r>
      <w:r>
        <w:rPr>
          <w:rFonts w:eastAsiaTheme="minorEastAsia"/>
        </w:rPr>
        <w:t>0</w:t>
      </w:r>
      <w:r>
        <w:rPr>
          <w:rFonts w:hint="eastAsia" w:eastAsiaTheme="minorEastAsia"/>
        </w:rPr>
        <w:t xml:space="preserve">8 </w:t>
      </w:r>
      <w:r>
        <w:rPr>
          <w:rFonts w:eastAsiaTheme="minorEastAsia"/>
        </w:rPr>
        <w:t>m</w:t>
      </w:r>
      <w:r>
        <w:rPr>
          <w:rFonts w:eastAsiaTheme="minorEastAsia"/>
          <w:vertAlign w:val="superscript"/>
        </w:rPr>
        <w:t>3</w:t>
      </w:r>
      <w:r>
        <w:rPr>
          <w:rFonts w:eastAsiaTheme="minorEastAsia"/>
        </w:rPr>
        <w:t>/d</w:t>
      </w:r>
      <w:r>
        <w:rPr>
          <w:rFonts w:hint="eastAsia" w:eastAsiaTheme="minorEastAsia"/>
        </w:rPr>
        <w:t>。</w:t>
      </w:r>
    </w:p>
    <w:p>
      <w:pPr>
        <w:ind w:firstLine="486"/>
        <w:rPr>
          <w:rFonts w:cs="Times New Roman" w:eastAsiaTheme="minorEastAsia"/>
          <w:bCs/>
        </w:rPr>
      </w:pPr>
      <w:r>
        <w:rPr>
          <w:rFonts w:hint="eastAsia" w:cs="Times New Roman" w:eastAsiaTheme="minorEastAsia"/>
          <w:bCs/>
        </w:rPr>
        <w:t>项目生活污水经三级化粪池预处理达到《橡胶制品工业污染物排放标准》（GB</w:t>
      </w:r>
      <w:r>
        <w:rPr>
          <w:rFonts w:cs="Times New Roman" w:eastAsiaTheme="minorEastAsia"/>
          <w:bCs/>
        </w:rPr>
        <w:t xml:space="preserve"> </w:t>
      </w:r>
      <w:r>
        <w:rPr>
          <w:rFonts w:hint="eastAsia" w:cs="Times New Roman" w:eastAsiaTheme="minorEastAsia"/>
          <w:bCs/>
        </w:rPr>
        <w:t>27632-2011）表2“间接排放限值”和DB</w:t>
      </w:r>
      <w:r>
        <w:rPr>
          <w:rFonts w:cs="Times New Roman" w:eastAsiaTheme="minorEastAsia"/>
          <w:bCs/>
        </w:rPr>
        <w:t xml:space="preserve"> </w:t>
      </w:r>
      <w:r>
        <w:rPr>
          <w:rFonts w:hint="eastAsia" w:cs="Times New Roman" w:eastAsiaTheme="minorEastAsia"/>
          <w:bCs/>
        </w:rPr>
        <w:t>44/26-2001第二时段三级标准两者之中的较严者后，并满足污水处理厂进水水质要求后，排入苍城污水处理厂进行深度处理，达标后排入污水处理厂东侧镇海水，最终汇入潭江。</w:t>
      </w:r>
    </w:p>
    <w:p>
      <w:pPr>
        <w:ind w:firstLine="486"/>
        <w:rPr>
          <w:rFonts w:cs="Times New Roman" w:eastAsiaTheme="minorEastAsia"/>
          <w:snapToGrid w:val="0"/>
        </w:rPr>
      </w:pPr>
      <w:r>
        <w:rPr>
          <w:rFonts w:hint="eastAsia" w:cs="Times New Roman" w:eastAsiaTheme="minorEastAsia"/>
          <w:snapToGrid w:val="0"/>
        </w:rPr>
        <w:t>项目外排废水经上述处理后达标排放对周边地表水环境的影响可以大大减小，可以控制在可接受范围之内。</w:t>
      </w:r>
    </w:p>
    <w:p>
      <w:pPr>
        <w:pStyle w:val="5"/>
      </w:pPr>
      <w:r>
        <w:rPr>
          <w:rFonts w:hint="eastAsia"/>
        </w:rPr>
        <w:t>地下水环境影响评价结论</w:t>
      </w:r>
    </w:p>
    <w:p>
      <w:pPr>
        <w:ind w:firstLine="486"/>
      </w:pPr>
      <w:r>
        <w:rPr>
          <w:rFonts w:hint="eastAsia"/>
        </w:rPr>
        <w:t>本项目大部分的地表已经硬底化，且本项目主要是室内生产，在对生活污水处理设施、事故应急池、厂房和仓库等做好各项预防措施后，污染物渗入地下水的机率较小，对地下水的不利影响不大。</w:t>
      </w:r>
    </w:p>
    <w:p>
      <w:pPr>
        <w:pStyle w:val="5"/>
      </w:pPr>
      <w:r>
        <w:t>大气环境影响预测</w:t>
      </w:r>
      <w:bookmarkEnd w:id="744"/>
      <w:r>
        <w:rPr>
          <w:rFonts w:hint="eastAsia"/>
        </w:rPr>
        <w:t>评价结论</w:t>
      </w:r>
    </w:p>
    <w:p>
      <w:pPr>
        <w:ind w:firstLine="486"/>
        <w:rPr>
          <w:rFonts w:eastAsiaTheme="minorEastAsia"/>
        </w:rPr>
      </w:pPr>
      <w:r>
        <w:rPr>
          <w:rFonts w:eastAsiaTheme="minorEastAsia"/>
        </w:rPr>
        <w:t>本项目</w:t>
      </w:r>
      <w:r>
        <w:rPr>
          <w:rFonts w:hint="eastAsia" w:eastAsiaTheme="minorEastAsia"/>
        </w:rPr>
        <w:t>营运期大气污染源主要是密炼工序产生的非甲烷总烃、颗粒物、硫化氢；开炼工序产生的非甲烷总烃和硫化氢；硫化成型工序产生的非甲烷总烃和硫化氢；抛丸产生的粉尘；粘胶产生的有机废气。</w:t>
      </w:r>
    </w:p>
    <w:p>
      <w:pPr>
        <w:ind w:firstLine="486"/>
        <w:rPr>
          <w:rFonts w:eastAsiaTheme="minorEastAsia"/>
        </w:rPr>
      </w:pPr>
      <w:r>
        <w:t>《环境影响评价技术导则 大气环境》（HJ 2.2-2018）推荐模式中的</w:t>
      </w:r>
      <w:r>
        <w:rPr>
          <w:rFonts w:hint="eastAsia"/>
        </w:rPr>
        <w:t>AER</w:t>
      </w:r>
      <w:r>
        <w:t>SCREEN估算模式</w:t>
      </w:r>
      <w:r>
        <w:rPr>
          <w:rFonts w:hint="eastAsia"/>
        </w:rPr>
        <w:t>（估算</w:t>
      </w:r>
      <w:r>
        <w:t>时输入地形参数</w:t>
      </w:r>
      <w:r>
        <w:rPr>
          <w:rFonts w:hint="eastAsia"/>
        </w:rPr>
        <w:t>，考虑最不利气象条件），</w:t>
      </w:r>
      <w:r>
        <w:rPr>
          <w:rFonts w:eastAsiaTheme="minorEastAsia"/>
        </w:rPr>
        <w:t>正常工况下，本项目排放的</w:t>
      </w:r>
      <w:r>
        <w:rPr>
          <w:rFonts w:hint="eastAsia" w:eastAsiaTheme="minorEastAsia"/>
        </w:rPr>
        <w:t>非甲烷总烃、颗粒物、硫化氢</w:t>
      </w:r>
      <w:r>
        <w:rPr>
          <w:rFonts w:eastAsiaTheme="minorEastAsia"/>
        </w:rPr>
        <w:t>对周围环境的贡献值均较小，最大落地浓度均小于相应的环境标准限值，本项目废气排放对周围环境空气质量影响较小。</w:t>
      </w:r>
    </w:p>
    <w:p>
      <w:pPr>
        <w:ind w:firstLine="486"/>
        <w:rPr>
          <w:rFonts w:eastAsiaTheme="minorEastAsia"/>
        </w:rPr>
      </w:pPr>
      <w:r>
        <w:rPr>
          <w:rFonts w:hint="eastAsia" w:eastAsiaTheme="minorEastAsia"/>
        </w:rPr>
        <w:t>根据估算模式预测结果，</w:t>
      </w:r>
      <w:r>
        <w:rPr>
          <w:rFonts w:hint="eastAsia"/>
        </w:rPr>
        <w:t>密炼围蔽区面源中TSP预测结果相对最大,浓度值为</w:t>
      </w:r>
      <w:r>
        <w:t>60.42μg</w:t>
      </w:r>
      <w:r>
        <w:rPr>
          <w:rFonts w:hint="eastAsia"/>
        </w:rPr>
        <w:t xml:space="preserve"> /m³,标准值为900.0</w:t>
      </w:r>
      <w:r>
        <w:t>μg</w:t>
      </w:r>
      <w:r>
        <w:rPr>
          <w:rFonts w:hint="eastAsia"/>
        </w:rPr>
        <w:t xml:space="preserve"> /m³,占标率为</w:t>
      </w:r>
      <w:r>
        <w:t>6.71</w:t>
      </w:r>
      <w:r>
        <w:rPr>
          <w:rFonts w:hint="eastAsia"/>
        </w:rPr>
        <w:t>%,判定该污染源的评价等级为二级，</w:t>
      </w:r>
      <w:r>
        <w:rPr>
          <w:rFonts w:hint="eastAsia" w:eastAsiaTheme="minorEastAsia"/>
        </w:rPr>
        <w:t>本项目环境空气影响评价工作等级为二级。</w:t>
      </w:r>
    </w:p>
    <w:p>
      <w:pPr>
        <w:ind w:firstLine="486"/>
        <w:rPr>
          <w:rFonts w:eastAsiaTheme="minorEastAsia"/>
        </w:rPr>
      </w:pPr>
      <w:r>
        <w:rPr>
          <w:rFonts w:hint="eastAsia" w:eastAsiaTheme="minorEastAsia"/>
        </w:rPr>
        <w:t>根据《环境影响评价技术导则 大气环境》（HJ 2.2-2018），二级评价项目不进行进一步预测与评价，只对污染物排放量进行核算。本项目所有污染物对厂界外短期贡献浓度均未超过质量标准，无需设置大气环境防护距离，大气环境影响可接受。</w:t>
      </w:r>
    </w:p>
    <w:p>
      <w:pPr>
        <w:pStyle w:val="5"/>
      </w:pPr>
      <w:bookmarkStart w:id="745" w:name="_Toc331536329"/>
      <w:r>
        <w:t>声环境影响预测</w:t>
      </w:r>
      <w:bookmarkEnd w:id="745"/>
      <w:r>
        <w:rPr>
          <w:rFonts w:hint="eastAsia"/>
        </w:rPr>
        <w:t>评价结论</w:t>
      </w:r>
    </w:p>
    <w:p>
      <w:pPr>
        <w:ind w:firstLine="486"/>
        <w:rPr>
          <w:rFonts w:eastAsiaTheme="minorEastAsia"/>
        </w:rPr>
      </w:pPr>
      <w:bookmarkStart w:id="746" w:name="_Toc331536330"/>
      <w:r>
        <w:rPr>
          <w:rFonts w:eastAsiaTheme="minorEastAsia"/>
        </w:rPr>
        <w:t>根据预测分析，项目全部投产后，在采取相应防治措施的前提下，</w:t>
      </w:r>
      <w:r>
        <w:rPr>
          <w:rStyle w:val="63"/>
          <w:rFonts w:hint="eastAsia"/>
          <w:color w:val="000000" w:themeColor="text1"/>
          <w14:textFill>
            <w14:solidFill>
              <w14:schemeClr w14:val="tx1"/>
            </w14:solidFill>
          </w14:textFill>
        </w:rPr>
        <w:t>厂界四周噪声贡献值符合</w:t>
      </w:r>
      <w:r>
        <w:rPr>
          <w:rStyle w:val="63"/>
          <w:color w:val="000000" w:themeColor="text1"/>
          <w14:textFill>
            <w14:solidFill>
              <w14:schemeClr w14:val="tx1"/>
            </w14:solidFill>
          </w14:textFill>
        </w:rPr>
        <w:t>《工业企业厂界环境噪声排放标准》（GB 12348-2008）对应的</w:t>
      </w:r>
      <w:r>
        <w:rPr>
          <w:rStyle w:val="63"/>
          <w:rFonts w:hint="eastAsia"/>
          <w:color w:val="000000" w:themeColor="text1"/>
          <w14:textFill>
            <w14:solidFill>
              <w14:schemeClr w14:val="tx1"/>
            </w14:solidFill>
          </w14:textFill>
        </w:rPr>
        <w:t>2</w:t>
      </w:r>
      <w:r>
        <w:rPr>
          <w:rStyle w:val="63"/>
          <w:color w:val="000000" w:themeColor="text1"/>
          <w14:textFill>
            <w14:solidFill>
              <w14:schemeClr w14:val="tx1"/>
            </w14:solidFill>
          </w14:textFill>
        </w:rPr>
        <w:t>类功能区标准限值要求</w:t>
      </w:r>
      <w:r>
        <w:rPr>
          <w:rStyle w:val="63"/>
          <w:rFonts w:hint="eastAsia"/>
          <w:color w:val="000000" w:themeColor="text1"/>
          <w14:textFill>
            <w14:solidFill>
              <w14:schemeClr w14:val="tx1"/>
            </w14:solidFill>
          </w14:textFill>
        </w:rPr>
        <w:t>，</w:t>
      </w:r>
      <w:r>
        <w:rPr>
          <w:rFonts w:eastAsiaTheme="minorEastAsia"/>
          <w:color w:val="000000" w:themeColor="text1"/>
          <w14:textFill>
            <w14:solidFill>
              <w14:schemeClr w14:val="tx1"/>
            </w14:solidFill>
          </w14:textFill>
        </w:rPr>
        <w:t>总体来说本项目对周边环境的噪声影响</w:t>
      </w:r>
      <w:r>
        <w:rPr>
          <w:rFonts w:eastAsiaTheme="minorEastAsia"/>
        </w:rPr>
        <w:t>较小。</w:t>
      </w:r>
    </w:p>
    <w:p>
      <w:pPr>
        <w:pStyle w:val="5"/>
      </w:pPr>
      <w:r>
        <w:t>固体废物环境影响</w:t>
      </w:r>
      <w:bookmarkEnd w:id="746"/>
      <w:r>
        <w:rPr>
          <w:rFonts w:hint="eastAsia"/>
        </w:rPr>
        <w:t>评价结论</w:t>
      </w:r>
    </w:p>
    <w:p>
      <w:pPr>
        <w:ind w:firstLine="486"/>
        <w:rPr>
          <w:rFonts w:cs="Times New Roman" w:eastAsiaTheme="minorEastAsia"/>
        </w:rPr>
      </w:pPr>
      <w:bookmarkStart w:id="747" w:name="_Toc331536331"/>
      <w:bookmarkStart w:id="748" w:name="_Toc329784262"/>
      <w:r>
        <w:rPr>
          <w:rFonts w:hint="eastAsia" w:cs="Times New Roman" w:eastAsiaTheme="minorEastAsia"/>
        </w:rPr>
        <w:t>本项目运营期产生的固体废物主要有一般工业固废（切胶的边角料、修边的边角料、检验产生的不合格品、包装废弃物、袋式除尘器收集的除尘灰）、危险废物（活性炭吸附装置处理有机废气过程中产生的废饱和活性炭</w:t>
      </w:r>
      <w:r>
        <w:rPr>
          <w:rFonts w:hint="eastAsia" w:eastAsiaTheme="minorEastAsia"/>
        </w:rPr>
        <w:t>以及设备维修过程中产生的</w:t>
      </w:r>
      <w:r>
        <w:rPr>
          <w:rFonts w:hint="eastAsia"/>
        </w:rPr>
        <w:t>废润滑油、含油废抹布</w:t>
      </w:r>
      <w:r>
        <w:rPr>
          <w:rFonts w:hint="eastAsia" w:cs="Times New Roman" w:eastAsiaTheme="minorEastAsia"/>
        </w:rPr>
        <w:t>）、生活垃圾等。切胶边角料、布袋除尘灰收集后回用于生产；其他一般工业固废外卖专业资源回收公司回收利用；危险废物交由有资质的单位处理，生活垃圾交环卫部门定时清运，日产日清。</w:t>
      </w:r>
      <w:r>
        <w:rPr>
          <w:rFonts w:cs="Times New Roman" w:eastAsiaTheme="minorEastAsia"/>
        </w:rPr>
        <w:t>固体废物经以上措施得到妥善处置后，对周围环境影响不大。</w:t>
      </w:r>
    </w:p>
    <w:p>
      <w:pPr>
        <w:pStyle w:val="5"/>
        <w:rPr>
          <w:rStyle w:val="63"/>
          <w:color w:val="000000" w:themeColor="text1"/>
          <w14:textFill>
            <w14:solidFill>
              <w14:schemeClr w14:val="tx1"/>
            </w14:solidFill>
          </w14:textFill>
        </w:rPr>
      </w:pPr>
      <w:r>
        <w:rPr>
          <w:rStyle w:val="63"/>
          <w:color w:val="000000" w:themeColor="text1"/>
          <w14:textFill>
            <w14:solidFill>
              <w14:schemeClr w14:val="tx1"/>
            </w14:solidFill>
          </w14:textFill>
        </w:rPr>
        <w:t>土壤环境影响分析</w:t>
      </w:r>
    </w:p>
    <w:p>
      <w:pPr>
        <w:ind w:firstLine="486"/>
        <w:rPr>
          <w:color w:val="000000" w:themeColor="text1"/>
          <w14:textFill>
            <w14:solidFill>
              <w14:schemeClr w14:val="tx1"/>
            </w14:solidFill>
          </w14:textFill>
        </w:rPr>
      </w:pPr>
      <w:r>
        <w:rPr>
          <w:rStyle w:val="63"/>
          <w:rFonts w:hint="eastAsia"/>
          <w:color w:val="000000" w:themeColor="text1"/>
          <w14:textFill>
            <w14:solidFill>
              <w14:schemeClr w14:val="tx1"/>
            </w14:solidFill>
          </w14:textFill>
        </w:rPr>
        <w:t>根据地下水环境影响评价结论可知，项目对可能产生地下水影响的各项途径均进行有效预防，在确保各项防渗措施得以落实，并加强维护和厂区环境管理的前提下，可有效控制厂区内的废水污染物和化工原料下渗现象。土壤和地下水污染防护措施相似，主要是防止污染物渗漏，因此，在采取以上措施的情况下，项目不会对区域土壤产生明显的影响。</w:t>
      </w:r>
    </w:p>
    <w:p>
      <w:pPr>
        <w:pStyle w:val="5"/>
      </w:pPr>
      <w:bookmarkStart w:id="749" w:name="_Toc329784263"/>
      <w:bookmarkStart w:id="750" w:name="_Toc331536338"/>
      <w:r>
        <w:t>环境风险</w:t>
      </w:r>
      <w:bookmarkEnd w:id="749"/>
      <w:bookmarkEnd w:id="750"/>
      <w:r>
        <w:rPr>
          <w:rFonts w:hint="eastAsia"/>
        </w:rPr>
        <w:t>评价结论</w:t>
      </w:r>
    </w:p>
    <w:p>
      <w:pPr>
        <w:tabs>
          <w:tab w:val="left" w:pos="180"/>
          <w:tab w:val="left" w:pos="720"/>
        </w:tabs>
        <w:adjustRightInd w:val="0"/>
        <w:ind w:firstLine="486"/>
        <w:rPr>
          <w:rFonts w:eastAsiaTheme="minorEastAsia"/>
          <w:lang w:val="zh-CN"/>
        </w:rPr>
      </w:pPr>
      <w:r>
        <w:rPr>
          <w:rFonts w:hint="eastAsia" w:eastAsiaTheme="minorEastAsia"/>
        </w:rPr>
        <w:t>本项目属于橡胶制品生产项目，所用的原辅材料有一定的有害性，尤其使用的硫磺粉等化工原料具有可燃等特性。</w:t>
      </w:r>
      <w:r>
        <w:rPr>
          <w:rFonts w:hint="eastAsia" w:eastAsiaTheme="minorEastAsia"/>
          <w:lang w:val="zh-CN"/>
        </w:rPr>
        <w:t>经分析，本项目不构成重大危险源。</w:t>
      </w:r>
    </w:p>
    <w:p>
      <w:pPr>
        <w:tabs>
          <w:tab w:val="left" w:pos="180"/>
          <w:tab w:val="left" w:pos="720"/>
        </w:tabs>
        <w:adjustRightInd w:val="0"/>
        <w:ind w:firstLine="486"/>
        <w:rPr>
          <w:rFonts w:eastAsiaTheme="minorEastAsia"/>
          <w:lang w:val="zh-CN"/>
        </w:rPr>
      </w:pPr>
      <w:r>
        <w:rPr>
          <w:rFonts w:hint="eastAsia" w:eastAsiaTheme="minorEastAsia"/>
          <w:lang w:val="zh-CN"/>
        </w:rPr>
        <w:t>项目的主要环境风险因素是化学品的泄漏，同时由于泄漏可能引起的火灾、爆炸产生的伴生/次生污染，以及</w:t>
      </w:r>
      <w:r>
        <w:rPr>
          <w:rFonts w:hint="eastAsia" w:eastAsiaTheme="minorEastAsia"/>
        </w:rPr>
        <w:t>废气处理系统非正常工况排放产生的风险影响。</w:t>
      </w:r>
    </w:p>
    <w:p>
      <w:pPr>
        <w:tabs>
          <w:tab w:val="left" w:pos="180"/>
          <w:tab w:val="left" w:pos="720"/>
        </w:tabs>
        <w:adjustRightInd w:val="0"/>
        <w:ind w:firstLine="486"/>
        <w:rPr>
          <w:rFonts w:eastAsiaTheme="minorEastAsia"/>
        </w:rPr>
      </w:pPr>
      <w:r>
        <w:rPr>
          <w:rFonts w:hint="eastAsia" w:eastAsiaTheme="minorEastAsia"/>
        </w:rPr>
        <w:t>采取相关防治措施后，当发生泄漏事故时，泄漏的物料可控制在储存单元内，不会对外环境造成影响。一般情况下，火灾产生的有害废气会引起周围大气环境暂时性超标，待扑灭后会慢慢消散，大气环境可恢复到事故前的水平。发生火灾爆炸事故时，一般使用泡沫、干粉、砂土等作为灭火材料，事故时，将所有废水废液妥善收集，引入厂内应急事故池暂时储存，因此，泄漏物料一般不会直接进入下水道或地表水体中，不会对水体造成污染。</w:t>
      </w:r>
    </w:p>
    <w:p>
      <w:pPr>
        <w:tabs>
          <w:tab w:val="left" w:pos="180"/>
          <w:tab w:val="left" w:pos="720"/>
        </w:tabs>
        <w:adjustRightInd w:val="0"/>
        <w:ind w:firstLine="486"/>
        <w:rPr>
          <w:rFonts w:eastAsiaTheme="minorEastAsia"/>
        </w:rPr>
      </w:pPr>
      <w:r>
        <w:rPr>
          <w:rFonts w:hint="eastAsia" w:eastAsiaTheme="minorEastAsia"/>
        </w:rPr>
        <w:t>为了减轻本项目对周围环境的影响程度和范围，保证该地区的可持续发展，厂方须建立严格、规范的大气污染应急预案，加强废气净化设施的日常管理、维护，一旦发生事故性排放，立即停止生产线运行，直至废气净化设施恢复正为止。</w:t>
      </w:r>
    </w:p>
    <w:p>
      <w:pPr>
        <w:tabs>
          <w:tab w:val="left" w:pos="180"/>
          <w:tab w:val="left" w:pos="720"/>
        </w:tabs>
        <w:adjustRightInd w:val="0"/>
        <w:ind w:firstLine="486"/>
        <w:rPr>
          <w:rFonts w:eastAsiaTheme="minorEastAsia"/>
        </w:rPr>
      </w:pPr>
      <w:r>
        <w:rPr>
          <w:rFonts w:hint="eastAsia" w:eastAsiaTheme="minorEastAsia"/>
        </w:rPr>
        <w:t>本评价认为在落实、完善相关风险管理及防范措施，编制并切实执行事故应急预案</w:t>
      </w:r>
      <w:r>
        <w:rPr>
          <w:rFonts w:hint="eastAsia" w:eastAsiaTheme="minorEastAsia"/>
          <w:lang w:val="zh-CN"/>
        </w:rPr>
        <w:t>的情况下</w:t>
      </w:r>
      <w:r>
        <w:rPr>
          <w:rFonts w:hint="eastAsia" w:eastAsiaTheme="minorEastAsia"/>
        </w:rPr>
        <w:t>，项目的</w:t>
      </w:r>
      <w:r>
        <w:rPr>
          <w:rFonts w:hint="eastAsia" w:eastAsiaTheme="minorEastAsia"/>
          <w:lang w:val="zh-CN"/>
        </w:rPr>
        <w:t>环境风险可得到控制，风险影响程度可接受。</w:t>
      </w:r>
    </w:p>
    <w:p>
      <w:pPr>
        <w:pStyle w:val="4"/>
      </w:pPr>
      <w:bookmarkStart w:id="751" w:name="_Toc18578"/>
      <w:bookmarkStart w:id="752" w:name="_Toc32568"/>
      <w:bookmarkStart w:id="753" w:name="_Toc3538829"/>
      <w:r>
        <w:t>环境保护措施与环保投资</w:t>
      </w:r>
      <w:bookmarkEnd w:id="747"/>
      <w:bookmarkEnd w:id="748"/>
      <w:bookmarkEnd w:id="751"/>
      <w:bookmarkEnd w:id="752"/>
      <w:bookmarkEnd w:id="753"/>
    </w:p>
    <w:p>
      <w:pPr>
        <w:pStyle w:val="5"/>
      </w:pPr>
      <w:bookmarkStart w:id="754" w:name="_Toc331536332"/>
      <w:r>
        <w:t>水污染防治措施</w:t>
      </w:r>
      <w:bookmarkEnd w:id="754"/>
    </w:p>
    <w:p>
      <w:pPr>
        <w:ind w:firstLine="486"/>
        <w:rPr>
          <w:rFonts w:cs="Times New Roman" w:eastAsiaTheme="minorEastAsia"/>
        </w:rPr>
      </w:pPr>
      <w:r>
        <w:rPr>
          <w:rFonts w:hint="eastAsia"/>
        </w:rPr>
        <w:t>项目生产过程无工业废水对外排放，对外排放的废水主要为生活污水，外排污水量为</w:t>
      </w:r>
      <w:r>
        <w:rPr>
          <w:rFonts w:eastAsiaTheme="minorEastAsia"/>
        </w:rPr>
        <w:t>1.08</w:t>
      </w:r>
      <w:r>
        <w:rPr>
          <w:rFonts w:hint="eastAsia" w:eastAsiaTheme="minorEastAsia"/>
        </w:rPr>
        <w:t>m</w:t>
      </w:r>
      <w:r>
        <w:rPr>
          <w:rFonts w:eastAsiaTheme="minorEastAsia"/>
          <w:vertAlign w:val="superscript"/>
        </w:rPr>
        <w:t>3</w:t>
      </w:r>
      <w:r>
        <w:rPr>
          <w:rFonts w:eastAsiaTheme="minorEastAsia"/>
        </w:rPr>
        <w:t>/d</w:t>
      </w:r>
      <w:r>
        <w:rPr>
          <w:rFonts w:hint="eastAsia" w:eastAsiaTheme="minorEastAsia"/>
        </w:rPr>
        <w:t>（</w:t>
      </w:r>
      <w:r>
        <w:rPr>
          <w:rFonts w:eastAsiaTheme="minorEastAsia"/>
        </w:rPr>
        <w:t>324</w:t>
      </w:r>
      <w:r>
        <w:rPr>
          <w:rFonts w:hint="eastAsia" w:eastAsiaTheme="minorEastAsia"/>
        </w:rPr>
        <w:t>m</w:t>
      </w:r>
      <w:r>
        <w:rPr>
          <w:rFonts w:eastAsiaTheme="minorEastAsia"/>
          <w:vertAlign w:val="superscript"/>
        </w:rPr>
        <w:t>3</w:t>
      </w:r>
      <w:r>
        <w:rPr>
          <w:rFonts w:eastAsiaTheme="minorEastAsia"/>
        </w:rPr>
        <w:t>/</w:t>
      </w:r>
      <w:r>
        <w:rPr>
          <w:rFonts w:hint="eastAsia" w:eastAsiaTheme="minorEastAsia"/>
        </w:rPr>
        <w:t>a）。</w:t>
      </w:r>
      <w:r>
        <w:rPr>
          <w:rFonts w:hint="eastAsia"/>
        </w:rPr>
        <w:t>废水中主要含COD</w:t>
      </w:r>
      <w:r>
        <w:rPr>
          <w:rFonts w:hint="eastAsia"/>
          <w:vertAlign w:val="subscript"/>
        </w:rPr>
        <w:t>Cr</w:t>
      </w:r>
      <w:r>
        <w:rPr>
          <w:rFonts w:hint="eastAsia"/>
        </w:rPr>
        <w:t>、BOD</w:t>
      </w:r>
      <w:r>
        <w:rPr>
          <w:rFonts w:hint="eastAsia"/>
          <w:vertAlign w:val="subscript"/>
        </w:rPr>
        <w:t>5</w:t>
      </w:r>
      <w:r>
        <w:rPr>
          <w:rFonts w:hint="eastAsia"/>
        </w:rPr>
        <w:t>、氨氮等污染物。</w:t>
      </w:r>
    </w:p>
    <w:p>
      <w:pPr>
        <w:ind w:firstLine="486"/>
        <w:rPr>
          <w:rFonts w:eastAsiaTheme="minorEastAsia"/>
          <w:lang w:val="zh-CN"/>
        </w:rPr>
      </w:pPr>
      <w:r>
        <w:rPr>
          <w:rFonts w:hint="eastAsia"/>
        </w:rPr>
        <w:t>项目所在地是苍城污水处理厂的纳污范围，</w:t>
      </w:r>
      <w:r>
        <w:rPr>
          <w:rFonts w:hint="eastAsia" w:cs="Times New Roman" w:eastAsiaTheme="minorEastAsia"/>
          <w:bCs/>
        </w:rPr>
        <w:t>项目营运期生活污水能够纳入生活污水处理厂进行处理，项目生活污水经预处理达到GB</w:t>
      </w:r>
      <w:r>
        <w:rPr>
          <w:rFonts w:cs="Times New Roman" w:eastAsiaTheme="minorEastAsia"/>
          <w:bCs/>
        </w:rPr>
        <w:t xml:space="preserve"> </w:t>
      </w:r>
      <w:r>
        <w:rPr>
          <w:rFonts w:hint="eastAsia" w:cs="Times New Roman" w:eastAsiaTheme="minorEastAsia"/>
          <w:bCs/>
        </w:rPr>
        <w:t>27632-2011中表2“间接排放限值”、DB</w:t>
      </w:r>
      <w:r>
        <w:rPr>
          <w:rFonts w:cs="Times New Roman" w:eastAsiaTheme="minorEastAsia"/>
          <w:bCs/>
        </w:rPr>
        <w:t xml:space="preserve"> </w:t>
      </w:r>
      <w:r>
        <w:rPr>
          <w:rFonts w:hint="eastAsia" w:cs="Times New Roman" w:eastAsiaTheme="minorEastAsia"/>
          <w:bCs/>
        </w:rPr>
        <w:t>44/26-2001第二时段三级标准两者间较严者，并满足污水处理厂进水水质要求后，排入</w:t>
      </w:r>
      <w:r>
        <w:rPr>
          <w:rFonts w:hint="eastAsia"/>
        </w:rPr>
        <w:t>苍城污水处理厂</w:t>
      </w:r>
      <w:r>
        <w:rPr>
          <w:rFonts w:hint="eastAsia" w:cs="Times New Roman" w:eastAsiaTheme="minorEastAsia"/>
          <w:bCs/>
        </w:rPr>
        <w:t>进行深度处理，达标后排入镇海水最终汇入潭江。</w:t>
      </w:r>
    </w:p>
    <w:p>
      <w:pPr>
        <w:pStyle w:val="5"/>
      </w:pPr>
      <w:bookmarkStart w:id="755" w:name="_Toc331536333"/>
      <w:r>
        <w:t>大气污染防治措施</w:t>
      </w:r>
      <w:bookmarkEnd w:id="755"/>
    </w:p>
    <w:p>
      <w:pPr>
        <w:ind w:firstLine="486"/>
        <w:rPr>
          <w:rFonts w:eastAsiaTheme="minorEastAsia"/>
          <w:color w:val="FF0000"/>
        </w:rPr>
      </w:pPr>
      <w:r>
        <w:rPr>
          <w:rFonts w:hint="eastAsia"/>
        </w:rPr>
        <w:t>由污染源分析可知，项目生产过程中产生的废气主要为配料粉尘、投料粉尘、密炼废气、开炼废气、硫化废气、抛丸废气和污水站臭气。</w:t>
      </w:r>
    </w:p>
    <w:p>
      <w:pPr>
        <w:tabs>
          <w:tab w:val="left" w:pos="525"/>
        </w:tabs>
        <w:autoSpaceDE w:val="0"/>
        <w:autoSpaceDN w:val="0"/>
        <w:adjustRightInd w:val="0"/>
        <w:ind w:firstLine="486"/>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配料粉尘现状为无收集措施，无组织排放；项目密炼机运行时密闭操作，密炼室内设有抽风系统捕集密炼过程中产生的密炼废气，经密炼机出气口直接管道收集，收集后的废气通过布袋除尘处理后和硫化废气、开炼废气引至同一套活性炭吸附装置处理后经排气筒P1排放到外环境。</w:t>
      </w:r>
    </w:p>
    <w:p>
      <w:pPr>
        <w:ind w:firstLine="486"/>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目前项目开炼机辊筒上方、硫化机上方设有集气罩及抽风装置收集开炼、硫化过程中的废气，一同引至同一套活性炭吸附装置处理后引至15m高排气筒P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排放到外环境。</w:t>
      </w:r>
    </w:p>
    <w:p>
      <w:pPr>
        <w:ind w:firstLine="486"/>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考虑到密炼机的数量不多，且摆放位置较为集中，密炼空间较少，建议建设单位将配料工序移至密炼机旁进行，对配料、密炼工序进行局部围蔽处理，密炼机进、出料口设集气罩局部抽风，并对围蔽的空间进行整体负压抽风收集，围蔽空间长约1</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m，宽约1</w:t>
      </w:r>
      <w:r>
        <w:rPr>
          <w:rStyle w:val="63"/>
          <w:color w:val="000000" w:themeColor="text1"/>
          <w14:textFill>
            <w14:solidFill>
              <w14:schemeClr w14:val="tx1"/>
            </w14:solidFill>
          </w14:textFill>
        </w:rPr>
        <w:t>0</w:t>
      </w:r>
      <w:r>
        <w:rPr>
          <w:rStyle w:val="63"/>
          <w:rFonts w:hint="eastAsia"/>
          <w:color w:val="000000" w:themeColor="text1"/>
          <w14:textFill>
            <w14:solidFill>
              <w14:schemeClr w14:val="tx1"/>
            </w14:solidFill>
          </w14:textFill>
        </w:rPr>
        <w:t>m，高约</w:t>
      </w:r>
      <w:r>
        <w:rPr>
          <w:rStyle w:val="63"/>
          <w:color w:val="000000" w:themeColor="text1"/>
          <w14:textFill>
            <w14:solidFill>
              <w14:schemeClr w14:val="tx1"/>
            </w14:solidFill>
          </w14:textFill>
        </w:rPr>
        <w:t>3</w:t>
      </w:r>
      <w:r>
        <w:rPr>
          <w:rStyle w:val="63"/>
          <w:rFonts w:hint="eastAsia"/>
          <w:color w:val="000000" w:themeColor="text1"/>
          <w14:textFill>
            <w14:solidFill>
              <w14:schemeClr w14:val="tx1"/>
            </w14:solidFill>
          </w14:textFill>
        </w:rPr>
        <w:t>m，生产时闭合门窗，形成一个相对独立的空间。收集后的废气通过袋式除尘器除尘处理后，再与开炼废气、硫化废气一同引至同一套“喷淋塔+UV光解+活性炭吸附”装置处理，最终由15m高的排气筒（P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）排放。</w:t>
      </w:r>
    </w:p>
    <w:p>
      <w:pPr>
        <w:ind w:firstLine="486"/>
        <w:rPr>
          <w:rStyle w:val="63"/>
          <w:color w:val="000000" w:themeColor="text1"/>
          <w14:textFill>
            <w14:solidFill>
              <w14:schemeClr w14:val="tx1"/>
            </w14:solidFill>
          </w14:textFill>
        </w:rPr>
      </w:pPr>
      <w:r>
        <w:rPr>
          <w:rStyle w:val="63"/>
          <w:rFonts w:hint="eastAsia"/>
          <w:color w:val="000000" w:themeColor="text1"/>
          <w14:textFill>
            <w14:solidFill>
              <w14:schemeClr w14:val="tx1"/>
            </w14:solidFill>
          </w14:textFill>
        </w:rPr>
        <w:t>加强混炼车间、裁切车、硫化车间密闭状态，生产时应关闭大门、窗户，在开炼机、硫化机原有集气罩四周配备PVC软帘，进行局部围合，收集效率为90%左右。硫化废气收集后与其他废气一起进入“喷淋塔+UV光解+活性炭吸附”处理系统净化，最终由15m高的排气筒（P</w:t>
      </w:r>
      <w:r>
        <w:rPr>
          <w:rStyle w:val="63"/>
          <w:color w:val="000000" w:themeColor="text1"/>
          <w14:textFill>
            <w14:solidFill>
              <w14:schemeClr w14:val="tx1"/>
            </w14:solidFill>
          </w14:textFill>
        </w:rPr>
        <w:t>1</w:t>
      </w:r>
      <w:r>
        <w:rPr>
          <w:rStyle w:val="63"/>
          <w:rFonts w:hint="eastAsia"/>
          <w:color w:val="000000" w:themeColor="text1"/>
          <w14:textFill>
            <w14:solidFill>
              <w14:schemeClr w14:val="tx1"/>
            </w14:solidFill>
          </w14:textFill>
        </w:rPr>
        <w:t>）排放。总处理风量为</w:t>
      </w:r>
      <w:r>
        <w:rPr>
          <w:rStyle w:val="63"/>
          <w:color w:val="000000" w:themeColor="text1"/>
          <w14:textFill>
            <w14:solidFill>
              <w14:schemeClr w14:val="tx1"/>
            </w14:solidFill>
          </w14:textFill>
        </w:rPr>
        <w:t>22</w:t>
      </w:r>
      <w:r>
        <w:rPr>
          <w:rStyle w:val="63"/>
          <w:rFonts w:hint="eastAsia"/>
          <w:color w:val="000000" w:themeColor="text1"/>
          <w14:textFill>
            <w14:solidFill>
              <w14:schemeClr w14:val="tx1"/>
            </w14:solidFill>
          </w14:textFill>
        </w:rPr>
        <w:t>000 m³/h 。</w:t>
      </w:r>
    </w:p>
    <w:p>
      <w:pPr>
        <w:ind w:firstLine="486"/>
        <w:rPr>
          <w:rFonts w:eastAsiaTheme="minorEastAsia"/>
        </w:rPr>
      </w:pPr>
      <w:r>
        <w:rPr>
          <w:rFonts w:hint="eastAsia" w:cs="Times New Roman" w:eastAsiaTheme="minorEastAsia"/>
        </w:rPr>
        <w:t>在采取上述集尘措施及废气设施处理后，粉尘的排放浓度可满足《橡胶制品工业污染物排放标准》（GB</w:t>
      </w:r>
      <w:r>
        <w:rPr>
          <w:rFonts w:cs="Times New Roman" w:eastAsiaTheme="minorEastAsia"/>
        </w:rPr>
        <w:t xml:space="preserve"> </w:t>
      </w:r>
      <w:r>
        <w:rPr>
          <w:rFonts w:hint="eastAsia" w:cs="Times New Roman" w:eastAsiaTheme="minorEastAsia"/>
        </w:rPr>
        <w:t>27632-2011）表5中的“轮胎企业及其他制品企业炼胶装置”的排放限值要求（颗粒物≤12mg/m</w:t>
      </w:r>
      <w:r>
        <w:rPr>
          <w:rFonts w:hint="eastAsia" w:cs="Times New Roman" w:eastAsiaTheme="minorEastAsia"/>
          <w:vertAlign w:val="superscript"/>
        </w:rPr>
        <w:t>3</w:t>
      </w:r>
      <w:r>
        <w:rPr>
          <w:rFonts w:hint="eastAsia" w:cs="Times New Roman"/>
        </w:rPr>
        <w:t>，基准排气量：</w:t>
      </w:r>
      <w:r>
        <w:rPr>
          <w:rFonts w:cs="Times New Roman"/>
        </w:rPr>
        <w:t>2000</w:t>
      </w:r>
      <w:r>
        <w:rPr>
          <w:b/>
          <w:sz w:val="21"/>
          <w:szCs w:val="21"/>
        </w:rPr>
        <w:t xml:space="preserve"> </w:t>
      </w:r>
      <w:r>
        <w:t>m</w:t>
      </w:r>
      <w:r>
        <w:rPr>
          <w:vertAlign w:val="superscript"/>
        </w:rPr>
        <w:t>3</w:t>
      </w:r>
      <w:r>
        <w:t>/t胶</w:t>
      </w:r>
      <w:r>
        <w:rPr>
          <w:rFonts w:hint="eastAsia" w:cs="Times New Roman" w:eastAsiaTheme="minorEastAsia"/>
        </w:rPr>
        <w:t>）要求。</w:t>
      </w:r>
    </w:p>
    <w:p>
      <w:pPr>
        <w:ind w:firstLine="486"/>
        <w:rPr>
          <w:rFonts w:eastAsiaTheme="minorEastAsia"/>
        </w:rPr>
      </w:pPr>
      <w:r>
        <w:rPr>
          <w:rFonts w:hint="eastAsia"/>
        </w:rPr>
        <w:t>根据同类项目调查和工程分析，项目混炼、硫化工序产生的废气，经上述方法处理后，非甲烷总烃的排放浓度可满足</w:t>
      </w:r>
      <w:r>
        <w:rPr>
          <w:rFonts w:hint="eastAsia" w:cs="Times New Roman"/>
        </w:rPr>
        <w:t>《橡胶制品工业污染物排放标准》（GB</w:t>
      </w:r>
      <w:r>
        <w:rPr>
          <w:rFonts w:cs="Times New Roman"/>
        </w:rPr>
        <w:t xml:space="preserve"> </w:t>
      </w:r>
      <w:r>
        <w:rPr>
          <w:rFonts w:hint="eastAsia" w:cs="Times New Roman"/>
        </w:rPr>
        <w:t>27632-2011）表5中的“轮胎企业及其他制品企业炼胶、硫化装置”</w:t>
      </w:r>
      <w:r>
        <w:rPr>
          <w:rFonts w:hint="eastAsia" w:cs="Times New Roman" w:eastAsiaTheme="minorEastAsia"/>
        </w:rPr>
        <w:t>（非甲烷总烃≤</w:t>
      </w:r>
      <w:r>
        <w:rPr>
          <w:rFonts w:cs="Times New Roman" w:eastAsiaTheme="minorEastAsia"/>
        </w:rPr>
        <w:t>10</w:t>
      </w:r>
      <w:r>
        <w:rPr>
          <w:rFonts w:hint="eastAsia" w:cs="Times New Roman" w:eastAsiaTheme="minorEastAsia"/>
        </w:rPr>
        <w:t>mg/m</w:t>
      </w:r>
      <w:r>
        <w:rPr>
          <w:rFonts w:hint="eastAsia" w:cs="Times New Roman" w:eastAsiaTheme="minorEastAsia"/>
          <w:vertAlign w:val="superscript"/>
        </w:rPr>
        <w:t>3</w:t>
      </w:r>
      <w:r>
        <w:rPr>
          <w:rFonts w:hint="eastAsia" w:cs="Times New Roman"/>
        </w:rPr>
        <w:t>，基准排气量：</w:t>
      </w:r>
      <w:r>
        <w:rPr>
          <w:rFonts w:cs="Times New Roman"/>
        </w:rPr>
        <w:t>2000</w:t>
      </w:r>
      <w:r>
        <w:rPr>
          <w:b/>
          <w:sz w:val="21"/>
          <w:szCs w:val="21"/>
        </w:rPr>
        <w:t xml:space="preserve"> </w:t>
      </w:r>
      <w:r>
        <w:t>m</w:t>
      </w:r>
      <w:r>
        <w:rPr>
          <w:vertAlign w:val="superscript"/>
        </w:rPr>
        <w:t>3</w:t>
      </w:r>
      <w:r>
        <w:t>/t胶</w:t>
      </w:r>
      <w:r>
        <w:rPr>
          <w:rFonts w:hint="eastAsia" w:cs="Times New Roman" w:eastAsiaTheme="minorEastAsia"/>
        </w:rPr>
        <w:t>）</w:t>
      </w:r>
      <w:r>
        <w:rPr>
          <w:rFonts w:hint="eastAsia"/>
        </w:rPr>
        <w:t>要求，H</w:t>
      </w:r>
      <w:r>
        <w:rPr>
          <w:vertAlign w:val="subscript"/>
        </w:rPr>
        <w:t>2</w:t>
      </w:r>
      <w:r>
        <w:t>S</w:t>
      </w:r>
      <w:r>
        <w:rPr>
          <w:rFonts w:hint="eastAsia"/>
        </w:rPr>
        <w:t>排放可满足《恶臭污染物排放标准》（</w:t>
      </w:r>
      <w:r>
        <w:t>GB 14554-93</w:t>
      </w:r>
      <w:r>
        <w:rPr>
          <w:rFonts w:hint="eastAsia"/>
        </w:rPr>
        <w:t>）1</w:t>
      </w:r>
      <w:r>
        <w:t>5</w:t>
      </w:r>
      <w:r>
        <w:rPr>
          <w:rFonts w:hint="eastAsia"/>
        </w:rPr>
        <w:t>m排气筒排放速率限值（H</w:t>
      </w:r>
      <w:r>
        <w:rPr>
          <w:vertAlign w:val="subscript"/>
        </w:rPr>
        <w:t>2</w:t>
      </w:r>
      <w:r>
        <w:t>S</w:t>
      </w:r>
      <w:r>
        <w:rPr>
          <w:rFonts w:hint="eastAsia"/>
        </w:rPr>
        <w:t>≤</w:t>
      </w:r>
      <w:r>
        <w:t>0.33 kg/h</w:t>
      </w:r>
      <w:r>
        <w:rPr>
          <w:rFonts w:hint="eastAsia"/>
        </w:rPr>
        <w:t>）要求。</w:t>
      </w:r>
    </w:p>
    <w:p>
      <w:pPr>
        <w:pStyle w:val="5"/>
      </w:pPr>
      <w:bookmarkStart w:id="756" w:name="_Toc331536334"/>
      <w:r>
        <w:t>噪声防治措施</w:t>
      </w:r>
      <w:bookmarkEnd w:id="756"/>
    </w:p>
    <w:p>
      <w:pPr>
        <w:tabs>
          <w:tab w:val="left" w:pos="180"/>
          <w:tab w:val="left" w:pos="720"/>
        </w:tabs>
        <w:adjustRightInd w:val="0"/>
        <w:ind w:firstLine="486"/>
        <w:rPr>
          <w:rFonts w:eastAsiaTheme="minorEastAsia"/>
          <w:lang w:val="zh-CN"/>
        </w:rPr>
      </w:pPr>
      <w:r>
        <w:rPr>
          <w:rFonts w:hint="eastAsia" w:eastAsiaTheme="minorEastAsia"/>
          <w:lang w:val="zh-CN"/>
        </w:rPr>
        <w:t>选用环保低噪型设备，车间内及车间外各设备合理布置；高噪声设备进行基础减振，安装减震垫；在风机的风管进、出口安装消声器，并采用风管软接头；加强强设备的日常维修、更新，确保所有设备尤其是噪声污染设备处于正常工况，防止非正常工况下的高噪声污染现象出现。</w:t>
      </w:r>
    </w:p>
    <w:p>
      <w:pPr>
        <w:pStyle w:val="5"/>
      </w:pPr>
      <w:bookmarkStart w:id="757" w:name="_Toc331536335"/>
      <w:r>
        <w:t>固废防治措施</w:t>
      </w:r>
      <w:bookmarkEnd w:id="757"/>
    </w:p>
    <w:p>
      <w:pPr>
        <w:tabs>
          <w:tab w:val="left" w:pos="180"/>
          <w:tab w:val="left" w:pos="720"/>
        </w:tabs>
        <w:adjustRightInd w:val="0"/>
        <w:ind w:firstLine="486"/>
        <w:rPr>
          <w:rFonts w:eastAsiaTheme="minorEastAsia"/>
          <w:lang w:val="zh-CN"/>
        </w:rPr>
      </w:pPr>
      <w:bookmarkStart w:id="758" w:name="_Toc331536336"/>
      <w:r>
        <w:rPr>
          <w:rFonts w:cs="Times New Roman" w:eastAsiaTheme="minorEastAsia"/>
        </w:rPr>
        <w:t>项目</w:t>
      </w:r>
      <w:r>
        <w:rPr>
          <w:rFonts w:hint="eastAsia" w:cs="Times New Roman" w:eastAsiaTheme="minorEastAsia"/>
        </w:rPr>
        <w:t>废活性炭、废润滑油、含油废抹布等危险废物</w:t>
      </w:r>
      <w:r>
        <w:rPr>
          <w:rFonts w:cs="Times New Roman" w:eastAsiaTheme="minorEastAsia"/>
        </w:rPr>
        <w:t>，在厂区划定的专区暂存，须交有危险废物处理资质单位处理；</w:t>
      </w:r>
      <w:r>
        <w:rPr>
          <w:rFonts w:hint="eastAsia" w:eastAsiaTheme="minorEastAsia"/>
          <w:lang w:val="zh-CN"/>
        </w:rPr>
        <w:t>切胶边角料返回开炼工序继续使用；除</w:t>
      </w:r>
      <w:r>
        <w:rPr>
          <w:rFonts w:hint="eastAsia" w:eastAsiaTheme="minorEastAsia"/>
        </w:rPr>
        <w:t>尘灰作为填充剂</w:t>
      </w:r>
      <w:r>
        <w:rPr>
          <w:rFonts w:ascii="Times New Roman" w:hAnsi="Times New Roman" w:cs="Times New Roman"/>
        </w:rPr>
        <w:t>返回</w:t>
      </w:r>
      <w:r>
        <w:rPr>
          <w:rFonts w:hint="eastAsia" w:ascii="Times New Roman" w:hAnsi="Times New Roman" w:cs="Times New Roman"/>
        </w:rPr>
        <w:t>密</w:t>
      </w:r>
      <w:r>
        <w:rPr>
          <w:rFonts w:ascii="Times New Roman" w:hAnsi="Times New Roman" w:cs="Times New Roman"/>
        </w:rPr>
        <w:t>炼工序继续使用</w:t>
      </w:r>
      <w:r>
        <w:rPr>
          <w:rFonts w:hint="eastAsia" w:ascii="Times New Roman" w:hAnsi="Times New Roman" w:cs="Times New Roman"/>
        </w:rPr>
        <w:t>；</w:t>
      </w:r>
      <w:r>
        <w:rPr>
          <w:rFonts w:hint="eastAsia" w:cs="Times New Roman" w:eastAsiaTheme="minorEastAsia"/>
        </w:rPr>
        <w:t>其他废包装材料、粉尘</w:t>
      </w:r>
      <w:r>
        <w:rPr>
          <w:rFonts w:cs="Times New Roman" w:eastAsiaTheme="minorEastAsia"/>
        </w:rPr>
        <w:t>、橡胶边角料</w:t>
      </w:r>
      <w:r>
        <w:rPr>
          <w:rFonts w:hint="eastAsia" w:cs="Times New Roman" w:eastAsiaTheme="minorEastAsia"/>
        </w:rPr>
        <w:t>等</w:t>
      </w:r>
      <w:r>
        <w:rPr>
          <w:rFonts w:cs="Times New Roman" w:eastAsiaTheme="minorEastAsia"/>
        </w:rPr>
        <w:t>作为一般固废，收集后交资源回收单位综合利用；员工生活垃圾交环卫部门定期清运。</w:t>
      </w:r>
    </w:p>
    <w:bookmarkEnd w:id="758"/>
    <w:p>
      <w:pPr>
        <w:pStyle w:val="5"/>
      </w:pPr>
      <w:bookmarkStart w:id="759" w:name="_Toc331536337"/>
      <w:r>
        <w:rPr>
          <w:rFonts w:hint="eastAsia"/>
        </w:rPr>
        <w:t>地下水污染防治措施</w:t>
      </w:r>
    </w:p>
    <w:p>
      <w:pPr>
        <w:ind w:firstLine="486"/>
      </w:pPr>
      <w:r>
        <w:rPr>
          <w:rFonts w:hint="eastAsia"/>
        </w:rPr>
        <w:t>本项目不以地下水作为供水水源，也不向地下水排污。结合工程水文地质特点，本项目仍应做好地下水污染防治措施，对厂区采取污染控制和分区防渗措施。</w:t>
      </w:r>
    </w:p>
    <w:p>
      <w:pPr>
        <w:pStyle w:val="5"/>
      </w:pPr>
      <w:r>
        <w:rPr>
          <w:rFonts w:hint="eastAsia"/>
        </w:rPr>
        <w:t>环境风险防范措施</w:t>
      </w:r>
    </w:p>
    <w:p>
      <w:pPr>
        <w:ind w:firstLine="486"/>
      </w:pPr>
      <w:r>
        <w:rPr>
          <w:rFonts w:hint="eastAsia"/>
        </w:rPr>
        <w:t>事故应急池拟设置于厂区西南面，设置方式为地埋式</w:t>
      </w:r>
      <w:r>
        <w:rPr>
          <w:rFonts w:hint="eastAsia"/>
          <w:color w:val="000000" w:themeColor="text1"/>
          <w14:textFill>
            <w14:solidFill>
              <w14:schemeClr w14:val="tx1"/>
            </w14:solidFill>
          </w14:textFill>
        </w:rPr>
        <w:t>，</w:t>
      </w:r>
      <w:r>
        <w:rPr>
          <w:rFonts w:hint="eastAsia"/>
        </w:rPr>
        <w:t>深度不小于1.5m，面积不小于55m²，则容积可达到8</w:t>
      </w:r>
      <w:r>
        <w:t>2.5</w:t>
      </w:r>
      <w:r>
        <w:rPr>
          <w:rFonts w:hint="eastAsia"/>
        </w:rPr>
        <w:t xml:space="preserve"> m</w:t>
      </w:r>
      <w:r>
        <w:rPr>
          <w:rFonts w:hint="eastAsia"/>
          <w:vertAlign w:val="superscript"/>
        </w:rPr>
        <w:t>3</w:t>
      </w:r>
      <w:r>
        <w:rPr>
          <w:rFonts w:hint="eastAsia"/>
        </w:rPr>
        <w:t>＞</w:t>
      </w:r>
      <w:r>
        <w:t>82</w:t>
      </w:r>
      <w:r>
        <w:rPr>
          <w:rFonts w:hint="eastAsia"/>
        </w:rPr>
        <w:t>m</w:t>
      </w:r>
      <w:r>
        <w:rPr>
          <w:rFonts w:hint="eastAsia"/>
          <w:vertAlign w:val="superscript"/>
        </w:rPr>
        <w:t>3</w:t>
      </w:r>
      <w:r>
        <w:rPr>
          <w:rFonts w:hint="eastAsia"/>
        </w:rPr>
        <w:t>，满足最不利事故情况下的应急需求；保守估计，西南侧的闲置空地面积约有</w:t>
      </w:r>
      <w:r>
        <w:t>20m</w:t>
      </w:r>
      <w:r>
        <w:rPr>
          <w:rFonts w:hint="eastAsia"/>
        </w:rPr>
        <w:t>×1</w:t>
      </w:r>
      <w:r>
        <w:t>0m</w:t>
      </w:r>
      <w:r>
        <w:rPr>
          <w:rFonts w:hint="eastAsia"/>
        </w:rPr>
        <w:t>=</w:t>
      </w:r>
      <w:r>
        <w:t>200</w:t>
      </w:r>
      <w:r>
        <w:rPr>
          <w:rFonts w:hint="eastAsia"/>
        </w:rPr>
        <w:t>m²，可满足应急池不小于55m²的占地需要。事故应急池防渗层的防渗性能应等效于6.0m 厚渗透系数为1.0×10</w:t>
      </w:r>
      <w:r>
        <w:rPr>
          <w:rFonts w:hint="eastAsia"/>
          <w:vertAlign w:val="superscript"/>
        </w:rPr>
        <w:t>-7</w:t>
      </w:r>
      <w:r>
        <w:rPr>
          <w:rFonts w:hint="eastAsia"/>
        </w:rPr>
        <w:t>cm/s 的黏土层的防渗性能，抗渗混凝土掺加水泥基渗透结晶型防水剂，掺加量为混凝土中胶凝材料的1%～10%（重量比），抗渗等级不低P10，强度等级不小于C30，水灰比不宜大于0.50，其厚度不宜小于200mm。</w:t>
      </w:r>
    </w:p>
    <w:p>
      <w:pPr>
        <w:ind w:firstLine="486"/>
      </w:pPr>
      <w:r>
        <w:rPr>
          <w:rFonts w:hint="eastAsia"/>
        </w:rPr>
        <w:t>项目厂房、仓库各出入口处应设置集液沟，并设置连通事故应急池的管道，一旦发生泄漏或火灾后产生的消防废水、废液可先流入集液沟，再通过管道引入事故应急池暂存。同时在雨水总排放口处设置截断阀，将雨水管网与事故应急池连通，并在雨水管网与事故应急池之间设置阀门；事故发生时，关闭雨水总排放口，开启雨水管网与事故应急池之间的阀门，将消防废水引入事故应急池暂存，再交由具有资质单位回收处理。</w:t>
      </w:r>
    </w:p>
    <w:p>
      <w:pPr>
        <w:pStyle w:val="5"/>
      </w:pPr>
      <w:r>
        <w:t>环保投资</w:t>
      </w:r>
      <w:bookmarkEnd w:id="759"/>
    </w:p>
    <w:p>
      <w:pPr>
        <w:tabs>
          <w:tab w:val="left" w:pos="180"/>
          <w:tab w:val="left" w:pos="720"/>
        </w:tabs>
        <w:adjustRightInd w:val="0"/>
        <w:ind w:firstLine="486"/>
        <w:rPr>
          <w:rFonts w:eastAsiaTheme="minorEastAsia"/>
          <w:lang w:val="zh-CN"/>
        </w:rPr>
      </w:pPr>
      <w:r>
        <w:rPr>
          <w:rFonts w:hint="eastAsia" w:eastAsiaTheme="minorEastAsia"/>
          <w:lang w:val="zh-CN"/>
        </w:rPr>
        <w:t>本项目环保投资总额为</w:t>
      </w:r>
      <w:r>
        <w:rPr>
          <w:rFonts w:eastAsiaTheme="minorEastAsia"/>
          <w:lang w:val="zh-CN"/>
        </w:rPr>
        <w:t>30万元</w:t>
      </w:r>
      <w:r>
        <w:rPr>
          <w:rFonts w:hint="eastAsia" w:eastAsiaTheme="minorEastAsia"/>
          <w:lang w:val="zh-CN"/>
        </w:rPr>
        <w:t>，项目总投资为</w:t>
      </w:r>
      <w:r>
        <w:rPr>
          <w:rFonts w:eastAsiaTheme="minorEastAsia"/>
        </w:rPr>
        <w:t>200</w:t>
      </w:r>
      <w:r>
        <w:rPr>
          <w:rFonts w:hint="eastAsia" w:eastAsiaTheme="minorEastAsia"/>
        </w:rPr>
        <w:t>万元</w:t>
      </w:r>
      <w:r>
        <w:rPr>
          <w:rFonts w:hint="eastAsia" w:eastAsiaTheme="minorEastAsia"/>
          <w:lang w:val="zh-CN"/>
        </w:rPr>
        <w:t>，占总投资额的</w:t>
      </w:r>
      <w:r>
        <w:rPr>
          <w:rFonts w:eastAsiaTheme="minorEastAsia"/>
        </w:rPr>
        <w:t>15%</w:t>
      </w:r>
      <w:r>
        <w:rPr>
          <w:rFonts w:hint="eastAsia" w:eastAsiaTheme="minorEastAsia"/>
          <w:lang w:val="zh-CN"/>
        </w:rPr>
        <w:t>。</w:t>
      </w:r>
    </w:p>
    <w:p>
      <w:pPr>
        <w:pStyle w:val="4"/>
      </w:pPr>
      <w:bookmarkStart w:id="760" w:name="_Toc14244"/>
      <w:bookmarkStart w:id="761" w:name="_Toc479599722"/>
      <w:bookmarkStart w:id="762" w:name="_Toc482175848"/>
      <w:bookmarkStart w:id="763" w:name="_Toc13443"/>
      <w:bookmarkStart w:id="764" w:name="_Toc3538830"/>
      <w:r>
        <w:rPr>
          <w:rFonts w:hint="eastAsia"/>
        </w:rPr>
        <w:t>环境影响经济损益分析</w:t>
      </w:r>
      <w:bookmarkEnd w:id="760"/>
      <w:bookmarkEnd w:id="761"/>
      <w:bookmarkEnd w:id="762"/>
      <w:bookmarkEnd w:id="763"/>
      <w:bookmarkEnd w:id="764"/>
    </w:p>
    <w:p>
      <w:pPr>
        <w:tabs>
          <w:tab w:val="left" w:pos="180"/>
          <w:tab w:val="left" w:pos="720"/>
        </w:tabs>
        <w:adjustRightInd w:val="0"/>
        <w:ind w:firstLine="486"/>
        <w:rPr>
          <w:rFonts w:eastAsiaTheme="minorEastAsia"/>
          <w:lang w:val="zh-CN"/>
        </w:rPr>
      </w:pPr>
      <w:r>
        <w:rPr>
          <w:rFonts w:hint="eastAsia" w:eastAsiaTheme="minorEastAsia"/>
          <w:lang w:val="zh-CN"/>
        </w:rPr>
        <w:t>本项目为工业建设类项目，本项目的建设对周边地区经济发展等方面有较大的促进作用，社会效益和经济效益明显，通过本报告提出的环保措施，将最大程度的减缓项目建设和运营对环境带来的负面效应，环境效益将大于环境损失。</w:t>
      </w:r>
    </w:p>
    <w:p>
      <w:pPr>
        <w:pStyle w:val="4"/>
      </w:pPr>
      <w:bookmarkStart w:id="765" w:name="_Toc22509"/>
      <w:bookmarkStart w:id="766" w:name="_Toc3538831"/>
      <w:bookmarkStart w:id="767" w:name="_Toc482175849"/>
      <w:bookmarkStart w:id="768" w:name="_Toc1953"/>
      <w:bookmarkStart w:id="769" w:name="_Toc479599723"/>
      <w:r>
        <w:rPr>
          <w:rFonts w:hint="eastAsia"/>
        </w:rPr>
        <w:t>环境管理与监测计划</w:t>
      </w:r>
      <w:bookmarkEnd w:id="765"/>
      <w:bookmarkEnd w:id="766"/>
      <w:bookmarkEnd w:id="767"/>
      <w:bookmarkEnd w:id="768"/>
      <w:bookmarkEnd w:id="769"/>
    </w:p>
    <w:p>
      <w:pPr>
        <w:tabs>
          <w:tab w:val="left" w:pos="180"/>
          <w:tab w:val="left" w:pos="720"/>
        </w:tabs>
        <w:adjustRightInd w:val="0"/>
        <w:ind w:firstLine="486"/>
        <w:rPr>
          <w:rFonts w:eastAsiaTheme="minorEastAsia"/>
          <w:lang w:val="zh-CN"/>
        </w:rPr>
      </w:pPr>
      <w:r>
        <w:rPr>
          <w:rFonts w:hint="eastAsia" w:eastAsiaTheme="minorEastAsia"/>
          <w:lang w:val="zh-CN"/>
        </w:rPr>
        <w:t>本项目运营期应落实各项污染防治措施，加强环境保护工作的管理，应根据项目的实际情况，制订各种类型的环保规章制度，并按照有关部门的批复以及环评报告书中所提出的各项环保措施，认真落实环保设施的设计，施工任务，并积极落实有关环保经费，以保证环境保护设施实现“三同时”。</w:t>
      </w:r>
    </w:p>
    <w:p>
      <w:pPr>
        <w:pStyle w:val="4"/>
      </w:pPr>
      <w:bookmarkStart w:id="770" w:name="_Toc482175850"/>
      <w:bookmarkStart w:id="771" w:name="_Toc6422"/>
      <w:bookmarkStart w:id="772" w:name="_Toc479599724"/>
      <w:bookmarkStart w:id="773" w:name="_Toc3538832"/>
      <w:bookmarkStart w:id="774" w:name="_Toc29978"/>
      <w:r>
        <w:rPr>
          <w:rFonts w:hint="eastAsia"/>
        </w:rPr>
        <w:t>污染物总量控制指标</w:t>
      </w:r>
      <w:bookmarkEnd w:id="770"/>
      <w:bookmarkEnd w:id="771"/>
      <w:bookmarkEnd w:id="772"/>
      <w:bookmarkEnd w:id="773"/>
      <w:bookmarkEnd w:id="774"/>
    </w:p>
    <w:p>
      <w:pPr>
        <w:pStyle w:val="5"/>
        <w:rPr>
          <w:lang w:val="zh-CN"/>
        </w:rPr>
      </w:pPr>
      <w:r>
        <w:rPr>
          <w:rFonts w:hint="eastAsia"/>
          <w:lang w:val="zh-CN"/>
        </w:rPr>
        <w:t>水污染物排放总量</w:t>
      </w:r>
    </w:p>
    <w:p>
      <w:pPr>
        <w:ind w:firstLine="486"/>
        <w:rPr>
          <w:lang w:val="zh-CN"/>
        </w:rPr>
      </w:pPr>
      <w:r>
        <w:rPr>
          <w:rFonts w:hint="eastAsia"/>
          <w:lang w:val="zh-CN"/>
        </w:rPr>
        <w:t>本项目外排废水主要为生活污水。</w:t>
      </w:r>
    </w:p>
    <w:p>
      <w:pPr>
        <w:ind w:firstLine="486"/>
        <w:rPr>
          <w:lang w:val="zh-CN"/>
        </w:rPr>
      </w:pPr>
      <w:r>
        <w:rPr>
          <w:rFonts w:hint="eastAsia"/>
          <w:lang w:val="zh-CN"/>
        </w:rPr>
        <w:t>生活污水经自建污水处理设施预处理后，排入苍城污水处理厂处理，则此阶段项目水污染物总量控制指标计入开平市苍城污水处理厂的总量控制指标内，不再单独分配总量控制指标。</w:t>
      </w:r>
    </w:p>
    <w:p>
      <w:pPr>
        <w:pStyle w:val="5"/>
      </w:pPr>
      <w:r>
        <w:rPr>
          <w:rFonts w:hint="eastAsia"/>
        </w:rPr>
        <w:t>大气污染物</w:t>
      </w:r>
      <w:r>
        <w:rPr>
          <w:rFonts w:hint="eastAsia"/>
          <w:lang w:val="zh-CN"/>
        </w:rPr>
        <w:t>排放总量</w:t>
      </w:r>
    </w:p>
    <w:p>
      <w:pPr>
        <w:ind w:firstLine="486"/>
        <w:rPr>
          <w:rFonts w:eastAsiaTheme="minorEastAsia"/>
          <w:lang w:val="zh-CN"/>
        </w:rPr>
      </w:pPr>
      <w:bookmarkStart w:id="775" w:name="_Toc331536343"/>
      <w:bookmarkStart w:id="776" w:name="_Toc27834"/>
      <w:bookmarkStart w:id="777" w:name="_Toc329784268"/>
      <w:bookmarkStart w:id="778" w:name="_Toc9258"/>
      <w:r>
        <w:rPr>
          <w:rFonts w:hint="eastAsia" w:eastAsiaTheme="minorEastAsia"/>
          <w:lang w:val="zh-CN"/>
        </w:rPr>
        <w:t>本项目大气污染物主要为颗粒物、非甲烷总烃、硫化氢及附带恶臭。</w:t>
      </w:r>
    </w:p>
    <w:p>
      <w:pPr>
        <w:ind w:firstLine="486"/>
        <w:rPr>
          <w:rFonts w:eastAsiaTheme="minorEastAsia"/>
          <w:lang w:val="zh-CN"/>
        </w:rPr>
      </w:pPr>
      <w:r>
        <w:rPr>
          <w:rFonts w:hint="eastAsia" w:eastAsiaTheme="minorEastAsia"/>
          <w:lang w:val="zh-CN"/>
        </w:rPr>
        <w:t>本评价建议项目的大气污染物总量控制指标为：</w:t>
      </w:r>
    </w:p>
    <w:p>
      <w:pPr>
        <w:ind w:firstLine="486"/>
        <w:rPr>
          <w:rFonts w:eastAsiaTheme="minorEastAsia"/>
          <w:color w:val="000000" w:themeColor="text1"/>
          <w:lang w:val="zh-CN"/>
          <w14:textFill>
            <w14:solidFill>
              <w14:schemeClr w14:val="tx1"/>
            </w14:solidFill>
          </w14:textFill>
        </w:rPr>
      </w:pPr>
      <w:r>
        <w:rPr>
          <w:rFonts w:hint="eastAsia" w:eastAsiaTheme="minorEastAsia"/>
          <w:color w:val="000000" w:themeColor="text1"/>
          <w:lang w:val="zh-CN"/>
          <w14:textFill>
            <w14:solidFill>
              <w14:schemeClr w14:val="tx1"/>
            </w14:solidFill>
          </w14:textFill>
        </w:rPr>
        <w:t>总V</w:t>
      </w:r>
      <w:r>
        <w:rPr>
          <w:rFonts w:eastAsiaTheme="minorEastAsia"/>
          <w:color w:val="000000" w:themeColor="text1"/>
          <w:lang w:val="zh-CN"/>
          <w14:textFill>
            <w14:solidFill>
              <w14:schemeClr w14:val="tx1"/>
            </w14:solidFill>
          </w14:textFill>
        </w:rPr>
        <w:t>OC</w:t>
      </w:r>
      <w:r>
        <w:rPr>
          <w:rFonts w:hint="eastAsia" w:eastAsiaTheme="minorEastAsia"/>
          <w:color w:val="000000" w:themeColor="text1"/>
          <w:lang w:val="zh-CN"/>
          <w14:textFill>
            <w14:solidFill>
              <w14:schemeClr w14:val="tx1"/>
            </w14:solidFill>
          </w14:textFill>
        </w:rPr>
        <w:t>s（以非甲烷总烃计）≤</w:t>
      </w:r>
      <w:r>
        <w:rPr>
          <w:rStyle w:val="63"/>
          <w:color w:val="000000" w:themeColor="text1"/>
          <w14:textFill>
            <w14:solidFill>
              <w14:schemeClr w14:val="tx1"/>
            </w14:solidFill>
          </w14:textFill>
        </w:rPr>
        <w:t>0.053755</w:t>
      </w:r>
      <w:r>
        <w:rPr>
          <w:rFonts w:hint="eastAsia" w:eastAsiaTheme="minorEastAsia"/>
          <w:color w:val="000000" w:themeColor="text1"/>
          <w:lang w:val="zh-CN"/>
          <w14:textFill>
            <w14:solidFill>
              <w14:schemeClr w14:val="tx1"/>
            </w14:solidFill>
          </w14:textFill>
        </w:rPr>
        <w:t>t/a。</w:t>
      </w:r>
    </w:p>
    <w:p>
      <w:pPr>
        <w:ind w:firstLine="486"/>
      </w:pPr>
      <w:r>
        <w:rPr>
          <w:rFonts w:hint="eastAsia"/>
        </w:rPr>
        <w:t>项目最终执行的污染物排放总量控制指标由当地环境保护行政主管部门分配与核定。</w:t>
      </w:r>
    </w:p>
    <w:p>
      <w:pPr>
        <w:pStyle w:val="4"/>
      </w:pPr>
      <w:bookmarkStart w:id="779" w:name="_Toc3538833"/>
      <w:r>
        <w:rPr>
          <w:rFonts w:hint="eastAsia"/>
        </w:rPr>
        <w:t>产业政策及地区规划相符性</w:t>
      </w:r>
      <w:bookmarkEnd w:id="779"/>
    </w:p>
    <w:p>
      <w:pPr>
        <w:adjustRightInd w:val="0"/>
        <w:snapToGrid w:val="0"/>
        <w:ind w:firstLine="486"/>
        <w:rPr>
          <w:rFonts w:cs="Times New Roman" w:eastAsiaTheme="minorEastAsia"/>
        </w:rPr>
      </w:pPr>
      <w:r>
        <w:rPr>
          <w:rFonts w:cs="Times New Roman" w:eastAsiaTheme="minorEastAsia"/>
        </w:rPr>
        <w:t>本项目主要从事</w:t>
      </w:r>
      <w:r>
        <w:rPr>
          <w:rFonts w:hint="eastAsia" w:cs="Times New Roman" w:eastAsiaTheme="minorEastAsia"/>
        </w:rPr>
        <w:t>橡胶脚轮的</w:t>
      </w:r>
      <w:r>
        <w:rPr>
          <w:rFonts w:cs="Times New Roman" w:eastAsiaTheme="minorEastAsia"/>
        </w:rPr>
        <w:t>生产、销售，预计年产800</w:t>
      </w:r>
      <w:r>
        <w:rPr>
          <w:rFonts w:hint="eastAsia" w:cs="Times New Roman" w:eastAsiaTheme="minorEastAsia"/>
        </w:rPr>
        <w:t>万个</w:t>
      </w:r>
      <w:r>
        <w:rPr>
          <w:rFonts w:cs="Times New Roman" w:eastAsiaTheme="minorEastAsia"/>
        </w:rPr>
        <w:t>橡胶制品，行业类别属于《国民经济行业分类》(GB/T 4754-201</w:t>
      </w:r>
      <w:r>
        <w:rPr>
          <w:rFonts w:hint="eastAsia" w:cs="Times New Roman" w:eastAsiaTheme="minorEastAsia"/>
        </w:rPr>
        <w:t>7</w:t>
      </w:r>
      <w:r>
        <w:rPr>
          <w:rFonts w:cs="Times New Roman" w:eastAsiaTheme="minorEastAsia"/>
        </w:rPr>
        <w:t>)中的“C2913</w:t>
      </w:r>
      <w:r>
        <w:rPr>
          <w:rFonts w:hint="eastAsia" w:cs="Times New Roman" w:eastAsiaTheme="minorEastAsia"/>
        </w:rPr>
        <w:t>橡胶零件</w:t>
      </w:r>
      <w:r>
        <w:rPr>
          <w:rFonts w:cs="Times New Roman" w:eastAsiaTheme="minorEastAsia"/>
        </w:rPr>
        <w:t>制造”，不属于限制类、淘汰类企业，符合产业政策要求。</w:t>
      </w:r>
    </w:p>
    <w:p>
      <w:pPr>
        <w:snapToGrid w:val="0"/>
        <w:ind w:firstLine="486"/>
        <w:rPr>
          <w:rFonts w:cs="Times New Roman" w:eastAsiaTheme="minorEastAsia"/>
          <w:lang w:val="zh-CN"/>
        </w:rPr>
      </w:pPr>
      <w:r>
        <w:rPr>
          <w:rFonts w:hint="eastAsia" w:cs="Times New Roman" w:eastAsiaTheme="minorEastAsia"/>
          <w:lang w:val="zh-CN"/>
        </w:rPr>
        <w:t>项目选址符合所在地块土地利用规划；符合相关法律法规的要求，符合项目周边环境功能要求；符合广东省有关规定；项目平面布局合理规范，因此，本项目的建设具有规划合法合理性和环境可行性。</w:t>
      </w:r>
    </w:p>
    <w:p>
      <w:pPr>
        <w:pStyle w:val="4"/>
      </w:pPr>
      <w:bookmarkStart w:id="780" w:name="_Toc3538834"/>
      <w:r>
        <w:rPr>
          <w:rFonts w:hint="eastAsia"/>
        </w:rPr>
        <w:t>公众意见采纳情况</w:t>
      </w:r>
      <w:bookmarkEnd w:id="780"/>
    </w:p>
    <w:p>
      <w:pPr>
        <w:ind w:firstLine="486"/>
        <w:rPr>
          <w:lang w:val="zh-CN"/>
        </w:rPr>
      </w:pPr>
      <w:r>
        <w:rPr>
          <w:rFonts w:hint="eastAsia"/>
          <w:lang w:val="zh-CN"/>
        </w:rPr>
        <w:t>根据建设单位编制的《公众参与调查报告》，项目公众参与的范围和对象为项目附近居民点居民代表、暂住人员、公司员工等。受调查公众全部为项目环境影响及风险事故影响范围内的公众。总体来说，本次公众参与的调查结果具有一定的代表性和可信度。</w:t>
      </w:r>
    </w:p>
    <w:p>
      <w:pPr>
        <w:ind w:firstLine="486"/>
      </w:pPr>
      <w:r>
        <w:rPr>
          <w:rFonts w:hint="eastAsia"/>
          <w:lang w:val="zh-CN"/>
        </w:rPr>
        <w:t>在项目信息公示（现场张贴公告和网上公示）期间，无任何公众以任何形式发表任何意见。在项目公众意见调查期间，共发放个人公众调查表</w:t>
      </w:r>
      <w:r>
        <w:rPr>
          <w:lang w:val="zh-CN"/>
        </w:rPr>
        <w:t>100</w:t>
      </w:r>
      <w:r>
        <w:rPr>
          <w:rFonts w:hint="eastAsia"/>
          <w:lang w:val="zh-CN"/>
        </w:rPr>
        <w:t>份，回收有效调查表</w:t>
      </w:r>
      <w:r>
        <w:rPr>
          <w:lang w:val="zh-CN"/>
        </w:rPr>
        <w:t>100</w:t>
      </w:r>
      <w:r>
        <w:rPr>
          <w:rFonts w:hint="eastAsia"/>
          <w:lang w:val="zh-CN"/>
        </w:rPr>
        <w:t>份，回收率</w:t>
      </w:r>
      <w:r>
        <w:rPr>
          <w:lang w:val="zh-CN"/>
        </w:rPr>
        <w:t>100</w:t>
      </w:r>
      <w:r>
        <w:rPr>
          <w:rFonts w:hint="eastAsia"/>
          <w:lang w:val="zh-CN"/>
        </w:rPr>
        <w:t>%；</w:t>
      </w:r>
      <w:r>
        <w:rPr>
          <w:rFonts w:hint="eastAsia"/>
        </w:rPr>
        <w:t>发放了团体问卷调查表7份，回收7份，回收率为100%。参与调查的的公众</w:t>
      </w:r>
      <w:r>
        <w:rPr>
          <w:rFonts w:hint="eastAsia"/>
          <w:lang w:val="zh-CN"/>
        </w:rPr>
        <w:t>及单位未提出任何</w:t>
      </w:r>
      <w:r>
        <w:rPr>
          <w:rFonts w:hint="eastAsia"/>
        </w:rPr>
        <w:t>意见和</w:t>
      </w:r>
      <w:r>
        <w:rPr>
          <w:rFonts w:hint="eastAsia"/>
          <w:lang w:val="zh-CN"/>
        </w:rPr>
        <w:t>建议。在采取环保措施，确保符合各项排放标准的情况下，</w:t>
      </w:r>
      <w:r>
        <w:rPr>
          <w:rFonts w:hint="eastAsia"/>
        </w:rPr>
        <w:t>94%的</w:t>
      </w:r>
      <w:r>
        <w:rPr>
          <w:rFonts w:hint="eastAsia"/>
          <w:lang w:val="zh-CN"/>
        </w:rPr>
        <w:t>被调查者</w:t>
      </w:r>
      <w:r>
        <w:rPr>
          <w:rFonts w:hint="eastAsia"/>
        </w:rPr>
        <w:t>支持本项目的建设，6%的</w:t>
      </w:r>
      <w:r>
        <w:rPr>
          <w:rFonts w:hint="eastAsia"/>
          <w:lang w:val="zh-CN"/>
        </w:rPr>
        <w:t>被调查者</w:t>
      </w:r>
      <w:r>
        <w:rPr>
          <w:rFonts w:hint="eastAsia"/>
        </w:rPr>
        <w:t>表示无所谓，没有</w:t>
      </w:r>
      <w:r>
        <w:rPr>
          <w:rFonts w:hint="eastAsia"/>
          <w:lang w:val="zh-CN"/>
        </w:rPr>
        <w:t>被调查者</w:t>
      </w:r>
      <w:r>
        <w:rPr>
          <w:rFonts w:hint="eastAsia"/>
        </w:rPr>
        <w:t>持反对意见；100%的受访单位支持本项目的建设，无受访单位持反对意见。</w:t>
      </w:r>
    </w:p>
    <w:p>
      <w:pPr>
        <w:pStyle w:val="4"/>
      </w:pPr>
      <w:bookmarkStart w:id="781" w:name="_Toc3538835"/>
      <w:r>
        <w:t>总结论</w:t>
      </w:r>
      <w:bookmarkEnd w:id="775"/>
      <w:bookmarkEnd w:id="776"/>
      <w:bookmarkEnd w:id="777"/>
      <w:bookmarkEnd w:id="778"/>
      <w:bookmarkEnd w:id="781"/>
    </w:p>
    <w:p>
      <w:pPr>
        <w:tabs>
          <w:tab w:val="left" w:pos="900"/>
        </w:tabs>
        <w:ind w:firstLine="486"/>
        <w:rPr>
          <w:rFonts w:cs="Times New Roman" w:eastAsiaTheme="minorEastAsia"/>
        </w:rPr>
      </w:pPr>
      <w:r>
        <w:rPr>
          <w:rFonts w:cs="Times New Roman" w:eastAsiaTheme="minorEastAsia"/>
        </w:rPr>
        <w:t>本报告书对项目所在地及周围地区的环境质量现状进行了实地调查和评价，对拟建项目运营期间的排污负荷进行了估算，预测了建设项目外排污染物对周围环境产生的影响程度，提出了相应的防止措施和相关建议。建设单位应按本报告中所述的各项控制污染的防治措施加以严格实施，并确保正常运行。</w:t>
      </w:r>
    </w:p>
    <w:p>
      <w:pPr>
        <w:ind w:firstLine="486"/>
        <w:rPr>
          <w:rFonts w:cs="Times New Roman" w:eastAsiaTheme="minorEastAsia"/>
        </w:rPr>
      </w:pPr>
      <w:r>
        <w:rPr>
          <w:rFonts w:cs="Times New Roman" w:eastAsiaTheme="minorEastAsia"/>
        </w:rPr>
        <w:t>本评价报告书认为，项目符合产业政策和相关法律法规的要求。项目</w:t>
      </w:r>
      <w:r>
        <w:rPr>
          <w:rFonts w:hint="eastAsia" w:cs="Times New Roman" w:eastAsiaTheme="minorEastAsia"/>
        </w:rPr>
        <w:t>利用现有厂房设备</w:t>
      </w:r>
      <w:r>
        <w:rPr>
          <w:rFonts w:cs="Times New Roman" w:eastAsiaTheme="minorEastAsia"/>
        </w:rPr>
        <w:t>，</w:t>
      </w:r>
      <w:r>
        <w:rPr>
          <w:rFonts w:hint="eastAsia" w:cs="Times New Roman" w:eastAsiaTheme="minorEastAsia"/>
        </w:rPr>
        <w:t>不涉及</w:t>
      </w:r>
      <w:r>
        <w:rPr>
          <w:rFonts w:cs="Times New Roman" w:eastAsiaTheme="minorEastAsia"/>
        </w:rPr>
        <w:t>土建基础施工。</w:t>
      </w:r>
      <w:r>
        <w:rPr>
          <w:rFonts w:hint="eastAsia" w:cs="Times New Roman" w:eastAsiaTheme="minorEastAsia"/>
        </w:rPr>
        <w:t>项目</w:t>
      </w:r>
      <w:r>
        <w:rPr>
          <w:rFonts w:cs="Times New Roman" w:eastAsiaTheme="minorEastAsia"/>
        </w:rPr>
        <w:t>运营期间，项目</w:t>
      </w:r>
      <w:r>
        <w:rPr>
          <w:rFonts w:hint="eastAsia" w:cs="Times New Roman" w:eastAsiaTheme="minorEastAsia"/>
        </w:rPr>
        <w:t>配料、</w:t>
      </w:r>
      <w:r>
        <w:rPr>
          <w:rFonts w:cs="Times New Roman" w:eastAsiaTheme="minorEastAsia"/>
        </w:rPr>
        <w:t>投料</w:t>
      </w:r>
      <w:r>
        <w:rPr>
          <w:rFonts w:hint="eastAsia" w:cs="Times New Roman" w:eastAsiaTheme="minorEastAsia"/>
        </w:rPr>
        <w:t>、</w:t>
      </w:r>
      <w:r>
        <w:rPr>
          <w:rFonts w:cs="Times New Roman" w:eastAsiaTheme="minorEastAsia"/>
        </w:rPr>
        <w:t>密炼</w:t>
      </w:r>
      <w:r>
        <w:rPr>
          <w:rFonts w:hint="eastAsia" w:cs="Times New Roman" w:eastAsiaTheme="minorEastAsia"/>
        </w:rPr>
        <w:t>工序的废气通过袋式除尘器除尘处理后，再与开炼废气、硫化废气一同引至同一套“喷淋塔+UV光解+活性炭吸附”装置处理，</w:t>
      </w:r>
      <w:r>
        <w:rPr>
          <w:rFonts w:cs="Times New Roman" w:eastAsiaTheme="minorEastAsia"/>
        </w:rPr>
        <w:t>处理效率较高</w:t>
      </w:r>
      <w:r>
        <w:rPr>
          <w:rFonts w:hint="eastAsia" w:cs="Times New Roman" w:eastAsiaTheme="minorEastAsia"/>
        </w:rPr>
        <w:t>。项目生活污水经三级化粪池</w:t>
      </w:r>
      <w:r>
        <w:rPr>
          <w:rFonts w:hint="eastAsia"/>
          <w:lang w:val="zh-CN"/>
        </w:rPr>
        <w:t>处理，达表后排入市政污水管网后，排入开平市苍城污水处理厂处理</w:t>
      </w:r>
      <w:r>
        <w:rPr>
          <w:rFonts w:cs="Times New Roman" w:eastAsiaTheme="minorEastAsia"/>
        </w:rPr>
        <w:t>。固体废物分类妥善处置和处理，项目</w:t>
      </w:r>
      <w:r>
        <w:rPr>
          <w:rFonts w:hint="eastAsia" w:cs="Times New Roman" w:eastAsiaTheme="minorEastAsia"/>
        </w:rPr>
        <w:t>废活性炭、废润滑油、含油废抹布</w:t>
      </w:r>
      <w:r>
        <w:rPr>
          <w:rFonts w:cs="Times New Roman" w:eastAsiaTheme="minorEastAsia"/>
        </w:rPr>
        <w:t>，在厂区划定的专区暂存，须交有危险废物处理资质单位处理；</w:t>
      </w:r>
      <w:r>
        <w:rPr>
          <w:rFonts w:hint="eastAsia" w:cs="Times New Roman" w:eastAsiaTheme="minorEastAsia"/>
        </w:rPr>
        <w:t>切胶边角料、布袋除尘灰回用于生产；其他废包装材料、修边</w:t>
      </w:r>
      <w:r>
        <w:rPr>
          <w:rFonts w:cs="Times New Roman" w:eastAsiaTheme="minorEastAsia"/>
        </w:rPr>
        <w:t>边角料</w:t>
      </w:r>
      <w:r>
        <w:rPr>
          <w:rFonts w:hint="eastAsia" w:cs="Times New Roman" w:eastAsiaTheme="minorEastAsia"/>
        </w:rPr>
        <w:t>、不合格品</w:t>
      </w:r>
      <w:r>
        <w:rPr>
          <w:rFonts w:cs="Times New Roman" w:eastAsiaTheme="minorEastAsia"/>
        </w:rPr>
        <w:t>作为一般固废，收集后交资源回收单位综合利用；员工生活垃圾交环卫部门定期清运。加强危险化学品的监督和管理，环境风险可控，内外部环境影响不大；</w:t>
      </w:r>
      <w:r>
        <w:rPr>
          <w:rFonts w:hint="eastAsia" w:eastAsiaTheme="minorEastAsia"/>
        </w:rPr>
        <w:t>根据</w:t>
      </w:r>
      <w:r>
        <w:rPr>
          <w:rFonts w:hint="eastAsia"/>
        </w:rPr>
        <w:t>AER</w:t>
      </w:r>
      <w:r>
        <w:t>SCREEN估算模式</w:t>
      </w:r>
      <w:r>
        <w:rPr>
          <w:rFonts w:hint="eastAsia"/>
        </w:rPr>
        <w:t>预测结果</w:t>
      </w:r>
      <w:r>
        <w:rPr>
          <w:rFonts w:hint="eastAsia" w:eastAsiaTheme="minorEastAsia"/>
        </w:rPr>
        <w:t>，本项目环境空气影响评价工作等级为二级，本项目所有污染物对厂界外短期贡献浓度均未超过质量标准，无需设置大气环境防护距离，大气环境影响可接受；</w:t>
      </w:r>
      <w:r>
        <w:rPr>
          <w:rFonts w:hint="eastAsia" w:cs="Times New Roman" w:eastAsiaTheme="minorEastAsia"/>
        </w:rPr>
        <w:t>项目</w:t>
      </w:r>
      <w:r>
        <w:rPr>
          <w:rFonts w:cs="Times New Roman" w:eastAsiaTheme="minorEastAsia"/>
        </w:rPr>
        <w:t>清洁生产水平较高，污染控制措施可行，调查公众大部分支持本项目的建设。项目总体平面布局合理，设备安装时尽可能远离居民区，设备合理安装摆放，极大程度上削减了大气和噪声对周围居民区的影响。</w:t>
      </w:r>
    </w:p>
    <w:p>
      <w:pPr>
        <w:ind w:firstLine="486"/>
        <w:rPr>
          <w:rFonts w:cs="Times New Roman" w:eastAsiaTheme="minorEastAsia"/>
        </w:rPr>
      </w:pPr>
      <w:r>
        <w:rPr>
          <w:rFonts w:cs="Times New Roman" w:eastAsiaTheme="minorEastAsia"/>
        </w:rPr>
        <w:t>只要本项目在实施过程中严格按</w:t>
      </w:r>
      <w:r>
        <w:rPr>
          <w:rFonts w:hint="eastAsia" w:ascii="宋体" w:hAnsi="宋体" w:cs="Times New Roman"/>
        </w:rPr>
        <w:t>照</w:t>
      </w:r>
      <w:r>
        <w:rPr>
          <w:rFonts w:ascii="宋体" w:hAnsi="宋体" w:cs="Times New Roman"/>
        </w:rPr>
        <w:t>“</w:t>
      </w:r>
      <w:r>
        <w:rPr>
          <w:rFonts w:hint="eastAsia" w:ascii="宋体" w:hAnsi="宋体" w:cs="Times New Roman"/>
        </w:rPr>
        <w:t>三同时</w:t>
      </w:r>
      <w:r>
        <w:rPr>
          <w:rFonts w:ascii="宋体" w:hAnsi="宋体" w:cs="Times New Roman"/>
        </w:rPr>
        <w:t>”</w:t>
      </w:r>
      <w:r>
        <w:rPr>
          <w:rFonts w:hint="eastAsia" w:ascii="宋体" w:hAnsi="宋体" w:cs="Times New Roman"/>
        </w:rPr>
        <w:t>原</w:t>
      </w:r>
      <w:r>
        <w:rPr>
          <w:rFonts w:cs="Times New Roman" w:eastAsiaTheme="minorEastAsia"/>
        </w:rPr>
        <w:t>则进行设计、施工和运行，落实设计和环评中提出的各项污染防治措施，在运行期，加强管理，落实环境风险防范措施，确保污染治理设施稳定达标运行，在解决好公众关心的各项环境问题的前提下，从环境保护的角度分析，本项目的建设是可行的。</w:t>
      </w:r>
    </w:p>
    <w:p>
      <w:pPr>
        <w:spacing w:line="240" w:lineRule="auto"/>
        <w:ind w:firstLine="0" w:firstLineChars="0"/>
        <w:rPr>
          <w:rFonts w:eastAsiaTheme="minorEastAsia"/>
          <w:lang w:val="zh-CN"/>
        </w:rPr>
        <w:sectPr>
          <w:pgSz w:w="11850" w:h="16783"/>
          <w:pgMar w:top="1418" w:right="1418" w:bottom="1418" w:left="1418" w:header="851" w:footer="992" w:gutter="0"/>
          <w:cols w:space="0" w:num="1"/>
          <w:docGrid w:type="linesAndChars" w:linePitch="329" w:charSpace="610"/>
        </w:sectPr>
      </w:pPr>
    </w:p>
    <w:p>
      <w:pPr>
        <w:pStyle w:val="101"/>
        <w:rPr>
          <w:rFonts w:eastAsiaTheme="minorEastAsia"/>
        </w:rPr>
      </w:pPr>
      <w:bookmarkStart w:id="782" w:name="_Toc3538836"/>
      <w:bookmarkStart w:id="783" w:name="_Ref524443799"/>
      <w:r>
        <w:rPr>
          <w:rFonts w:hint="eastAsia" w:eastAsiaTheme="minorEastAsia"/>
        </w:rPr>
        <w:t>委托书</w:t>
      </w:r>
      <w:bookmarkEnd w:id="782"/>
      <w:bookmarkEnd w:id="783"/>
    </w:p>
    <w:p>
      <w:pPr>
        <w:ind w:firstLine="486"/>
      </w:pPr>
    </w:p>
    <w:p>
      <w:pPr>
        <w:spacing w:before="329" w:beforeLines="100" w:after="329" w:afterLines="100" w:line="600" w:lineRule="exact"/>
        <w:ind w:firstLine="6118" w:firstLineChars="1900"/>
        <w:rPr>
          <w:rFonts w:eastAsiaTheme="minorEastAsia"/>
          <w:sz w:val="32"/>
        </w:rPr>
      </w:pPr>
    </w:p>
    <w:p>
      <w:pPr>
        <w:tabs>
          <w:tab w:val="left" w:pos="180"/>
          <w:tab w:val="left" w:pos="720"/>
        </w:tabs>
        <w:adjustRightInd w:val="0"/>
        <w:ind w:firstLine="486"/>
        <w:rPr>
          <w:rFonts w:eastAsiaTheme="minorEastAsia"/>
        </w:rPr>
      </w:pPr>
    </w:p>
    <w:p>
      <w:pPr>
        <w:spacing w:line="240" w:lineRule="auto"/>
        <w:ind w:firstLine="0" w:firstLineChars="0"/>
        <w:rPr>
          <w:rFonts w:eastAsiaTheme="minorEastAsia"/>
        </w:rPr>
      </w:pPr>
      <w:r>
        <w:rPr>
          <w:rFonts w:eastAsiaTheme="minorEastAsia"/>
        </w:rPr>
        <w:br w:type="page"/>
      </w:r>
    </w:p>
    <w:p>
      <w:pPr>
        <w:pStyle w:val="101"/>
        <w:rPr>
          <w:rFonts w:eastAsiaTheme="minorEastAsia"/>
        </w:rPr>
      </w:pPr>
      <w:bookmarkStart w:id="784" w:name="_Toc3538837"/>
      <w:r>
        <w:rPr>
          <w:rFonts w:hint="eastAsia" w:eastAsiaTheme="minorEastAsia"/>
        </w:rPr>
        <w:t>营业执照</w:t>
      </w:r>
      <w:bookmarkEnd w:id="784"/>
    </w:p>
    <w:p>
      <w:pPr>
        <w:tabs>
          <w:tab w:val="left" w:pos="180"/>
          <w:tab w:val="left" w:pos="720"/>
        </w:tabs>
        <w:adjustRightInd w:val="0"/>
        <w:ind w:firstLine="0" w:firstLineChars="0"/>
        <w:rPr>
          <w:rFonts w:eastAsiaTheme="minorEastAsia"/>
        </w:rPr>
      </w:pPr>
      <w:r>
        <w:drawing>
          <wp:inline distT="0" distB="0" distL="0" distR="0">
            <wp:extent cx="5723890" cy="6833870"/>
            <wp:effectExtent l="0" t="0" r="0" b="508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pic:cNvPicPr>
                  </pic:nvPicPr>
                  <pic:blipFill>
                    <a:blip r:embed="rId101"/>
                    <a:stretch>
                      <a:fillRect/>
                    </a:stretch>
                  </pic:blipFill>
                  <pic:spPr>
                    <a:xfrm>
                      <a:off x="0" y="0"/>
                      <a:ext cx="5723890" cy="6833870"/>
                    </a:xfrm>
                    <a:prstGeom prst="rect">
                      <a:avLst/>
                    </a:prstGeom>
                  </pic:spPr>
                </pic:pic>
              </a:graphicData>
            </a:graphic>
          </wp:inline>
        </w:drawing>
      </w:r>
    </w:p>
    <w:p>
      <w:pPr>
        <w:tabs>
          <w:tab w:val="left" w:pos="180"/>
          <w:tab w:val="left" w:pos="720"/>
        </w:tabs>
        <w:adjustRightInd w:val="0"/>
        <w:ind w:firstLine="486"/>
        <w:rPr>
          <w:rFonts w:eastAsiaTheme="minorEastAsia"/>
        </w:rPr>
      </w:pPr>
      <w:r>
        <w:rPr>
          <w:rFonts w:hint="eastAsia" w:eastAsiaTheme="minorEastAsia"/>
        </w:rPr>
        <w:br w:type="page"/>
      </w:r>
    </w:p>
    <w:p>
      <w:pPr>
        <w:pStyle w:val="101"/>
        <w:rPr>
          <w:rFonts w:eastAsiaTheme="minorEastAsia"/>
        </w:rPr>
      </w:pPr>
      <w:bookmarkStart w:id="785" w:name="_Toc3538838"/>
      <w:r>
        <w:rPr>
          <w:rFonts w:hint="eastAsia" w:eastAsiaTheme="minorEastAsia"/>
        </w:rPr>
        <w:t>法人身份证</w:t>
      </w:r>
      <w:bookmarkEnd w:id="785"/>
    </w:p>
    <w:p>
      <w:pPr>
        <w:spacing w:line="240" w:lineRule="auto"/>
        <w:ind w:firstLine="0" w:firstLineChars="0"/>
        <w:rPr>
          <w:rFonts w:eastAsiaTheme="minorEastAsia"/>
        </w:rPr>
      </w:pPr>
    </w:p>
    <w:p>
      <w:pPr>
        <w:pStyle w:val="2"/>
        <w:rPr>
          <w:rFonts w:hint="eastAsia"/>
        </w:rPr>
        <w:sectPr>
          <w:pgSz w:w="11850" w:h="16783"/>
          <w:pgMar w:top="1418" w:right="1418" w:bottom="1418" w:left="1418" w:header="851" w:footer="992" w:gutter="0"/>
          <w:cols w:space="0" w:num="1"/>
          <w:docGrid w:type="linesAndChars" w:linePitch="329" w:charSpace="610"/>
        </w:sectPr>
      </w:pPr>
      <w:r>
        <w:drawing>
          <wp:inline distT="0" distB="0" distL="0" distR="0">
            <wp:extent cx="2860675" cy="4445000"/>
            <wp:effectExtent l="0" t="0" r="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pic:cNvPicPr>
                  </pic:nvPicPr>
                  <pic:blipFill>
                    <a:blip r:embed="rId102"/>
                    <a:stretch>
                      <a:fillRect/>
                    </a:stretch>
                  </pic:blipFill>
                  <pic:spPr>
                    <a:xfrm>
                      <a:off x="0" y="0"/>
                      <a:ext cx="2864560" cy="4450182"/>
                    </a:xfrm>
                    <a:prstGeom prst="rect">
                      <a:avLst/>
                    </a:prstGeom>
                  </pic:spPr>
                </pic:pic>
              </a:graphicData>
            </a:graphic>
          </wp:inline>
        </w:drawing>
      </w:r>
      <w:r>
        <w:drawing>
          <wp:inline distT="0" distB="0" distL="0" distR="0">
            <wp:extent cx="2586990" cy="4399915"/>
            <wp:effectExtent l="0" t="0" r="3810" b="635"/>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pic:cNvPicPr>
                  </pic:nvPicPr>
                  <pic:blipFill>
                    <a:blip r:embed="rId103"/>
                    <a:stretch>
                      <a:fillRect/>
                    </a:stretch>
                  </pic:blipFill>
                  <pic:spPr>
                    <a:xfrm>
                      <a:off x="0" y="0"/>
                      <a:ext cx="2590724" cy="4406322"/>
                    </a:xfrm>
                    <a:prstGeom prst="rect">
                      <a:avLst/>
                    </a:prstGeom>
                  </pic:spPr>
                </pic:pic>
              </a:graphicData>
            </a:graphic>
          </wp:inline>
        </w:drawing>
      </w:r>
    </w:p>
    <w:p>
      <w:pPr>
        <w:pStyle w:val="101"/>
        <w:rPr>
          <w:rFonts w:eastAsiaTheme="minorEastAsia"/>
        </w:rPr>
      </w:pPr>
      <w:bookmarkStart w:id="786" w:name="_Ref520397808"/>
      <w:bookmarkStart w:id="787" w:name="_Toc3538839"/>
      <w:r>
        <w:rPr>
          <w:rFonts w:hint="eastAsia" w:eastAsiaTheme="minorEastAsia"/>
        </w:rPr>
        <w:t>土地证明</w:t>
      </w:r>
    </w:p>
    <w:p>
      <w:pPr>
        <w:pStyle w:val="101"/>
        <w:numPr>
          <w:ilvl w:val="0"/>
          <w:numId w:val="0"/>
        </w:numPr>
        <w:rPr>
          <w:rFonts w:hint="eastAsia" w:eastAsiaTheme="minorEastAsia"/>
        </w:rPr>
        <w:sectPr>
          <w:pgSz w:w="11850" w:h="16783"/>
          <w:pgMar w:top="1418" w:right="1418" w:bottom="1418" w:left="1418" w:header="851" w:footer="992" w:gutter="0"/>
          <w:cols w:space="0" w:num="1"/>
          <w:docGrid w:type="lines" w:linePitch="329" w:charSpace="610"/>
        </w:sectPr>
      </w:pPr>
      <w:r>
        <w:drawing>
          <wp:inline distT="0" distB="0" distL="0" distR="0">
            <wp:extent cx="4990465" cy="5207000"/>
            <wp:effectExtent l="0" t="0" r="635"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104"/>
                    <a:stretch>
                      <a:fillRect/>
                    </a:stretch>
                  </pic:blipFill>
                  <pic:spPr>
                    <a:xfrm>
                      <a:off x="0" y="0"/>
                      <a:ext cx="5003995" cy="5220763"/>
                    </a:xfrm>
                    <a:prstGeom prst="rect">
                      <a:avLst/>
                    </a:prstGeom>
                  </pic:spPr>
                </pic:pic>
              </a:graphicData>
            </a:graphic>
          </wp:inline>
        </w:drawing>
      </w:r>
    </w:p>
    <w:bookmarkEnd w:id="786"/>
    <w:bookmarkEnd w:id="787"/>
    <w:p>
      <w:pPr>
        <w:pStyle w:val="101"/>
        <w:rPr>
          <w:rFonts w:eastAsiaTheme="minorEastAsia"/>
        </w:rPr>
      </w:pPr>
      <w:bookmarkStart w:id="788" w:name="_Ref526865029"/>
      <w:bookmarkStart w:id="789" w:name="_Toc3538840"/>
      <w:r>
        <w:rPr>
          <w:rFonts w:hint="eastAsia" w:eastAsiaTheme="minorEastAsia"/>
        </w:rPr>
        <w:t>环境质量现状监测报告</w:t>
      </w:r>
      <w:bookmarkEnd w:id="788"/>
      <w:bookmarkEnd w:id="789"/>
    </w:p>
    <w:p>
      <w:pPr>
        <w:snapToGrid w:val="0"/>
        <w:spacing w:line="240" w:lineRule="auto"/>
        <w:ind w:firstLine="0" w:firstLineChars="0"/>
        <w:rPr>
          <w:rFonts w:eastAsiaTheme="minorEastAsia"/>
        </w:rPr>
      </w:pPr>
    </w:p>
    <w:p>
      <w:pPr>
        <w:snapToGrid w:val="0"/>
        <w:spacing w:line="240" w:lineRule="auto"/>
        <w:ind w:firstLine="0" w:firstLineChars="0"/>
        <w:rPr>
          <w:rFonts w:eastAsiaTheme="minorEastAsia"/>
        </w:rPr>
      </w:pPr>
      <w:r>
        <w:drawing>
          <wp:inline distT="0" distB="0" distL="0" distR="0">
            <wp:extent cx="5723890" cy="7600315"/>
            <wp:effectExtent l="0" t="0" r="0" b="635"/>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pic:cNvPicPr>
                  </pic:nvPicPr>
                  <pic:blipFill>
                    <a:blip r:embed="rId105"/>
                    <a:stretch>
                      <a:fillRect/>
                    </a:stretch>
                  </pic:blipFill>
                  <pic:spPr>
                    <a:xfrm>
                      <a:off x="0" y="0"/>
                      <a:ext cx="5723890" cy="7600315"/>
                    </a:xfrm>
                    <a:prstGeom prst="rect">
                      <a:avLst/>
                    </a:prstGeom>
                  </pic:spPr>
                </pic:pic>
              </a:graphicData>
            </a:graphic>
          </wp:inline>
        </w:drawing>
      </w:r>
    </w:p>
    <w:p>
      <w:pPr>
        <w:spacing w:line="240" w:lineRule="auto"/>
        <w:ind w:firstLine="0" w:firstLineChars="0"/>
        <w:rPr>
          <w:rFonts w:eastAsiaTheme="minorEastAsia"/>
          <w:color w:val="000000" w:themeColor="text1"/>
          <w:sz w:val="21"/>
          <w:szCs w:val="21"/>
          <w14:textFill>
            <w14:solidFill>
              <w14:schemeClr w14:val="tx1"/>
            </w14:solidFill>
          </w14:textFill>
        </w:rPr>
      </w:pPr>
      <w:r>
        <w:rPr>
          <w:rFonts w:eastAsiaTheme="minorEastAsia"/>
        </w:rPr>
        <w:br w:type="page"/>
      </w:r>
    </w:p>
    <w:p>
      <w:pPr>
        <w:spacing w:line="240" w:lineRule="auto"/>
        <w:ind w:firstLine="0" w:firstLineChars="0"/>
      </w:pPr>
      <w:bookmarkStart w:id="790" w:name="_Ref3330859"/>
      <w:bookmarkStart w:id="791" w:name="_Hlk497914772"/>
      <w:r>
        <w:drawing>
          <wp:inline distT="0" distB="0" distL="0" distR="0">
            <wp:extent cx="5723890" cy="7628890"/>
            <wp:effectExtent l="0" t="0" r="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pic:cNvPicPr>
                  </pic:nvPicPr>
                  <pic:blipFill>
                    <a:blip r:embed="rId106"/>
                    <a:stretch>
                      <a:fillRect/>
                    </a:stretch>
                  </pic:blipFill>
                  <pic:spPr>
                    <a:xfrm>
                      <a:off x="0" y="0"/>
                      <a:ext cx="5723890" cy="7628890"/>
                    </a:xfrm>
                    <a:prstGeom prst="rect">
                      <a:avLst/>
                    </a:prstGeom>
                  </pic:spPr>
                </pic:pic>
              </a:graphicData>
            </a:graphic>
          </wp:inline>
        </w:drawing>
      </w:r>
    </w:p>
    <w:p>
      <w:pPr>
        <w:spacing w:line="240" w:lineRule="auto"/>
        <w:ind w:firstLine="0" w:firstLineChars="0"/>
        <w:rPr>
          <w:rFonts w:eastAsiaTheme="minorEastAsia"/>
          <w:color w:val="000000" w:themeColor="text1"/>
          <w:sz w:val="21"/>
          <w:szCs w:val="21"/>
          <w14:textFill>
            <w14:solidFill>
              <w14:schemeClr w14:val="tx1"/>
            </w14:solidFill>
          </w14:textFill>
        </w:rPr>
      </w:pPr>
      <w:r>
        <w:br w:type="page"/>
      </w:r>
    </w:p>
    <w:bookmarkEnd w:id="790"/>
    <w:p>
      <w:pPr>
        <w:pStyle w:val="2"/>
      </w:pPr>
      <w:r>
        <w:drawing>
          <wp:inline distT="0" distB="0" distL="0" distR="0">
            <wp:extent cx="5723890" cy="7524115"/>
            <wp:effectExtent l="0" t="0" r="0" b="635"/>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pic:cNvPicPr>
                  </pic:nvPicPr>
                  <pic:blipFill>
                    <a:blip r:embed="rId107"/>
                    <a:stretch>
                      <a:fillRect/>
                    </a:stretch>
                  </pic:blipFill>
                  <pic:spPr>
                    <a:xfrm>
                      <a:off x="0" y="0"/>
                      <a:ext cx="5723890" cy="7524115"/>
                    </a:xfrm>
                    <a:prstGeom prst="rect">
                      <a:avLst/>
                    </a:prstGeom>
                  </pic:spPr>
                </pic:pic>
              </a:graphicData>
            </a:graphic>
          </wp:inline>
        </w:drawing>
      </w:r>
    </w:p>
    <w:p>
      <w:pPr>
        <w:pStyle w:val="2"/>
        <w:rPr>
          <w:kern w:val="44"/>
          <w:sz w:val="32"/>
          <w:szCs w:val="44"/>
        </w:rPr>
      </w:pPr>
      <w:r>
        <w:br w:type="page"/>
      </w:r>
    </w:p>
    <w:p>
      <w:pPr>
        <w:spacing w:line="240" w:lineRule="auto"/>
        <w:ind w:firstLine="0" w:firstLineChars="0"/>
      </w:pPr>
      <w:r>
        <w:drawing>
          <wp:inline distT="0" distB="0" distL="0" distR="0">
            <wp:extent cx="5723890" cy="7312660"/>
            <wp:effectExtent l="0" t="0" r="0" b="254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08"/>
                    <a:stretch>
                      <a:fillRect/>
                    </a:stretch>
                  </pic:blipFill>
                  <pic:spPr>
                    <a:xfrm>
                      <a:off x="0" y="0"/>
                      <a:ext cx="5723890" cy="7312660"/>
                    </a:xfrm>
                    <a:prstGeom prst="rect">
                      <a:avLst/>
                    </a:prstGeom>
                  </pic:spPr>
                </pic:pic>
              </a:graphicData>
            </a:graphic>
          </wp:inline>
        </w:drawing>
      </w:r>
    </w:p>
    <w:p>
      <w:pPr>
        <w:spacing w:line="240" w:lineRule="auto"/>
        <w:ind w:firstLine="0" w:firstLineChars="0"/>
        <w:rPr>
          <w:rFonts w:eastAsiaTheme="minorEastAsia"/>
          <w:color w:val="000000" w:themeColor="text1"/>
          <w:sz w:val="21"/>
          <w:szCs w:val="21"/>
          <w14:textFill>
            <w14:solidFill>
              <w14:schemeClr w14:val="tx1"/>
            </w14:solidFill>
          </w14:textFill>
        </w:rPr>
      </w:pPr>
      <w:r>
        <w:br w:type="page"/>
      </w:r>
    </w:p>
    <w:bookmarkEnd w:id="791"/>
    <w:p>
      <w:pPr>
        <w:pStyle w:val="107"/>
        <w:jc w:val="left"/>
      </w:pPr>
      <w:r>
        <w:drawing>
          <wp:inline distT="0" distB="0" distL="0" distR="0">
            <wp:extent cx="5723890" cy="7369810"/>
            <wp:effectExtent l="0" t="0" r="0" b="254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09"/>
                    <a:stretch>
                      <a:fillRect/>
                    </a:stretch>
                  </pic:blipFill>
                  <pic:spPr>
                    <a:xfrm>
                      <a:off x="0" y="0"/>
                      <a:ext cx="5723890" cy="736981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7596505"/>
            <wp:effectExtent l="0" t="0" r="0" b="444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10"/>
                    <a:stretch>
                      <a:fillRect/>
                    </a:stretch>
                  </pic:blipFill>
                  <pic:spPr>
                    <a:xfrm>
                      <a:off x="0" y="0"/>
                      <a:ext cx="5723890" cy="7596505"/>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7498715"/>
            <wp:effectExtent l="0" t="0" r="0" b="698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11"/>
                    <a:stretch>
                      <a:fillRect/>
                    </a:stretch>
                  </pic:blipFill>
                  <pic:spPr>
                    <a:xfrm>
                      <a:off x="0" y="0"/>
                      <a:ext cx="5723890" cy="7498715"/>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695950" cy="62484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12"/>
                    <a:stretch>
                      <a:fillRect/>
                    </a:stretch>
                  </pic:blipFill>
                  <pic:spPr>
                    <a:xfrm>
                      <a:off x="0" y="0"/>
                      <a:ext cx="5695950" cy="624840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768032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13"/>
                    <a:stretch>
                      <a:fillRect/>
                    </a:stretch>
                  </pic:blipFill>
                  <pic:spPr>
                    <a:xfrm>
                      <a:off x="0" y="0"/>
                      <a:ext cx="5723890" cy="7680325"/>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712787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14"/>
                    <a:stretch>
                      <a:fillRect/>
                    </a:stretch>
                  </pic:blipFill>
                  <pic:spPr>
                    <a:xfrm>
                      <a:off x="0" y="0"/>
                      <a:ext cx="5723890" cy="7127875"/>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7962265"/>
            <wp:effectExtent l="0" t="0" r="0" b="63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15"/>
                    <a:stretch>
                      <a:fillRect/>
                    </a:stretch>
                  </pic:blipFill>
                  <pic:spPr>
                    <a:xfrm>
                      <a:off x="0" y="0"/>
                      <a:ext cx="5723890" cy="7962265"/>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7957820"/>
            <wp:effectExtent l="0" t="0" r="0" b="508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16"/>
                    <a:stretch>
                      <a:fillRect/>
                    </a:stretch>
                  </pic:blipFill>
                  <pic:spPr>
                    <a:xfrm>
                      <a:off x="0" y="0"/>
                      <a:ext cx="5723890" cy="7957820"/>
                    </a:xfrm>
                    <a:prstGeom prst="rect">
                      <a:avLst/>
                    </a:prstGeom>
                  </pic:spPr>
                </pic:pic>
              </a:graphicData>
            </a:graphic>
          </wp:inline>
        </w:drawing>
      </w:r>
    </w:p>
    <w:p>
      <w:pPr>
        <w:pStyle w:val="107"/>
        <w:jc w:val="left"/>
      </w:pPr>
    </w:p>
    <w:p>
      <w:pPr>
        <w:pStyle w:val="107"/>
        <w:jc w:val="left"/>
      </w:pPr>
    </w:p>
    <w:p>
      <w:pPr>
        <w:pStyle w:val="107"/>
        <w:jc w:val="left"/>
      </w:pPr>
      <w:r>
        <w:drawing>
          <wp:inline distT="0" distB="0" distL="0" distR="0">
            <wp:extent cx="5723890" cy="7712075"/>
            <wp:effectExtent l="0" t="0" r="0" b="3175"/>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pic:cNvPicPr>
                      <a:picLocks noChangeAspect="1"/>
                    </pic:cNvPicPr>
                  </pic:nvPicPr>
                  <pic:blipFill>
                    <a:blip r:embed="rId117"/>
                    <a:stretch>
                      <a:fillRect/>
                    </a:stretch>
                  </pic:blipFill>
                  <pic:spPr>
                    <a:xfrm>
                      <a:off x="0" y="0"/>
                      <a:ext cx="5723890" cy="7712075"/>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r>
        <w:drawing>
          <wp:inline distT="0" distB="0" distL="0" distR="0">
            <wp:extent cx="5723890" cy="7705090"/>
            <wp:effectExtent l="0" t="0" r="0"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pic:cNvPicPr>
                      <a:picLocks noChangeAspect="1"/>
                    </pic:cNvPicPr>
                  </pic:nvPicPr>
                  <pic:blipFill>
                    <a:blip r:embed="rId118"/>
                    <a:stretch>
                      <a:fillRect/>
                    </a:stretch>
                  </pic:blipFill>
                  <pic:spPr>
                    <a:xfrm>
                      <a:off x="0" y="0"/>
                      <a:ext cx="5723890" cy="7705090"/>
                    </a:xfrm>
                    <a:prstGeom prst="rect">
                      <a:avLst/>
                    </a:prstGeom>
                  </pic:spPr>
                </pic:pic>
              </a:graphicData>
            </a:graphic>
          </wp:inline>
        </w:drawing>
      </w: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pPr>
    </w:p>
    <w:p>
      <w:pPr>
        <w:pStyle w:val="107"/>
        <w:jc w:val="left"/>
        <w:rPr>
          <w:rFonts w:hint="eastAsia"/>
        </w:rPr>
      </w:pPr>
    </w:p>
    <w:sectPr>
      <w:pgSz w:w="11850" w:h="16783"/>
      <w:pgMar w:top="1418" w:right="1418" w:bottom="1418" w:left="1418" w:header="851" w:footer="992" w:gutter="0"/>
      <w:cols w:space="0" w:num="1"/>
      <w:docGrid w:type="linesAndChars" w:linePitch="329" w:charSpace="61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Arial">
    <w:panose1 w:val="020B0604020202020204"/>
    <w:charset w:val="00"/>
    <w:family w:val="swiss"/>
    <w:pitch w:val="default"/>
    <w:sig w:usb0="E0002EFF" w:usb1="C000785B" w:usb2="00000009" w:usb3="00000000" w:csb0="400001FF" w:csb1="FFFF0000"/>
  </w:font>
  <w:font w:name="Arial Unicode MS">
    <w:panose1 w:val="020B0604020202020204"/>
    <w:charset w:val="86"/>
    <w:family w:val="roman"/>
    <w:pitch w:val="default"/>
    <w:sig w:usb0="FFFFFFFF" w:usb1="E9FFFFFF" w:usb2="0000003F" w:usb3="00000000" w:csb0="603F01FF" w:csb1="FFFF0000"/>
  </w:font>
  <w:font w:name="仿宋_GB2312">
    <w:altName w:val="仿宋"/>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TimesNewRomanPSMT">
    <w:altName w:val="等线"/>
    <w:panose1 w:val="00000000000000000000"/>
    <w:charset w:val="86"/>
    <w:family w:val="auto"/>
    <w:pitch w:val="default"/>
    <w:sig w:usb0="00000000" w:usb1="00000000" w:usb2="00000000" w:usb3="00000000" w:csb0="00040000" w:csb1="00000000"/>
  </w:font>
  <w:font w:name="@宋体">
    <w:panose1 w:val="02010600030101010101"/>
    <w:charset w:val="86"/>
    <w:family w:val="auto"/>
    <w:pitch w:val="default"/>
    <w:sig w:usb0="00000003" w:usb1="288F0000" w:usb2="00000006" w:usb3="00000000" w:csb0="00040001" w:csb1="0000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Wingdings 2">
    <w:panose1 w:val="05020102010507070707"/>
    <w:charset w:val="02"/>
    <w:family w:val="roman"/>
    <w:pitch w:val="default"/>
    <w:sig w:usb0="00000000" w:usb1="00000000" w:usb2="00000000" w:usb3="00000000" w:csb0="80000000" w:csb1="00000000"/>
  </w:font>
  <w:font w:name="Segoe UI Emoji">
    <w:panose1 w:val="020B0502040204020203"/>
    <w:charset w:val="00"/>
    <w:family w:val="swiss"/>
    <w:pitch w:val="default"/>
    <w:sig w:usb0="00000001" w:usb1="02000000" w:usb2="00000000" w:usb3="00000000" w:csb0="00000001" w:csb1="00000000"/>
  </w:font>
  <w:font w:name="TimesNewRomanPS-ItalicMT">
    <w:altName w:val="等线"/>
    <w:panose1 w:val="00000000000000000000"/>
    <w:charset w:val="86"/>
    <w:family w:val="auto"/>
    <w:pitch w:val="default"/>
    <w:sig w:usb0="00000000" w:usb1="00000000" w:usb2="00000000" w:usb3="00000000" w:csb0="00040000" w:csb1="00000000"/>
  </w:font>
  <w:font w:name="SymbolMT">
    <w:altName w:val="Times New Roman"/>
    <w:panose1 w:val="00000000000000000000"/>
    <w:charset w:val="00"/>
    <w:family w:val="auto"/>
    <w:pitch w:val="default"/>
    <w:sig w:usb0="00000000" w:usb1="00000000" w:usb2="00000000" w:usb3="00000000" w:csb0="00000001" w:csb1="00000000"/>
  </w:font>
  <w:font w:name="MS Mincho">
    <w:altName w:val="Yu Gothic UI"/>
    <w:panose1 w:val="02020609040205080304"/>
    <w:charset w:val="80"/>
    <w:family w:val="modern"/>
    <w:pitch w:val="default"/>
    <w:sig w:usb0="00000000" w:usb1="00000000" w:usb2="08000012" w:usb3="00000000" w:csb0="0002009F"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 w:name="Yu Gothic UI">
    <w:panose1 w:val="020B0500000000000000"/>
    <w:charset w:val="80"/>
    <w:family w:val="auto"/>
    <w:pitch w:val="default"/>
    <w:sig w:usb0="E00002FF" w:usb1="2AC7FDFF" w:usb2="00000016" w:usb3="00000000" w:csb0="2002009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rPr>
        <w:rFonts w:ascii="Times New Roman" w:hAnsi="Times New Roman"/>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pPr>
    <w: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ind w:firstLine="360"/>
                            <w:rPr>
                              <w:rStyle w:val="61"/>
                              <w:rFonts w:ascii="Times New Roman" w:hAnsi="Times New Roman"/>
                            </w:rPr>
                          </w:pPr>
                          <w:r>
                            <w:rPr>
                              <w:rFonts w:ascii="Times New Roman" w:hAnsi="Times New Roman"/>
                            </w:rPr>
                            <w:fldChar w:fldCharType="begin"/>
                          </w:r>
                          <w:r>
                            <w:rPr>
                              <w:rStyle w:val="61"/>
                              <w:rFonts w:ascii="Times New Roman" w:hAnsi="Times New Roman"/>
                            </w:rPr>
                            <w:instrText xml:space="preserve">PAGE  </w:instrText>
                          </w:r>
                          <w:r>
                            <w:rPr>
                              <w:rFonts w:ascii="Times New Roman" w:hAnsi="Times New Roman"/>
                            </w:rPr>
                            <w:fldChar w:fldCharType="separate"/>
                          </w:r>
                          <w:r>
                            <w:rPr>
                              <w:rStyle w:val="61"/>
                              <w:rFonts w:ascii="Times New Roman" w:hAnsi="Times New Roman"/>
                            </w:rPr>
                            <w:t>31</w:t>
                          </w:r>
                          <w:r>
                            <w:rPr>
                              <w:rFonts w:ascii="Times New Roman" w:hAnsi="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Qyc+cBECAAALBAAADgAAAAAAAAABACAA&#10;AAAfAQAAZHJzL2Uyb0RvYy54bWxQSwUGAAAAAAYABgBZAQAAogUAAAAA&#10;">
              <v:fill on="f" focussize="0,0"/>
              <v:stroke on="f" weight="0.5pt"/>
              <v:imagedata o:title=""/>
              <o:lock v:ext="edit" aspectratio="f"/>
              <v:textbox inset="0mm,0mm,0mm,0mm" style="mso-fit-shape-to-text:t;">
                <w:txbxContent>
                  <w:p>
                    <w:pPr>
                      <w:pStyle w:val="36"/>
                      <w:ind w:firstLine="360"/>
                      <w:rPr>
                        <w:rStyle w:val="61"/>
                        <w:rFonts w:ascii="Times New Roman" w:hAnsi="Times New Roman"/>
                      </w:rPr>
                    </w:pPr>
                    <w:r>
                      <w:rPr>
                        <w:rFonts w:ascii="Times New Roman" w:hAnsi="Times New Roman"/>
                      </w:rPr>
                      <w:fldChar w:fldCharType="begin"/>
                    </w:r>
                    <w:r>
                      <w:rPr>
                        <w:rStyle w:val="61"/>
                        <w:rFonts w:ascii="Times New Roman" w:hAnsi="Times New Roman"/>
                      </w:rPr>
                      <w:instrText xml:space="preserve">PAGE  </w:instrText>
                    </w:r>
                    <w:r>
                      <w:rPr>
                        <w:rFonts w:ascii="Times New Roman" w:hAnsi="Times New Roman"/>
                      </w:rPr>
                      <w:fldChar w:fldCharType="separate"/>
                    </w:r>
                    <w:r>
                      <w:rPr>
                        <w:rStyle w:val="61"/>
                        <w:rFonts w:ascii="Times New Roman" w:hAnsi="Times New Roman"/>
                      </w:rPr>
                      <w:t>31</w:t>
                    </w:r>
                    <w:r>
                      <w:rPr>
                        <w:rFonts w:ascii="Times New Roman" w:hAnsi="Times New Roman"/>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spacing w:before="120" w:after="120"/>
      <w:ind w:right="360" w:rightChars="150" w:firstLine="360"/>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297815</wp:posOffset>
              </wp:positionV>
              <wp:extent cx="647700" cy="1828800"/>
              <wp:effectExtent l="0" t="0" r="0" b="12065"/>
              <wp:wrapNone/>
              <wp:docPr id="127" name="文本框 127"/>
              <wp:cNvGraphicFramePr/>
              <a:graphic xmlns:a="http://schemas.openxmlformats.org/drawingml/2006/main">
                <a:graphicData uri="http://schemas.microsoft.com/office/word/2010/wordprocessingShape">
                  <wps:wsp>
                    <wps:cNvSpPr txBox="1"/>
                    <wps:spPr>
                      <a:xfrm>
                        <a:off x="0" y="0"/>
                        <a:ext cx="6477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rPr>
                              <w:rStyle w:val="61"/>
                              <w:rFonts w:ascii="Times New Roman" w:hAnsi="Times New Roman"/>
                            </w:rPr>
                          </w:pPr>
                          <w:r>
                            <w:rPr>
                              <w:rFonts w:ascii="Times New Roman" w:hAnsi="Times New Roman"/>
                            </w:rPr>
                            <w:fldChar w:fldCharType="begin"/>
                          </w:r>
                          <w:r>
                            <w:rPr>
                              <w:rStyle w:val="61"/>
                              <w:rFonts w:ascii="Times New Roman" w:hAnsi="Times New Roman"/>
                            </w:rPr>
                            <w:instrText xml:space="preserve">PAGE  </w:instrText>
                          </w:r>
                          <w:r>
                            <w:rPr>
                              <w:rFonts w:ascii="Times New Roman" w:hAnsi="Times New Roman"/>
                            </w:rPr>
                            <w:fldChar w:fldCharType="separate"/>
                          </w:r>
                          <w:r>
                            <w:rPr>
                              <w:rStyle w:val="61"/>
                              <w:rFonts w:ascii="Times New Roman" w:hAnsi="Times New Roman"/>
                            </w:rPr>
                            <w:t>125</w:t>
                          </w:r>
                          <w:r>
                            <w:rPr>
                              <w:rFonts w:ascii="Times New Roman" w:hAnsi="Times New Roman"/>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23.45pt;height:144pt;width:51pt;mso-position-horizontal:center;mso-position-horizontal-relative:margin;z-index:251667456;mso-width-relative:page;mso-height-relative:page;" filled="f" stroked="f" coordsize="21600,21600" o:gfxdata="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P4+aHXWAAAABwEAAA8AAAAA&#10;AAAAAQAgAAAAIgAAAGRycy9kb3ducmV2LnhtbFBLAQIUABQAAAAIAIdO4kDsnxdsFgIAAAwEAAAO&#10;AAAAAAAAAAEAIAAAACUBAABkcnMvZTJvRG9jLnhtbFBLBQYAAAAABgAGAFkBAACtBQAAAAA=&#10;">
              <v:fill on="f" focussize="0,0"/>
              <v:stroke on="f" weight="0.5pt"/>
              <v:imagedata o:title=""/>
              <o:lock v:ext="edit" aspectratio="f"/>
              <v:textbox inset="0mm,0mm,0mm,0mm" style="mso-fit-shape-to-text:t;">
                <w:txbxContent>
                  <w:p>
                    <w:pPr>
                      <w:pStyle w:val="36"/>
                      <w:rPr>
                        <w:rStyle w:val="61"/>
                        <w:rFonts w:ascii="Times New Roman" w:hAnsi="Times New Roman"/>
                      </w:rPr>
                    </w:pPr>
                    <w:r>
                      <w:rPr>
                        <w:rFonts w:ascii="Times New Roman" w:hAnsi="Times New Roman"/>
                      </w:rPr>
                      <w:fldChar w:fldCharType="begin"/>
                    </w:r>
                    <w:r>
                      <w:rPr>
                        <w:rStyle w:val="61"/>
                        <w:rFonts w:ascii="Times New Roman" w:hAnsi="Times New Roman"/>
                      </w:rPr>
                      <w:instrText xml:space="preserve">PAGE  </w:instrText>
                    </w:r>
                    <w:r>
                      <w:rPr>
                        <w:rFonts w:ascii="Times New Roman" w:hAnsi="Times New Roman"/>
                      </w:rPr>
                      <w:fldChar w:fldCharType="separate"/>
                    </w:r>
                    <w:r>
                      <w:rPr>
                        <w:rStyle w:val="61"/>
                        <w:rFonts w:ascii="Times New Roman" w:hAnsi="Times New Roman"/>
                      </w:rPr>
                      <w:t>125</w:t>
                    </w:r>
                    <w:r>
                      <w:rPr>
                        <w:rFonts w:ascii="Times New Roman" w:hAnsi="Times New Roman"/>
                      </w:rP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framePr w:wrap="around" w:vAnchor="text" w:hAnchor="margin" w:xAlign="center" w:y="1"/>
      <w:ind w:firstLine="360"/>
      <w:rPr>
        <w:rStyle w:val="61"/>
      </w:rPr>
    </w:pPr>
    <w:r>
      <w:rPr>
        <w:rStyle w:val="61"/>
      </w:rPr>
      <w:fldChar w:fldCharType="begin"/>
    </w:r>
    <w:r>
      <w:rPr>
        <w:rStyle w:val="61"/>
      </w:rPr>
      <w:instrText xml:space="preserve">PAGE  </w:instrText>
    </w:r>
    <w:r>
      <w:rPr>
        <w:rStyle w:val="61"/>
      </w:rPr>
      <w:fldChar w:fldCharType="separate"/>
    </w:r>
    <w:r>
      <w:rPr>
        <w:rStyle w:val="61"/>
      </w:rPr>
      <w:t>151</w:t>
    </w:r>
    <w:r>
      <w:rPr>
        <w:rStyle w:val="61"/>
      </w:rPr>
      <w:fldChar w:fldCharType="end"/>
    </w:r>
  </w:p>
  <w:p>
    <w:pPr>
      <w:ind w:firstLine="48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framePr w:wrap="around" w:vAnchor="text" w:hAnchor="margin" w:xAlign="center" w:y="1"/>
      <w:ind w:firstLine="360"/>
      <w:rPr>
        <w:rStyle w:val="61"/>
      </w:rPr>
    </w:pPr>
    <w:r>
      <w:rPr>
        <w:rStyle w:val="61"/>
      </w:rPr>
      <w:fldChar w:fldCharType="begin"/>
    </w:r>
    <w:r>
      <w:rPr>
        <w:rStyle w:val="61"/>
      </w:rPr>
      <w:instrText xml:space="preserve">PAGE  </w:instrText>
    </w:r>
    <w:r>
      <w:rPr>
        <w:rStyle w:val="61"/>
      </w:rPr>
      <w:fldChar w:fldCharType="end"/>
    </w:r>
  </w:p>
  <w:p>
    <w:pPr>
      <w:pStyle w:val="36"/>
      <w:ind w:firstLine="360"/>
    </w:pPr>
  </w:p>
  <w:p>
    <w:pPr>
      <w:ind w:firstLine="480"/>
    </w:pPr>
  </w:p>
  <w:p>
    <w:pPr>
      <w:ind w:firstLine="480"/>
    </w:pPr>
  </w:p>
  <w:p>
    <w:pPr>
      <w:ind w:firstLine="48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pPr>
  </w:p>
  <w:p>
    <w:pPr>
      <w:ind w:firstLine="480"/>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pPr>
    <w:r>
      <w:fldChar w:fldCharType="begin"/>
    </w:r>
    <w:r>
      <w:instrText xml:space="preserve">PAGE   \* MERGEFORMAT</w:instrText>
    </w:r>
    <w:r>
      <w:fldChar w:fldCharType="separate"/>
    </w:r>
    <w:r>
      <w:rPr>
        <w:lang w:val="zh-CN"/>
      </w:rPr>
      <w:t>218</w:t>
    </w:r>
    <w: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pPr>
    <w:r>
      <mc:AlternateContent>
        <mc:Choice Requires="wps">
          <w:drawing>
            <wp:anchor distT="0" distB="0" distL="114300" distR="114300" simplePos="0" relativeHeight="25165414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ind w:firstLine="360"/>
                            <w:rPr>
                              <w:rFonts w:eastAsia="宋体"/>
                            </w:rPr>
                          </w:pPr>
                          <w:r>
                            <w:rPr>
                              <w:rFonts w:hint="eastAsia"/>
                            </w:rPr>
                            <w:fldChar w:fldCharType="begin"/>
                          </w:r>
                          <w:r>
                            <w:rPr>
                              <w:rFonts w:hint="eastAsia"/>
                            </w:rPr>
                            <w:instrText xml:space="preserve"> PAGE  \* MERGEFORMAT </w:instrText>
                          </w:r>
                          <w:r>
                            <w:rPr>
                              <w:rFonts w:hint="eastAsia"/>
                            </w:rPr>
                            <w:fldChar w:fldCharType="separate"/>
                          </w:r>
                          <w:r>
                            <w:t>264</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41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DoI+MdEAIAAAcEAAAOAAAAAAAAAAEAIAAA&#10;AB8BAABkcnMvZTJvRG9jLnhtbFBLBQYAAAAABgAGAFkBAAChBQAAAAA=&#10;">
              <v:fill on="f" focussize="0,0"/>
              <v:stroke on="f" weight="0.5pt"/>
              <v:imagedata o:title=""/>
              <o:lock v:ext="edit" aspectratio="f"/>
              <v:textbox inset="0mm,0mm,0mm,0mm" style="mso-fit-shape-to-text:t;">
                <w:txbxContent>
                  <w:p>
                    <w:pPr>
                      <w:pStyle w:val="36"/>
                      <w:ind w:firstLine="360"/>
                      <w:rPr>
                        <w:rFonts w:eastAsia="宋体"/>
                      </w:rPr>
                    </w:pPr>
                    <w:r>
                      <w:rPr>
                        <w:rFonts w:hint="eastAsia"/>
                      </w:rPr>
                      <w:fldChar w:fldCharType="begin"/>
                    </w:r>
                    <w:r>
                      <w:rPr>
                        <w:rFonts w:hint="eastAsia"/>
                      </w:rPr>
                      <w:instrText xml:space="preserve"> PAGE  \* MERGEFORMAT </w:instrText>
                    </w:r>
                    <w:r>
                      <w:rPr>
                        <w:rFonts w:hint="eastAsia"/>
                      </w:rPr>
                      <w:fldChar w:fldCharType="separate"/>
                    </w:r>
                    <w:r>
                      <w:t>264</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tabs>
        <w:tab w:val="clear" w:pos="8306"/>
      </w:tabs>
      <w:ind w:firstLine="360"/>
      <w:jc w:val="both"/>
      <w:rPr>
        <w:rFonts w:ascii="Times New Roman" w:hAnsi="Times New Roman"/>
      </w:rPr>
    </w:pPr>
    <w:r>
      <mc:AlternateContent>
        <mc:Choice Requires="wps">
          <w:drawing>
            <wp:anchor distT="0" distB="0" distL="114300" distR="114300" simplePos="0" relativeHeight="25163161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ind w:firstLine="360"/>
                            <w:rPr>
                              <w:rFonts w:eastAsia="宋体"/>
                            </w:rPr>
                          </w:pPr>
                          <w:r>
                            <w:rPr>
                              <w:rFonts w:hint="eastAsia"/>
                            </w:rPr>
                            <w:fldChar w:fldCharType="begin"/>
                          </w:r>
                          <w:r>
                            <w:rPr>
                              <w:rFonts w:hint="eastAsia"/>
                            </w:rPr>
                            <w:instrText xml:space="preserve"> PAGE  \* MERGEFORMAT </w:instrText>
                          </w:r>
                          <w:r>
                            <w:rPr>
                              <w:rFonts w:hint="eastAsia"/>
                            </w:rPr>
                            <w:fldChar w:fldCharType="separate"/>
                          </w:r>
                          <w:r>
                            <w:t>I</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316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e42kMxECAAALBAAADgAAAAAAAAABACAA&#10;AAAfAQAAZHJzL2Uyb0RvYy54bWxQSwUGAAAAAAYABgBZAQAAogUAAAAA&#10;">
              <v:fill on="f" focussize="0,0"/>
              <v:stroke on="f" weight="0.5pt"/>
              <v:imagedata o:title=""/>
              <o:lock v:ext="edit" aspectratio="f"/>
              <v:textbox inset="0mm,0mm,0mm,0mm" style="mso-fit-shape-to-text:t;">
                <w:txbxContent>
                  <w:p>
                    <w:pPr>
                      <w:pStyle w:val="36"/>
                      <w:ind w:firstLine="360"/>
                      <w:rPr>
                        <w:rFonts w:eastAsia="宋体"/>
                      </w:rPr>
                    </w:pPr>
                    <w:r>
                      <w:rPr>
                        <w:rFonts w:hint="eastAsia"/>
                      </w:rPr>
                      <w:fldChar w:fldCharType="begin"/>
                    </w:r>
                    <w:r>
                      <w:rPr>
                        <w:rFonts w:hint="eastAsia"/>
                      </w:rPr>
                      <w:instrText xml:space="preserve"> PAGE  \* MERGEFORMAT </w:instrText>
                    </w:r>
                    <w:r>
                      <w:rPr>
                        <w:rFonts w:hint="eastAsia"/>
                      </w:rPr>
                      <w:fldChar w:fldCharType="separate"/>
                    </w:r>
                    <w:r>
                      <w:t>I</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rPr>
        <w:rFonts w:ascii="Times New Roman" w:hAnsi="Times New Roman"/>
      </w:rPr>
    </w:pPr>
    <w:r>
      <mc:AlternateContent>
        <mc:Choice Requires="wps">
          <w:drawing>
            <wp:anchor distT="0" distB="0" distL="114300" distR="114300" simplePos="0" relativeHeight="2516469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ind w:firstLine="360"/>
                            <w:rPr>
                              <w:rFonts w:eastAsia="宋体"/>
                            </w:rPr>
                          </w:pPr>
                          <w:r>
                            <w:rPr>
                              <w:rFonts w:hint="eastAsia"/>
                            </w:rPr>
                            <w:fldChar w:fldCharType="begin"/>
                          </w:r>
                          <w:r>
                            <w:rPr>
                              <w:rFonts w:hint="eastAsia"/>
                            </w:rPr>
                            <w:instrText xml:space="preserve"> PAGE  \* MERGEFORMAT </w:instrText>
                          </w:r>
                          <w:r>
                            <w:rPr>
                              <w:rFonts w:hint="eastAsia"/>
                            </w:rPr>
                            <w:fldChar w:fldCharType="separate"/>
                          </w:r>
                          <w:r>
                            <w:t>III</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469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ibuvAPAgAACw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0lY7tAAAAAFAQAADwAAAAAAAAABACAAAAAiAAAA&#10;ZHJzL2Rvd25yZXYueG1sUEsBAhQAFAAAAAgAh07iQOibuvAPAgAACwQAAA4AAAAAAAAAAQAgAAAA&#10;HwEAAGRycy9lMm9Eb2MueG1sUEsFBgAAAAAGAAYAWQEAAKAFAAAAAA==&#10;">
              <v:fill on="f" focussize="0,0"/>
              <v:stroke on="f" weight="0.5pt"/>
              <v:imagedata o:title=""/>
              <o:lock v:ext="edit" aspectratio="f"/>
              <v:textbox inset="0mm,0mm,0mm,0mm" style="mso-fit-shape-to-text:t;">
                <w:txbxContent>
                  <w:p>
                    <w:pPr>
                      <w:pStyle w:val="36"/>
                      <w:ind w:firstLine="360"/>
                      <w:rPr>
                        <w:rFonts w:eastAsia="宋体"/>
                      </w:rPr>
                    </w:pPr>
                    <w:r>
                      <w:rPr>
                        <w:rFonts w:hint="eastAsia"/>
                      </w:rPr>
                      <w:fldChar w:fldCharType="begin"/>
                    </w:r>
                    <w:r>
                      <w:rPr>
                        <w:rFonts w:hint="eastAsia"/>
                      </w:rPr>
                      <w:instrText xml:space="preserve"> PAGE  \* MERGEFORMAT </w:instrText>
                    </w:r>
                    <w:r>
                      <w:rPr>
                        <w:rFonts w:hint="eastAsia"/>
                      </w:rPr>
                      <w:fldChar w:fldCharType="separate"/>
                    </w:r>
                    <w:r>
                      <w:t>III</w:t>
                    </w:r>
                    <w:r>
                      <w:rPr>
                        <w:rFonts w:hint="eastAsia"/>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rPr>
        <w:rFonts w:ascii="Times New Roman" w:hAnsi="Times New Roman"/>
      </w:rPr>
    </w:pPr>
    <w:r>
      <mc:AlternateContent>
        <mc:Choice Requires="wps">
          <w:drawing>
            <wp:anchor distT="0" distB="0" distL="114300" distR="114300" simplePos="0" relativeHeight="251685888" behindDoc="0" locked="0" layoutInCell="1" allowOverlap="1">
              <wp:simplePos x="0" y="0"/>
              <wp:positionH relativeFrom="margin">
                <wp:posOffset>2737485</wp:posOffset>
              </wp:positionH>
              <wp:positionV relativeFrom="paragraph">
                <wp:posOffset>-3175</wp:posOffset>
              </wp:positionV>
              <wp:extent cx="466725" cy="180975"/>
              <wp:effectExtent l="0" t="0" r="9525" b="9525"/>
              <wp:wrapNone/>
              <wp:docPr id="118" name="文本框 118"/>
              <wp:cNvGraphicFramePr/>
              <a:graphic xmlns:a="http://schemas.openxmlformats.org/drawingml/2006/main">
                <a:graphicData uri="http://schemas.microsoft.com/office/word/2010/wordprocessingShape">
                  <wps:wsp>
                    <wps:cNvSpPr txBox="1"/>
                    <wps:spPr>
                      <a:xfrm>
                        <a:off x="0" y="0"/>
                        <a:ext cx="466725" cy="180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rPr>
                              <w:rFonts w:eastAsia="宋体"/>
                            </w:rPr>
                          </w:pPr>
                          <w:r>
                            <w:rPr>
                              <w:rFonts w:hint="eastAsia"/>
                            </w:rPr>
                            <w:fldChar w:fldCharType="begin"/>
                          </w:r>
                          <w:r>
                            <w:rPr>
                              <w:rFonts w:hint="eastAsia"/>
                            </w:rPr>
                            <w:instrText xml:space="preserve"> PAGE  \* MERGEFORMAT </w:instrText>
                          </w:r>
                          <w:r>
                            <w:rPr>
                              <w:rFonts w:hint="eastAsia"/>
                            </w:rPr>
                            <w:fldChar w:fldCharType="separate"/>
                          </w:r>
                          <w:r>
                            <w:t>III</w:t>
                          </w:r>
                          <w:r>
                            <w:rPr>
                              <w:rFonts w:hint="eastAsia"/>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15.55pt;margin-top:-0.25pt;height:14.25pt;width:36.75pt;mso-position-horizontal-relative:margin;z-index:251685888;mso-width-relative:page;mso-height-relative:page;" filled="f" stroked="f" coordsize="21600,21600" o:gfxdata="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l/0+atcAAAAIAQAADwAA&#10;AAAAAAABACAAAAAiAAAAZHJzL2Rvd25yZXYueG1sUEsBAhQAFAAAAAgAh07iQEQ21oQXAgAACwQA&#10;AA4AAAAAAAAAAQAgAAAAJgEAAGRycy9lMm9Eb2MueG1sUEsFBgAAAAAGAAYAWQEAAK8FAAAAAA==&#10;">
              <v:fill on="f" focussize="0,0"/>
              <v:stroke on="f" weight="0.5pt"/>
              <v:imagedata o:title=""/>
              <o:lock v:ext="edit" aspectratio="f"/>
              <v:textbox inset="0mm,0mm,0mm,0mm">
                <w:txbxContent>
                  <w:p>
                    <w:pPr>
                      <w:pStyle w:val="36"/>
                      <w:rPr>
                        <w:rFonts w:eastAsia="宋体"/>
                      </w:rPr>
                    </w:pPr>
                    <w:r>
                      <w:rPr>
                        <w:rFonts w:hint="eastAsia"/>
                      </w:rPr>
                      <w:fldChar w:fldCharType="begin"/>
                    </w:r>
                    <w:r>
                      <w:rPr>
                        <w:rFonts w:hint="eastAsia"/>
                      </w:rPr>
                      <w:instrText xml:space="preserve"> PAGE  \* MERGEFORMAT </w:instrText>
                    </w:r>
                    <w:r>
                      <w:rPr>
                        <w:rFonts w:hint="eastAsia"/>
                      </w:rPr>
                      <w:fldChar w:fldCharType="separate"/>
                    </w:r>
                    <w:r>
                      <w:t>III</w:t>
                    </w:r>
                    <w:r>
                      <w:rPr>
                        <w:rFonts w:hint="eastAsi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rPr>
        <w:rFonts w:ascii="Times New Roman" w:hAnsi="Times New Roman"/>
      </w:rPr>
    </w:pPr>
    <w:r>
      <mc:AlternateContent>
        <mc:Choice Requires="wps">
          <w:drawing>
            <wp:anchor distT="0" distB="0" distL="114300" distR="114300" simplePos="0" relativeHeight="2516418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ind w:firstLine="360"/>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1</w:t>
                          </w:r>
                          <w:r>
                            <w:rPr>
                              <w:rFonts w:ascii="Times New Roman" w:hAnsi="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418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pe/t8QAgAACw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C6Xv7fEAIAAAsEAAAOAAAAAAAAAAEAIAAA&#10;AB8BAABkcnMvZTJvRG9jLnhtbFBLBQYAAAAABgAGAFkBAAChBQAAAAA=&#10;">
              <v:fill on="f" focussize="0,0"/>
              <v:stroke on="f" weight="0.5pt"/>
              <v:imagedata o:title=""/>
              <o:lock v:ext="edit" aspectratio="f"/>
              <v:textbox inset="0mm,0mm,0mm,0mm" style="mso-fit-shape-to-text:t;">
                <w:txbxContent>
                  <w:p>
                    <w:pPr>
                      <w:pStyle w:val="36"/>
                      <w:ind w:firstLine="360"/>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1</w:t>
                    </w:r>
                    <w:r>
                      <w:rPr>
                        <w:rFonts w:ascii="Times New Roman" w:hAnsi="Times New Roman"/>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ind w:firstLine="360"/>
      <w:rPr>
        <w:rFonts w:ascii="Times New Roman" w:hAnsi="Times New Roman"/>
      </w:rPr>
    </w:pPr>
    <w: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ind w:firstLine="360"/>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2</w:t>
                          </w:r>
                          <w:r>
                            <w:rPr>
                              <w:rFonts w:ascii="Times New Roman" w:hAnsi="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VAHSghECAAALBAAADgAAAAAAAAABACAA&#10;AAAfAQAAZHJzL2Uyb0RvYy54bWxQSwUGAAAAAAYABgBZAQAAogUAAAAA&#10;">
              <v:fill on="f" focussize="0,0"/>
              <v:stroke on="f" weight="0.5pt"/>
              <v:imagedata o:title=""/>
              <o:lock v:ext="edit" aspectratio="f"/>
              <v:textbox inset="0mm,0mm,0mm,0mm" style="mso-fit-shape-to-text:t;">
                <w:txbxContent>
                  <w:p>
                    <w:pPr>
                      <w:pStyle w:val="36"/>
                      <w:ind w:firstLine="360"/>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2</w:t>
                    </w:r>
                    <w:r>
                      <w:rPr>
                        <w:rFonts w:ascii="Times New Roman" w:hAnsi="Times New Roman"/>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34576390"/>
      <w:docPartObj>
        <w:docPartGallery w:val="AutoText"/>
      </w:docPartObj>
    </w:sdtPr>
    <w:sdtContent>
      <w:p>
        <w:pPr>
          <w:pStyle w:val="36"/>
          <w:ind w:firstLine="420"/>
        </w:pPr>
        <w:r>
          <w:fldChar w:fldCharType="begin"/>
        </w:r>
        <w:r>
          <w:instrText xml:space="preserve">PAGE   \* MERGEFORMAT</w:instrText>
        </w:r>
        <w:r>
          <w:fldChar w:fldCharType="separate"/>
        </w:r>
        <w:r>
          <w:rPr>
            <w:lang w:val="zh-CN"/>
          </w:rPr>
          <w:t>19</w:t>
        </w:r>
        <w:r>
          <w:fldChar w:fldCharType="end"/>
        </w:r>
      </w:p>
    </w:sdtContent>
  </w:sdt>
  <w:p>
    <w:pPr>
      <w:pStyle w:val="36"/>
      <w:ind w:firstLine="360"/>
      <w:rPr>
        <w:rFonts w:ascii="Times New Roman" w:hAnsi="Times New Roma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Bdr>
        <w:bottom w:val="none" w:color="auto" w:sz="0" w:space="0"/>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0" w:firstLineChars="0"/>
      <w:jc w:val="center"/>
      <w:rPr>
        <w:sz w:val="18"/>
        <w:szCs w:val="18"/>
      </w:rPr>
    </w:pPr>
    <w:r>
      <w:rPr>
        <w:rFonts w:hint="eastAsia"/>
        <w:sz w:val="18"/>
        <w:szCs w:val="18"/>
      </w:rPr>
      <w:t>开平市骑达橡胶制品厂年产</w:t>
    </w:r>
    <w:r>
      <w:rPr>
        <w:sz w:val="18"/>
        <w:szCs w:val="18"/>
      </w:rPr>
      <w:t>8</w:t>
    </w:r>
    <w:r>
      <w:rPr>
        <w:rFonts w:hint="eastAsia"/>
        <w:sz w:val="18"/>
        <w:szCs w:val="18"/>
      </w:rPr>
      <w:t>00万个橡胶制品项目环境影响报告书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ind w:firstLine="360"/>
    </w:pPr>
  </w:p>
  <w:p>
    <w:pPr>
      <w:ind w:firstLine="480"/>
    </w:pPr>
  </w:p>
  <w:p>
    <w:pPr>
      <w:ind w:firstLine="480"/>
    </w:pPr>
  </w:p>
  <w:p>
    <w:pPr>
      <w:ind w:firstLine="48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ind w:firstLine="360"/>
    </w:pPr>
  </w:p>
  <w:p>
    <w:pPr>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B"/>
    <w:multiLevelType w:val="multilevel"/>
    <w:tmpl w:val="0000000B"/>
    <w:lvl w:ilvl="0" w:tentative="0">
      <w:start w:val="1"/>
      <w:numFmt w:val="decimal"/>
      <w:suff w:val="nothing"/>
      <w:lvlText w:val="(%1)"/>
      <w:lvlJc w:val="left"/>
      <w:pPr>
        <w:ind w:left="426" w:firstLine="420"/>
      </w:pPr>
      <w:rPr>
        <w:rFonts w:hint="eastAsia"/>
      </w:rPr>
    </w:lvl>
    <w:lvl w:ilvl="1" w:tentative="0">
      <w:start w:val="1"/>
      <w:numFmt w:val="lowerLetter"/>
      <w:lvlText w:val="%2)"/>
      <w:lvlJc w:val="left"/>
      <w:pPr>
        <w:tabs>
          <w:tab w:val="left" w:pos="1266"/>
        </w:tabs>
        <w:ind w:left="1266" w:hanging="420"/>
      </w:pPr>
      <w:rPr>
        <w:rFonts w:hint="eastAsia"/>
      </w:rPr>
    </w:lvl>
    <w:lvl w:ilvl="2" w:tentative="0">
      <w:start w:val="1"/>
      <w:numFmt w:val="lowerRoman"/>
      <w:lvlText w:val="%3."/>
      <w:lvlJc w:val="right"/>
      <w:pPr>
        <w:tabs>
          <w:tab w:val="left" w:pos="1686"/>
        </w:tabs>
        <w:ind w:left="1686" w:hanging="420"/>
      </w:pPr>
      <w:rPr>
        <w:rFonts w:hint="eastAsia"/>
      </w:rPr>
    </w:lvl>
    <w:lvl w:ilvl="3" w:tentative="0">
      <w:start w:val="1"/>
      <w:numFmt w:val="decimal"/>
      <w:lvlText w:val="%4."/>
      <w:lvlJc w:val="left"/>
      <w:pPr>
        <w:tabs>
          <w:tab w:val="left" w:pos="2106"/>
        </w:tabs>
        <w:ind w:left="2106" w:hanging="420"/>
      </w:pPr>
      <w:rPr>
        <w:rFonts w:hint="eastAsia"/>
      </w:rPr>
    </w:lvl>
    <w:lvl w:ilvl="4" w:tentative="0">
      <w:start w:val="1"/>
      <w:numFmt w:val="lowerLetter"/>
      <w:lvlText w:val="%5)"/>
      <w:lvlJc w:val="left"/>
      <w:pPr>
        <w:tabs>
          <w:tab w:val="left" w:pos="2526"/>
        </w:tabs>
        <w:ind w:left="2526" w:hanging="420"/>
      </w:pPr>
      <w:rPr>
        <w:rFonts w:hint="eastAsia"/>
      </w:rPr>
    </w:lvl>
    <w:lvl w:ilvl="5" w:tentative="0">
      <w:start w:val="1"/>
      <w:numFmt w:val="lowerRoman"/>
      <w:lvlText w:val="%6."/>
      <w:lvlJc w:val="right"/>
      <w:pPr>
        <w:tabs>
          <w:tab w:val="left" w:pos="2946"/>
        </w:tabs>
        <w:ind w:left="2946" w:hanging="420"/>
      </w:pPr>
      <w:rPr>
        <w:rFonts w:hint="eastAsia"/>
      </w:rPr>
    </w:lvl>
    <w:lvl w:ilvl="6" w:tentative="0">
      <w:start w:val="1"/>
      <w:numFmt w:val="decimal"/>
      <w:lvlText w:val="%7."/>
      <w:lvlJc w:val="left"/>
      <w:pPr>
        <w:tabs>
          <w:tab w:val="left" w:pos="3366"/>
        </w:tabs>
        <w:ind w:left="3366" w:hanging="420"/>
      </w:pPr>
      <w:rPr>
        <w:rFonts w:hint="eastAsia"/>
      </w:rPr>
    </w:lvl>
    <w:lvl w:ilvl="7" w:tentative="0">
      <w:start w:val="1"/>
      <w:numFmt w:val="lowerLetter"/>
      <w:lvlText w:val="%8)"/>
      <w:lvlJc w:val="left"/>
      <w:pPr>
        <w:tabs>
          <w:tab w:val="left" w:pos="3786"/>
        </w:tabs>
        <w:ind w:left="3786" w:hanging="420"/>
      </w:pPr>
      <w:rPr>
        <w:rFonts w:hint="eastAsia"/>
      </w:rPr>
    </w:lvl>
    <w:lvl w:ilvl="8" w:tentative="0">
      <w:start w:val="1"/>
      <w:numFmt w:val="lowerRoman"/>
      <w:lvlText w:val="%9."/>
      <w:lvlJc w:val="right"/>
      <w:pPr>
        <w:tabs>
          <w:tab w:val="left" w:pos="4206"/>
        </w:tabs>
        <w:ind w:left="4206" w:hanging="420"/>
      </w:pPr>
      <w:rPr>
        <w:rFonts w:hint="eastAsia"/>
      </w:rPr>
    </w:lvl>
  </w:abstractNum>
  <w:abstractNum w:abstractNumId="1">
    <w:nsid w:val="00000012"/>
    <w:multiLevelType w:val="multilevel"/>
    <w:tmpl w:val="00000012"/>
    <w:lvl w:ilvl="0" w:tentative="0">
      <w:start w:val="1"/>
      <w:numFmt w:val="decimalEnclosedCircle"/>
      <w:pStyle w:val="131"/>
      <w:suff w:val="nothing"/>
      <w:lvlText w:val="%1"/>
      <w:lvlJc w:val="left"/>
      <w:pPr>
        <w:ind w:left="425" w:firstLine="0"/>
      </w:pPr>
      <w:rPr>
        <w:rFonts w:hint="default"/>
        <w:b w:val="0"/>
        <w:i w:val="0"/>
      </w:rPr>
    </w:lvl>
    <w:lvl w:ilvl="1" w:tentative="0">
      <w:start w:val="1"/>
      <w:numFmt w:val="lowerLetter"/>
      <w:lvlText w:val="%2)"/>
      <w:lvlJc w:val="left"/>
      <w:pPr>
        <w:ind w:left="1320" w:hanging="420"/>
      </w:pPr>
      <w:rPr>
        <w:rFonts w:hint="eastAsia"/>
      </w:rPr>
    </w:lvl>
    <w:lvl w:ilvl="2" w:tentative="0">
      <w:start w:val="1"/>
      <w:numFmt w:val="lowerRoman"/>
      <w:lvlText w:val="%3."/>
      <w:lvlJc w:val="right"/>
      <w:pPr>
        <w:ind w:left="1740" w:hanging="420"/>
      </w:pPr>
      <w:rPr>
        <w:rFonts w:hint="eastAsia"/>
      </w:rPr>
    </w:lvl>
    <w:lvl w:ilvl="3" w:tentative="0">
      <w:start w:val="1"/>
      <w:numFmt w:val="decimal"/>
      <w:lvlText w:val="%4."/>
      <w:lvlJc w:val="left"/>
      <w:pPr>
        <w:ind w:left="2160" w:hanging="420"/>
      </w:pPr>
      <w:rPr>
        <w:rFonts w:hint="eastAsia"/>
      </w:rPr>
    </w:lvl>
    <w:lvl w:ilvl="4" w:tentative="0">
      <w:start w:val="1"/>
      <w:numFmt w:val="lowerLetter"/>
      <w:lvlText w:val="%5)"/>
      <w:lvlJc w:val="left"/>
      <w:pPr>
        <w:ind w:left="2580" w:hanging="420"/>
      </w:pPr>
      <w:rPr>
        <w:rFonts w:hint="eastAsia"/>
      </w:rPr>
    </w:lvl>
    <w:lvl w:ilvl="5" w:tentative="0">
      <w:start w:val="1"/>
      <w:numFmt w:val="lowerRoman"/>
      <w:lvlText w:val="%6."/>
      <w:lvlJc w:val="right"/>
      <w:pPr>
        <w:ind w:left="3000" w:hanging="420"/>
      </w:pPr>
      <w:rPr>
        <w:rFonts w:hint="eastAsia"/>
      </w:rPr>
    </w:lvl>
    <w:lvl w:ilvl="6" w:tentative="0">
      <w:start w:val="1"/>
      <w:numFmt w:val="decimal"/>
      <w:lvlText w:val="%7."/>
      <w:lvlJc w:val="left"/>
      <w:pPr>
        <w:ind w:left="3420" w:hanging="420"/>
      </w:pPr>
      <w:rPr>
        <w:rFonts w:hint="eastAsia"/>
      </w:rPr>
    </w:lvl>
    <w:lvl w:ilvl="7" w:tentative="0">
      <w:start w:val="1"/>
      <w:numFmt w:val="lowerLetter"/>
      <w:lvlText w:val="%8)"/>
      <w:lvlJc w:val="left"/>
      <w:pPr>
        <w:ind w:left="3840" w:hanging="420"/>
      </w:pPr>
      <w:rPr>
        <w:rFonts w:hint="eastAsia"/>
      </w:rPr>
    </w:lvl>
    <w:lvl w:ilvl="8" w:tentative="0">
      <w:start w:val="1"/>
      <w:numFmt w:val="lowerRoman"/>
      <w:lvlText w:val="%9."/>
      <w:lvlJc w:val="right"/>
      <w:pPr>
        <w:ind w:left="4260" w:hanging="420"/>
      </w:pPr>
      <w:rPr>
        <w:rFonts w:hint="eastAsia"/>
      </w:rPr>
    </w:lvl>
  </w:abstractNum>
  <w:abstractNum w:abstractNumId="2">
    <w:nsid w:val="029A7F4E"/>
    <w:multiLevelType w:val="multilevel"/>
    <w:tmpl w:val="029A7F4E"/>
    <w:lvl w:ilvl="0" w:tentative="0">
      <w:start w:val="1"/>
      <w:numFmt w:val="decimal"/>
      <w:suff w:val="nothing"/>
      <w:lvlText w:val="%1"/>
      <w:lvlJc w:val="center"/>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3406D8F"/>
    <w:multiLevelType w:val="multilevel"/>
    <w:tmpl w:val="03406D8F"/>
    <w:lvl w:ilvl="0" w:tentative="0">
      <w:start w:val="1"/>
      <w:numFmt w:val="decimal"/>
      <w:suff w:val="nothing"/>
      <w:lvlText w:val="（%1）"/>
      <w:lvlJc w:val="left"/>
      <w:pPr>
        <w:ind w:left="0" w:firstLine="0"/>
      </w:pPr>
      <w:rPr>
        <w:rFonts w:hint="eastAsia"/>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046A09C0"/>
    <w:multiLevelType w:val="multilevel"/>
    <w:tmpl w:val="046A09C0"/>
    <w:lvl w:ilvl="0" w:tentative="0">
      <w:start w:val="1"/>
      <w:numFmt w:val="decimal"/>
      <w:lvlText w:val="（%1）"/>
      <w:lvlJc w:val="left"/>
      <w:pPr>
        <w:tabs>
          <w:tab w:val="left" w:pos="0"/>
        </w:tabs>
        <w:ind w:left="0" w:firstLine="0"/>
      </w:pPr>
      <w:rPr>
        <w:rFonts w:hint="default" w:ascii="Times New Roman" w:hAnsi="Times New Roman" w:eastAsia="宋体"/>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0A5C1F7D"/>
    <w:multiLevelType w:val="multilevel"/>
    <w:tmpl w:val="0A5C1F7D"/>
    <w:lvl w:ilvl="0" w:tentative="0">
      <w:start w:val="1"/>
      <w:numFmt w:val="bullet"/>
      <w:lvlText w:val=""/>
      <w:lvlJc w:val="left"/>
      <w:pPr>
        <w:ind w:left="891" w:hanging="420"/>
      </w:pPr>
      <w:rPr>
        <w:rFonts w:hint="default" w:ascii="Wingdings" w:hAnsi="Wingdings"/>
      </w:rPr>
    </w:lvl>
    <w:lvl w:ilvl="1" w:tentative="0">
      <w:start w:val="1"/>
      <w:numFmt w:val="bullet"/>
      <w:lvlText w:val=""/>
      <w:lvlJc w:val="left"/>
      <w:pPr>
        <w:ind w:left="1311" w:hanging="420"/>
      </w:pPr>
      <w:rPr>
        <w:rFonts w:hint="default" w:ascii="Wingdings" w:hAnsi="Wingdings"/>
      </w:rPr>
    </w:lvl>
    <w:lvl w:ilvl="2" w:tentative="0">
      <w:start w:val="1"/>
      <w:numFmt w:val="bullet"/>
      <w:lvlText w:val=""/>
      <w:lvlJc w:val="left"/>
      <w:pPr>
        <w:ind w:left="1731" w:hanging="420"/>
      </w:pPr>
      <w:rPr>
        <w:rFonts w:hint="default" w:ascii="Wingdings" w:hAnsi="Wingdings"/>
      </w:rPr>
    </w:lvl>
    <w:lvl w:ilvl="3" w:tentative="0">
      <w:start w:val="1"/>
      <w:numFmt w:val="bullet"/>
      <w:lvlText w:val=""/>
      <w:lvlJc w:val="left"/>
      <w:pPr>
        <w:ind w:left="2151" w:hanging="420"/>
      </w:pPr>
      <w:rPr>
        <w:rFonts w:hint="default" w:ascii="Wingdings" w:hAnsi="Wingdings"/>
      </w:rPr>
    </w:lvl>
    <w:lvl w:ilvl="4" w:tentative="0">
      <w:start w:val="1"/>
      <w:numFmt w:val="bullet"/>
      <w:lvlText w:val=""/>
      <w:lvlJc w:val="left"/>
      <w:pPr>
        <w:ind w:left="2571" w:hanging="420"/>
      </w:pPr>
      <w:rPr>
        <w:rFonts w:hint="default" w:ascii="Wingdings" w:hAnsi="Wingdings"/>
      </w:rPr>
    </w:lvl>
    <w:lvl w:ilvl="5" w:tentative="0">
      <w:start w:val="1"/>
      <w:numFmt w:val="bullet"/>
      <w:lvlText w:val=""/>
      <w:lvlJc w:val="left"/>
      <w:pPr>
        <w:ind w:left="2991" w:hanging="420"/>
      </w:pPr>
      <w:rPr>
        <w:rFonts w:hint="default" w:ascii="Wingdings" w:hAnsi="Wingdings"/>
      </w:rPr>
    </w:lvl>
    <w:lvl w:ilvl="6" w:tentative="0">
      <w:start w:val="1"/>
      <w:numFmt w:val="bullet"/>
      <w:lvlText w:val=""/>
      <w:lvlJc w:val="left"/>
      <w:pPr>
        <w:ind w:left="3411" w:hanging="420"/>
      </w:pPr>
      <w:rPr>
        <w:rFonts w:hint="default" w:ascii="Wingdings" w:hAnsi="Wingdings"/>
      </w:rPr>
    </w:lvl>
    <w:lvl w:ilvl="7" w:tentative="0">
      <w:start w:val="1"/>
      <w:numFmt w:val="bullet"/>
      <w:lvlText w:val=""/>
      <w:lvlJc w:val="left"/>
      <w:pPr>
        <w:ind w:left="3831" w:hanging="420"/>
      </w:pPr>
      <w:rPr>
        <w:rFonts w:hint="default" w:ascii="Wingdings" w:hAnsi="Wingdings"/>
      </w:rPr>
    </w:lvl>
    <w:lvl w:ilvl="8" w:tentative="0">
      <w:start w:val="1"/>
      <w:numFmt w:val="bullet"/>
      <w:lvlText w:val=""/>
      <w:lvlJc w:val="left"/>
      <w:pPr>
        <w:ind w:left="4251" w:hanging="420"/>
      </w:pPr>
      <w:rPr>
        <w:rFonts w:hint="default" w:ascii="Wingdings" w:hAnsi="Wingdings"/>
      </w:rPr>
    </w:lvl>
  </w:abstractNum>
  <w:abstractNum w:abstractNumId="6">
    <w:nsid w:val="103E4543"/>
    <w:multiLevelType w:val="multilevel"/>
    <w:tmpl w:val="103E4543"/>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
    <w:nsid w:val="11970859"/>
    <w:multiLevelType w:val="multilevel"/>
    <w:tmpl w:val="11970859"/>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130552D9"/>
    <w:multiLevelType w:val="multilevel"/>
    <w:tmpl w:val="130552D9"/>
    <w:lvl w:ilvl="0" w:tentative="0">
      <w:start w:val="1"/>
      <w:numFmt w:val="decimal"/>
      <w:suff w:val="nothing"/>
      <w:lvlText w:val="（%1）"/>
      <w:lvlJc w:val="left"/>
      <w:pPr>
        <w:ind w:left="142" w:firstLine="0"/>
      </w:pPr>
      <w:rPr>
        <w:rFonts w:hint="eastAsia"/>
        <w:lang w:val="en-US"/>
      </w:rPr>
    </w:lvl>
    <w:lvl w:ilvl="1" w:tentative="0">
      <w:start w:val="1"/>
      <w:numFmt w:val="lowerLetter"/>
      <w:lvlText w:val="%2)"/>
      <w:lvlJc w:val="left"/>
      <w:pPr>
        <w:ind w:left="330" w:hanging="420"/>
      </w:pPr>
    </w:lvl>
    <w:lvl w:ilvl="2" w:tentative="0">
      <w:start w:val="1"/>
      <w:numFmt w:val="lowerRoman"/>
      <w:lvlText w:val="%3."/>
      <w:lvlJc w:val="right"/>
      <w:pPr>
        <w:ind w:left="750" w:hanging="420"/>
      </w:pPr>
    </w:lvl>
    <w:lvl w:ilvl="3" w:tentative="0">
      <w:start w:val="1"/>
      <w:numFmt w:val="decimal"/>
      <w:lvlText w:val="%4."/>
      <w:lvlJc w:val="left"/>
      <w:pPr>
        <w:ind w:left="1170" w:hanging="420"/>
      </w:pPr>
    </w:lvl>
    <w:lvl w:ilvl="4" w:tentative="0">
      <w:start w:val="1"/>
      <w:numFmt w:val="lowerLetter"/>
      <w:lvlText w:val="%5)"/>
      <w:lvlJc w:val="left"/>
      <w:pPr>
        <w:ind w:left="1590" w:hanging="420"/>
      </w:pPr>
    </w:lvl>
    <w:lvl w:ilvl="5" w:tentative="0">
      <w:start w:val="1"/>
      <w:numFmt w:val="lowerRoman"/>
      <w:lvlText w:val="%6."/>
      <w:lvlJc w:val="right"/>
      <w:pPr>
        <w:ind w:left="2010" w:hanging="420"/>
      </w:pPr>
    </w:lvl>
    <w:lvl w:ilvl="6" w:tentative="0">
      <w:start w:val="1"/>
      <w:numFmt w:val="decimal"/>
      <w:lvlText w:val="%7."/>
      <w:lvlJc w:val="left"/>
      <w:pPr>
        <w:ind w:left="2430" w:hanging="420"/>
      </w:pPr>
    </w:lvl>
    <w:lvl w:ilvl="7" w:tentative="0">
      <w:start w:val="1"/>
      <w:numFmt w:val="lowerLetter"/>
      <w:lvlText w:val="%8)"/>
      <w:lvlJc w:val="left"/>
      <w:pPr>
        <w:ind w:left="2850" w:hanging="420"/>
      </w:pPr>
    </w:lvl>
    <w:lvl w:ilvl="8" w:tentative="0">
      <w:start w:val="1"/>
      <w:numFmt w:val="lowerRoman"/>
      <w:lvlText w:val="%9."/>
      <w:lvlJc w:val="right"/>
      <w:pPr>
        <w:ind w:left="3270" w:hanging="420"/>
      </w:pPr>
    </w:lvl>
  </w:abstractNum>
  <w:abstractNum w:abstractNumId="9">
    <w:nsid w:val="1E514552"/>
    <w:multiLevelType w:val="multilevel"/>
    <w:tmpl w:val="1E514552"/>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
    <w:nsid w:val="1F192E33"/>
    <w:multiLevelType w:val="multilevel"/>
    <w:tmpl w:val="1F192E33"/>
    <w:lvl w:ilvl="0" w:tentative="0">
      <w:start w:val="1"/>
      <w:numFmt w:val="decimal"/>
      <w:suff w:val="nothing"/>
      <w:lvlText w:val="（%1）"/>
      <w:lvlJc w:val="left"/>
      <w:pPr>
        <w:ind w:left="0" w:firstLine="0"/>
      </w:pPr>
      <w:rPr>
        <w:rFonts w:hint="eastAsia"/>
        <w:b w:val="0"/>
        <w:bCs w:val="0"/>
        <w:i w:val="0"/>
        <w:iCs w:val="0"/>
        <w:caps w:val="0"/>
        <w:smallCaps w:val="0"/>
        <w:strike w:val="0"/>
        <w:dstrike w:val="0"/>
        <w:vanish w:val="0"/>
        <w:color w:val="000000"/>
        <w:spacing w:val="0"/>
        <w:position w:val="0"/>
        <w:u w:val="none"/>
        <w:vertAlign w:val="baseline"/>
        <w:lang w:val="en-US"/>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1">
    <w:nsid w:val="280156C7"/>
    <w:multiLevelType w:val="multilevel"/>
    <w:tmpl w:val="280156C7"/>
    <w:lvl w:ilvl="0" w:tentative="0">
      <w:start w:val="1"/>
      <w:numFmt w:val="decimal"/>
      <w:suff w:val="nothing"/>
      <w:lvlText w:val="%1、"/>
      <w:lvlJc w:val="left"/>
      <w:pPr>
        <w:ind w:left="0" w:firstLine="48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2">
    <w:nsid w:val="31CF0EE2"/>
    <w:multiLevelType w:val="multilevel"/>
    <w:tmpl w:val="31CF0EE2"/>
    <w:lvl w:ilvl="0" w:tentative="0">
      <w:start w:val="1"/>
      <w:numFmt w:val="decimal"/>
      <w:lvlText w:val="附件%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32657DF1"/>
    <w:multiLevelType w:val="multilevel"/>
    <w:tmpl w:val="32657DF1"/>
    <w:lvl w:ilvl="0" w:tentative="0">
      <w:start w:val="1"/>
      <w:numFmt w:val="decimalEnclosedCircle"/>
      <w:suff w:val="space"/>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4">
    <w:nsid w:val="359558E2"/>
    <w:multiLevelType w:val="multilevel"/>
    <w:tmpl w:val="359558E2"/>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3CA54673"/>
    <w:multiLevelType w:val="multilevel"/>
    <w:tmpl w:val="3CA54673"/>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3D93016E"/>
    <w:multiLevelType w:val="multilevel"/>
    <w:tmpl w:val="3D93016E"/>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3EF2071D"/>
    <w:multiLevelType w:val="multilevel"/>
    <w:tmpl w:val="3EF2071D"/>
    <w:lvl w:ilvl="0" w:tentative="0">
      <w:start w:val="1"/>
      <w:numFmt w:val="decimal"/>
      <w:suff w:val="nothing"/>
      <w:lvlText w:val="（%1）"/>
      <w:lvlJc w:val="left"/>
      <w:pPr>
        <w:ind w:left="482" w:firstLine="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8">
    <w:nsid w:val="4673652D"/>
    <w:multiLevelType w:val="multilevel"/>
    <w:tmpl w:val="4673652D"/>
    <w:lvl w:ilvl="0" w:tentative="0">
      <w:start w:val="1"/>
      <w:numFmt w:val="decimal"/>
      <w:suff w:val="nothing"/>
      <w:lvlText w:val="（%1）"/>
      <w:lvlJc w:val="left"/>
      <w:pPr>
        <w:ind w:left="0" w:firstLine="0"/>
      </w:pPr>
      <w:rPr>
        <w:rFonts w:hint="eastAsia"/>
        <w:b w:val="0"/>
        <w:bCs w:val="0"/>
        <w:i w:val="0"/>
        <w:iCs w:val="0"/>
        <w:caps w:val="0"/>
        <w:smallCaps w:val="0"/>
        <w:strike w:val="0"/>
        <w:dstrike w:val="0"/>
        <w:vanish w:val="0"/>
        <w:color w:val="000000"/>
        <w:spacing w:val="0"/>
        <w:position w:val="0"/>
        <w:u w:val="none"/>
        <w:vertAlign w:val="baseline"/>
        <w:lang w:val="en-US"/>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1" w:tentative="0">
      <w:start w:val="1"/>
      <w:numFmt w:val="lowerLetter"/>
      <w:lvlText w:val="%2)"/>
      <w:lvlJc w:val="left"/>
      <w:pPr>
        <w:ind w:left="1320" w:hanging="420"/>
      </w:pPr>
      <w:rPr>
        <w:rFonts w:hint="eastAsia"/>
      </w:rPr>
    </w:lvl>
    <w:lvl w:ilvl="2" w:tentative="0">
      <w:start w:val="1"/>
      <w:numFmt w:val="lowerRoman"/>
      <w:lvlText w:val="%3."/>
      <w:lvlJc w:val="right"/>
      <w:pPr>
        <w:ind w:left="1740" w:hanging="420"/>
      </w:pPr>
      <w:rPr>
        <w:rFonts w:hint="eastAsia"/>
      </w:rPr>
    </w:lvl>
    <w:lvl w:ilvl="3" w:tentative="0">
      <w:start w:val="1"/>
      <w:numFmt w:val="decimal"/>
      <w:lvlText w:val="%4."/>
      <w:lvlJc w:val="left"/>
      <w:pPr>
        <w:ind w:left="2160" w:hanging="420"/>
      </w:pPr>
      <w:rPr>
        <w:rFonts w:hint="eastAsia"/>
      </w:rPr>
    </w:lvl>
    <w:lvl w:ilvl="4" w:tentative="0">
      <w:start w:val="1"/>
      <w:numFmt w:val="lowerLetter"/>
      <w:lvlText w:val="%5)"/>
      <w:lvlJc w:val="left"/>
      <w:pPr>
        <w:ind w:left="2580" w:hanging="420"/>
      </w:pPr>
      <w:rPr>
        <w:rFonts w:hint="eastAsia"/>
      </w:rPr>
    </w:lvl>
    <w:lvl w:ilvl="5" w:tentative="0">
      <w:start w:val="1"/>
      <w:numFmt w:val="lowerRoman"/>
      <w:lvlText w:val="%6."/>
      <w:lvlJc w:val="right"/>
      <w:pPr>
        <w:ind w:left="3000" w:hanging="420"/>
      </w:pPr>
      <w:rPr>
        <w:rFonts w:hint="eastAsia"/>
      </w:rPr>
    </w:lvl>
    <w:lvl w:ilvl="6" w:tentative="0">
      <w:start w:val="1"/>
      <w:numFmt w:val="decimal"/>
      <w:lvlText w:val="%7."/>
      <w:lvlJc w:val="left"/>
      <w:pPr>
        <w:ind w:left="3420" w:hanging="420"/>
      </w:pPr>
      <w:rPr>
        <w:rFonts w:hint="eastAsia"/>
      </w:rPr>
    </w:lvl>
    <w:lvl w:ilvl="7" w:tentative="0">
      <w:start w:val="1"/>
      <w:numFmt w:val="lowerLetter"/>
      <w:lvlText w:val="%8)"/>
      <w:lvlJc w:val="left"/>
      <w:pPr>
        <w:ind w:left="3840" w:hanging="420"/>
      </w:pPr>
      <w:rPr>
        <w:rFonts w:hint="eastAsia"/>
      </w:rPr>
    </w:lvl>
    <w:lvl w:ilvl="8" w:tentative="0">
      <w:start w:val="1"/>
      <w:numFmt w:val="lowerRoman"/>
      <w:lvlText w:val="%9."/>
      <w:lvlJc w:val="right"/>
      <w:pPr>
        <w:ind w:left="4260" w:hanging="420"/>
      </w:pPr>
      <w:rPr>
        <w:rFonts w:hint="eastAsia"/>
      </w:rPr>
    </w:lvl>
  </w:abstractNum>
  <w:abstractNum w:abstractNumId="19">
    <w:nsid w:val="49725343"/>
    <w:multiLevelType w:val="multilevel"/>
    <w:tmpl w:val="49725343"/>
    <w:lvl w:ilvl="0" w:tentative="0">
      <w:start w:val="1"/>
      <w:numFmt w:val="decimal"/>
      <w:suff w:val="nothing"/>
      <w:lvlText w:val="%1"/>
      <w:lvlJc w:val="center"/>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49D70537"/>
    <w:multiLevelType w:val="multilevel"/>
    <w:tmpl w:val="49D70537"/>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4A0A2BBF"/>
    <w:multiLevelType w:val="multilevel"/>
    <w:tmpl w:val="4A0A2BBF"/>
    <w:lvl w:ilvl="0" w:tentative="0">
      <w:start w:val="1"/>
      <w:numFmt w:val="decimal"/>
      <w:lvlText w:val="（%1）"/>
      <w:lvlJc w:val="left"/>
      <w:pPr>
        <w:tabs>
          <w:tab w:val="left" w:pos="0"/>
        </w:tabs>
        <w:ind w:left="0" w:firstLine="0"/>
      </w:pPr>
      <w:rPr>
        <w:rFonts w:hint="default" w:ascii="Times New Roman" w:hAnsi="Times New Roman" w:eastAsia="宋体"/>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2">
    <w:nsid w:val="51C008D3"/>
    <w:multiLevelType w:val="multilevel"/>
    <w:tmpl w:val="51C008D3"/>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597AF222"/>
    <w:multiLevelType w:val="singleLevel"/>
    <w:tmpl w:val="597AF222"/>
    <w:lvl w:ilvl="0" w:tentative="0">
      <w:start w:val="1"/>
      <w:numFmt w:val="decimal"/>
      <w:suff w:val="nothing"/>
      <w:lvlText w:val="（%1）"/>
      <w:lvlJc w:val="left"/>
    </w:lvl>
  </w:abstractNum>
  <w:abstractNum w:abstractNumId="24">
    <w:nsid w:val="5A759B40"/>
    <w:multiLevelType w:val="singleLevel"/>
    <w:tmpl w:val="5A759B40"/>
    <w:lvl w:ilvl="0" w:tentative="0">
      <w:start w:val="1"/>
      <w:numFmt w:val="chineseCounting"/>
      <w:pStyle w:val="136"/>
      <w:suff w:val="nothing"/>
      <w:lvlText w:val="%1、"/>
      <w:lvlJc w:val="left"/>
    </w:lvl>
  </w:abstractNum>
  <w:abstractNum w:abstractNumId="25">
    <w:nsid w:val="5A77C736"/>
    <w:multiLevelType w:val="singleLevel"/>
    <w:tmpl w:val="5A77C736"/>
    <w:lvl w:ilvl="0" w:tentative="0">
      <w:start w:val="1"/>
      <w:numFmt w:val="decimalEnclosedCircleChinese"/>
      <w:pStyle w:val="127"/>
      <w:suff w:val="nothing"/>
      <w:lvlText w:val="%1　"/>
      <w:lvlJc w:val="left"/>
      <w:pPr>
        <w:ind w:left="0" w:firstLine="400"/>
      </w:pPr>
      <w:rPr>
        <w:rFonts w:hint="eastAsia"/>
      </w:rPr>
    </w:lvl>
  </w:abstractNum>
  <w:abstractNum w:abstractNumId="26">
    <w:nsid w:val="5A9F7FB6"/>
    <w:multiLevelType w:val="singleLevel"/>
    <w:tmpl w:val="5A9F7FB6"/>
    <w:lvl w:ilvl="0" w:tentative="0">
      <w:start w:val="1"/>
      <w:numFmt w:val="decimal"/>
      <w:suff w:val="nothing"/>
      <w:lvlText w:val="（%1）"/>
      <w:lvlJc w:val="left"/>
    </w:lvl>
  </w:abstractNum>
  <w:abstractNum w:abstractNumId="27">
    <w:nsid w:val="5BF647E1"/>
    <w:multiLevelType w:val="multilevel"/>
    <w:tmpl w:val="5BF647E1"/>
    <w:lvl w:ilvl="0" w:tentative="0">
      <w:start w:val="1"/>
      <w:numFmt w:val="decimalEnclosedCircle"/>
      <w:lvlText w:val="%1"/>
      <w:lvlJc w:val="left"/>
      <w:pPr>
        <w:ind w:left="842" w:hanging="360"/>
      </w:pPr>
      <w:rPr>
        <w:rFonts w:hint="default"/>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28">
    <w:nsid w:val="5DFB21BD"/>
    <w:multiLevelType w:val="multilevel"/>
    <w:tmpl w:val="5DFB21BD"/>
    <w:lvl w:ilvl="0" w:tentative="0">
      <w:start w:val="1"/>
      <w:numFmt w:val="decimal"/>
      <w:lvlText w:val="%1"/>
      <w:lvlJc w:val="left"/>
      <w:pPr>
        <w:ind w:left="562" w:hanging="420"/>
      </w:pPr>
      <w:rPr>
        <w:rFonts w:hint="eastAsia"/>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abstractNum w:abstractNumId="29">
    <w:nsid w:val="60945DF1"/>
    <w:multiLevelType w:val="multilevel"/>
    <w:tmpl w:val="60945DF1"/>
    <w:lvl w:ilvl="0" w:tentative="0">
      <w:start w:val="1"/>
      <w:numFmt w:val="decimal"/>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61CB6FDC"/>
    <w:multiLevelType w:val="multilevel"/>
    <w:tmpl w:val="61CB6FDC"/>
    <w:lvl w:ilvl="0" w:tentative="0">
      <w:start w:val="1"/>
      <w:numFmt w:val="decimal"/>
      <w:lvlText w:val="%1"/>
      <w:lvlJc w:val="left"/>
      <w:pPr>
        <w:ind w:left="562" w:hanging="420"/>
      </w:pPr>
      <w:rPr>
        <w:rFonts w:hint="eastAsia"/>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abstractNum w:abstractNumId="31">
    <w:nsid w:val="63061756"/>
    <w:multiLevelType w:val="multilevel"/>
    <w:tmpl w:val="63061756"/>
    <w:lvl w:ilvl="0" w:tentative="0">
      <w:start w:val="1"/>
      <w:numFmt w:val="decimal"/>
      <w:pStyle w:val="3"/>
      <w:suff w:val="nothing"/>
      <w:lvlText w:val="%1."/>
      <w:lvlJc w:val="left"/>
      <w:pPr>
        <w:ind w:left="425" w:hanging="425"/>
      </w:pPr>
      <w:rPr>
        <w:rFonts w:hint="default"/>
      </w:rPr>
    </w:lvl>
    <w:lvl w:ilvl="1" w:tentative="0">
      <w:start w:val="1"/>
      <w:numFmt w:val="decimal"/>
      <w:pStyle w:val="4"/>
      <w:suff w:val="nothing"/>
      <w:lvlText w:val="%1.%2."/>
      <w:lvlJc w:val="left"/>
      <w:pPr>
        <w:ind w:left="567" w:hanging="567"/>
      </w:pPr>
      <w:rPr>
        <w:rFonts w:hint="default"/>
      </w:rPr>
    </w:lvl>
    <w:lvl w:ilvl="2" w:tentative="0">
      <w:start w:val="1"/>
      <w:numFmt w:val="decimal"/>
      <w:pStyle w:val="5"/>
      <w:suff w:val="nothing"/>
      <w:lvlText w:val="%1.%2.%3."/>
      <w:lvlJc w:val="left"/>
      <w:pPr>
        <w:ind w:left="3544" w:hanging="709"/>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3" w:tentative="0">
      <w:start w:val="1"/>
      <w:numFmt w:val="decimal"/>
      <w:pStyle w:val="6"/>
      <w:suff w:val="nothing"/>
      <w:lvlText w:val="%1.%2.%3.%4."/>
      <w:lvlJc w:val="left"/>
      <w:pPr>
        <w:ind w:left="2126" w:hanging="850"/>
      </w:pPr>
      <w:rPr>
        <w:rFonts w:hint="eastAsia"/>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4" w:tentative="0">
      <w:start w:val="1"/>
      <w:numFmt w:val="decimal"/>
      <w:pStyle w:val="126"/>
      <w:suff w:val="nothing"/>
      <w:lvlText w:val="（%5）"/>
      <w:lvlJc w:val="left"/>
      <w:pPr>
        <w:ind w:left="4393"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32">
    <w:nsid w:val="686779BE"/>
    <w:multiLevelType w:val="multilevel"/>
    <w:tmpl w:val="686779BE"/>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3">
    <w:nsid w:val="693C5F3B"/>
    <w:multiLevelType w:val="multilevel"/>
    <w:tmpl w:val="693C5F3B"/>
    <w:lvl w:ilvl="0" w:tentative="0">
      <w:start w:val="1"/>
      <w:numFmt w:val="decimal"/>
      <w:suff w:val="nothing"/>
      <w:lvlText w:val="%1、"/>
      <w:lvlJc w:val="left"/>
      <w:pPr>
        <w:ind w:left="0" w:firstLine="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4">
    <w:nsid w:val="72E049E4"/>
    <w:multiLevelType w:val="multilevel"/>
    <w:tmpl w:val="72E049E4"/>
    <w:lvl w:ilvl="0" w:tentative="0">
      <w:start w:val="1"/>
      <w:numFmt w:val="bullet"/>
      <w:lvlText w:val=""/>
      <w:lvlJc w:val="left"/>
      <w:pPr>
        <w:ind w:left="0" w:firstLine="48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5">
    <w:nsid w:val="76C952E6"/>
    <w:multiLevelType w:val="multilevel"/>
    <w:tmpl w:val="76C952E6"/>
    <w:lvl w:ilvl="0" w:tentative="0">
      <w:start w:val="1"/>
      <w:numFmt w:val="bullet"/>
      <w:pStyle w:val="162"/>
      <w:lvlText w:val=""/>
      <w:lvlJc w:val="left"/>
      <w:pPr>
        <w:ind w:left="3538"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6">
    <w:nsid w:val="78DE3406"/>
    <w:multiLevelType w:val="singleLevel"/>
    <w:tmpl w:val="78DE3406"/>
    <w:lvl w:ilvl="0" w:tentative="0">
      <w:start w:val="1"/>
      <w:numFmt w:val="decimalEnclosedCircleChinese"/>
      <w:suff w:val="nothing"/>
      <w:lvlText w:val="%1　"/>
      <w:lvlJc w:val="left"/>
      <w:pPr>
        <w:ind w:left="0" w:firstLine="400"/>
      </w:pPr>
      <w:rPr>
        <w:rFonts w:hint="eastAsia"/>
      </w:rPr>
    </w:lvl>
  </w:abstractNum>
  <w:abstractNum w:abstractNumId="37">
    <w:nsid w:val="7BB351D4"/>
    <w:multiLevelType w:val="multilevel"/>
    <w:tmpl w:val="7BB351D4"/>
    <w:lvl w:ilvl="0" w:tentative="0">
      <w:start w:val="1"/>
      <w:numFmt w:val="decimal"/>
      <w:suff w:val="nothing"/>
      <w:lvlText w:val="（%1）"/>
      <w:lvlJc w:val="left"/>
      <w:pPr>
        <w:ind w:left="0" w:firstLine="0"/>
      </w:pPr>
      <w:rPr>
        <w:rFonts w:hint="eastAsia"/>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8">
    <w:nsid w:val="7C6203C5"/>
    <w:multiLevelType w:val="multilevel"/>
    <w:tmpl w:val="7C6203C5"/>
    <w:lvl w:ilvl="0" w:tentative="0">
      <w:start w:val="1"/>
      <w:numFmt w:val="decimal"/>
      <w:pStyle w:val="102"/>
      <w:suff w:val="space"/>
      <w:lvlText w:val="%1、"/>
      <w:lvlJc w:val="left"/>
      <w:pPr>
        <w:ind w:left="0" w:firstLine="482"/>
      </w:pPr>
      <w:rPr>
        <w:rFonts w:hint="eastAsia"/>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num w:numId="1">
    <w:abstractNumId w:val="31"/>
  </w:num>
  <w:num w:numId="2">
    <w:abstractNumId w:val="12"/>
    <w:lvlOverride w:ilvl="0">
      <w:lvl w:ilvl="0" w:tentative="1">
        <w:start w:val="1"/>
        <w:numFmt w:val="decimal"/>
        <w:pStyle w:val="101"/>
        <w:suff w:val="space"/>
        <w:lvlText w:val="附件%1"/>
        <w:lvlJc w:val="left"/>
        <w:pPr>
          <w:ind w:left="3402" w:firstLine="0"/>
        </w:pPr>
        <w:rPr>
          <w:rFonts w:hint="eastAsia"/>
        </w:rPr>
      </w:lvl>
    </w:lvlOverride>
    <w:lvlOverride w:ilvl="1">
      <w:lvl w:ilvl="1" w:tentative="1">
        <w:start w:val="1"/>
        <w:numFmt w:val="lowerLetter"/>
        <w:lvlText w:val="%2)"/>
        <w:lvlJc w:val="left"/>
        <w:pPr>
          <w:ind w:left="840" w:hanging="420"/>
        </w:pPr>
      </w:lvl>
    </w:lvlOverride>
    <w:lvlOverride w:ilvl="2">
      <w:lvl w:ilvl="2" w:tentative="1">
        <w:start w:val="1"/>
        <w:numFmt w:val="lowerRoman"/>
        <w:lvlText w:val="%3."/>
        <w:lvlJc w:val="right"/>
        <w:pPr>
          <w:ind w:left="1260" w:hanging="420"/>
        </w:pPr>
      </w:lvl>
    </w:lvlOverride>
    <w:lvlOverride w:ilvl="3">
      <w:lvl w:ilvl="3" w:tentative="1">
        <w:start w:val="1"/>
        <w:numFmt w:val="decimal"/>
        <w:lvlText w:val="%4."/>
        <w:lvlJc w:val="left"/>
        <w:pPr>
          <w:ind w:left="1680" w:hanging="420"/>
        </w:pPr>
      </w:lvl>
    </w:lvlOverride>
    <w:lvlOverride w:ilvl="4">
      <w:lvl w:ilvl="4" w:tentative="1">
        <w:start w:val="1"/>
        <w:numFmt w:val="lowerLetter"/>
        <w:lvlText w:val="%5)"/>
        <w:lvlJc w:val="left"/>
        <w:pPr>
          <w:ind w:left="2100" w:hanging="420"/>
        </w:pPr>
      </w:lvl>
    </w:lvlOverride>
    <w:lvlOverride w:ilvl="5">
      <w:lvl w:ilvl="5" w:tentative="1">
        <w:start w:val="1"/>
        <w:numFmt w:val="lowerRoman"/>
        <w:lvlText w:val="%6."/>
        <w:lvlJc w:val="right"/>
        <w:pPr>
          <w:ind w:left="2520" w:hanging="420"/>
        </w:pPr>
      </w:lvl>
    </w:lvlOverride>
    <w:lvlOverride w:ilvl="6">
      <w:lvl w:ilvl="6" w:tentative="1">
        <w:start w:val="1"/>
        <w:numFmt w:val="decimal"/>
        <w:lvlText w:val="%7."/>
        <w:lvlJc w:val="left"/>
        <w:pPr>
          <w:ind w:left="2940" w:hanging="420"/>
        </w:pPr>
      </w:lvl>
    </w:lvlOverride>
    <w:lvlOverride w:ilvl="7">
      <w:lvl w:ilvl="7" w:tentative="1">
        <w:start w:val="1"/>
        <w:numFmt w:val="lowerLetter"/>
        <w:lvlText w:val="%8)"/>
        <w:lvlJc w:val="left"/>
        <w:pPr>
          <w:ind w:left="3360" w:hanging="420"/>
        </w:pPr>
      </w:lvl>
    </w:lvlOverride>
    <w:lvlOverride w:ilvl="8">
      <w:lvl w:ilvl="8" w:tentative="1">
        <w:start w:val="1"/>
        <w:numFmt w:val="lowerRoman"/>
        <w:lvlText w:val="%9."/>
        <w:lvlJc w:val="right"/>
        <w:pPr>
          <w:ind w:left="3780" w:hanging="420"/>
        </w:pPr>
      </w:lvl>
    </w:lvlOverride>
  </w:num>
  <w:num w:numId="3">
    <w:abstractNumId w:val="38"/>
  </w:num>
  <w:num w:numId="4">
    <w:abstractNumId w:val="25"/>
  </w:num>
  <w:num w:numId="5">
    <w:abstractNumId w:val="1"/>
  </w:num>
  <w:num w:numId="6">
    <w:abstractNumId w:val="24"/>
  </w:num>
  <w:num w:numId="7">
    <w:abstractNumId w:val="35"/>
  </w:num>
  <w:num w:numId="8">
    <w:abstractNumId w:val="14"/>
  </w:num>
  <w:num w:numId="9">
    <w:abstractNumId w:val="7"/>
  </w:num>
  <w:num w:numId="10">
    <w:abstractNumId w:val="8"/>
    <w:lvlOverride w:ilvl="0">
      <w:startOverride w:val="1"/>
    </w:lvlOverride>
  </w:num>
  <w:num w:numId="11">
    <w:abstractNumId w:val="8"/>
  </w:num>
  <w:num w:numId="12">
    <w:abstractNumId w:val="21"/>
  </w:num>
  <w:num w:numId="13">
    <w:abstractNumId w:val="4"/>
  </w:num>
  <w:num w:numId="14">
    <w:abstractNumId w:val="0"/>
  </w:num>
  <w:num w:numId="15">
    <w:abstractNumId w:val="28"/>
  </w:num>
  <w:num w:numId="16">
    <w:abstractNumId w:val="30"/>
  </w:num>
  <w:num w:numId="17">
    <w:abstractNumId w:val="27"/>
  </w:num>
  <w:num w:numId="18">
    <w:abstractNumId w:val="38"/>
    <w:lvlOverride w:ilvl="0">
      <w:startOverride w:val="1"/>
    </w:lvlOverride>
  </w:num>
  <w:num w:numId="19">
    <w:abstractNumId w:val="32"/>
  </w:num>
  <w:num w:numId="20">
    <w:abstractNumId w:val="6"/>
  </w:num>
  <w:num w:numId="21">
    <w:abstractNumId w:val="38"/>
    <w:lvlOverride w:ilvl="0">
      <w:startOverride w:val="1"/>
    </w:lvlOverride>
  </w:num>
  <w:num w:numId="22">
    <w:abstractNumId w:val="5"/>
  </w:num>
  <w:num w:numId="23">
    <w:abstractNumId w:val="18"/>
  </w:num>
  <w:num w:numId="24">
    <w:abstractNumId w:val="13"/>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lvlOverride w:ilvl="0">
      <w:startOverride w:val="1"/>
    </w:lvlOverride>
  </w:num>
  <w:num w:numId="28">
    <w:abstractNumId w:val="3"/>
  </w:num>
  <w:num w:numId="29">
    <w:abstractNumId w:val="10"/>
    <w:lvlOverride w:ilvl="0">
      <w:startOverride w:val="1"/>
    </w:lvlOverride>
  </w:num>
  <w:num w:numId="30">
    <w:abstractNumId w:val="37"/>
  </w:num>
  <w:num w:numId="31">
    <w:abstractNumId w:val="29"/>
  </w:num>
  <w:num w:numId="32">
    <w:abstractNumId w:val="25"/>
    <w:lvlOverride w:ilvl="0">
      <w:startOverride w:val="1"/>
    </w:lvlOverride>
  </w:num>
  <w:num w:numId="33">
    <w:abstractNumId w:val="20"/>
  </w:num>
  <w:num w:numId="34">
    <w:abstractNumId w:val="17"/>
  </w:num>
  <w:num w:numId="35">
    <w:abstractNumId w:val="36"/>
  </w:num>
  <w:num w:numId="36">
    <w:abstractNumId w:val="16"/>
  </w:num>
  <w:num w:numId="37">
    <w:abstractNumId w:val="10"/>
    <w:lvlOverride w:ilvl="0">
      <w:startOverride w:val="1"/>
    </w:lvlOverride>
  </w:num>
  <w:num w:numId="38">
    <w:abstractNumId w:val="10"/>
    <w:lvlOverride w:ilvl="0">
      <w:startOverride w:val="1"/>
    </w:lvlOverride>
  </w:num>
  <w:num w:numId="39">
    <w:abstractNumId w:val="9"/>
  </w:num>
  <w:num w:numId="40">
    <w:abstractNumId w:val="11"/>
  </w:num>
  <w:num w:numId="41">
    <w:abstractNumId w:val="10"/>
    <w:lvlOverride w:ilvl="0">
      <w:startOverride w:val="1"/>
    </w:lvlOverride>
  </w:num>
  <w:num w:numId="42">
    <w:abstractNumId w:val="10"/>
    <w:lvlOverride w:ilvl="0">
      <w:startOverride w:val="1"/>
    </w:lvlOverride>
  </w:num>
  <w:num w:numId="43">
    <w:abstractNumId w:val="10"/>
    <w:lvlOverride w:ilvl="0">
      <w:startOverride w:val="1"/>
    </w:lvlOverride>
  </w:num>
  <w:num w:numId="44">
    <w:abstractNumId w:val="10"/>
    <w:lvlOverride w:ilvl="0">
      <w:startOverride w:val="1"/>
    </w:lvlOverride>
  </w:num>
  <w:num w:numId="45">
    <w:abstractNumId w:val="10"/>
    <w:lvlOverride w:ilvl="0">
      <w:startOverride w:val="1"/>
    </w:lvlOverride>
  </w:num>
  <w:num w:numId="46">
    <w:abstractNumId w:val="10"/>
    <w:lvlOverride w:ilvl="0">
      <w:startOverride w:val="1"/>
    </w:lvlOverride>
  </w:num>
  <w:num w:numId="47">
    <w:abstractNumId w:val="10"/>
    <w:lvlOverride w:ilvl="0">
      <w:startOverride w:val="1"/>
    </w:lvlOverride>
  </w:num>
  <w:num w:numId="48">
    <w:abstractNumId w:val="10"/>
    <w:lvlOverride w:ilvl="0">
      <w:startOverride w:val="1"/>
    </w:lvlOverride>
  </w:num>
  <w:num w:numId="4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0"/>
    <w:lvlOverride w:ilvl="0">
      <w:startOverride w:val="1"/>
    </w:lvlOverride>
  </w:num>
  <w:num w:numId="52">
    <w:abstractNumId w:val="26"/>
  </w:num>
  <w:num w:numId="53">
    <w:abstractNumId w:val="22"/>
  </w:num>
  <w:num w:numId="54">
    <w:abstractNumId w:val="23"/>
  </w:num>
  <w:num w:numId="55">
    <w:abstractNumId w:val="38"/>
    <w:lvlOverride w:ilvl="0">
      <w:startOverride w:val="1"/>
    </w:lvlOverride>
  </w:num>
  <w:num w:numId="5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0"/>
    <w:lvlOverride w:ilvl="0">
      <w:startOverride w:val="1"/>
    </w:lvlOverride>
  </w:num>
  <w:num w:numId="5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5"/>
  </w:num>
  <w:num w:numId="6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4"/>
  </w:num>
  <w:num w:numId="63">
    <w:abstractNumId w:val="10"/>
    <w:lvlOverride w:ilvl="0">
      <w:startOverride w:val="1"/>
    </w:lvlOverride>
  </w:num>
  <w:num w:numId="64">
    <w:abstractNumId w:val="38"/>
    <w:lvlOverride w:ilvl="0">
      <w:startOverride w:val="1"/>
    </w:lvlOverride>
  </w:num>
  <w:num w:numId="65">
    <w:abstractNumId w:val="25"/>
    <w:lvlOverride w:ilvl="0">
      <w:startOverride w:val="1"/>
    </w:lvlOverride>
  </w:num>
  <w:num w:numId="66">
    <w:abstractNumId w:val="25"/>
    <w:lvlOverride w:ilvl="0">
      <w:startOverride w:val="1"/>
    </w:lvlOverride>
  </w:num>
  <w:num w:numId="67">
    <w:abstractNumId w:val="2"/>
  </w:num>
  <w:num w:numId="68">
    <w:abstractNumId w:val="10"/>
    <w:lvlOverride w:ilvl="0">
      <w:startOverride w:val="1"/>
    </w:lvlOverride>
  </w:num>
  <w:num w:numId="69">
    <w:abstractNumId w:val="10"/>
    <w:lvlOverride w:ilvl="0">
      <w:startOverride w:val="1"/>
    </w:lvlOverride>
  </w:num>
  <w:num w:numId="70">
    <w:abstractNumId w:val="33"/>
  </w:num>
  <w:num w:numId="7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val="1"/>
  <w:bordersDoNotSurroundHeader w:val="1"/>
  <w:bordersDoNotSurroundFooter w:val="1"/>
  <w:hideSpellingErrors/>
  <w:documentProtection w:enforcement="0"/>
  <w:defaultTabStop w:val="420"/>
  <w:drawingGridHorizontalSpacing w:val="120"/>
  <w:drawingGridVerticalSpacing w:val="163"/>
  <w:displayHorizontalDrawingGridEvery w:val="2"/>
  <w:displayVerticalDrawingGridEvery w:val="2"/>
  <w:noPunctuationKerning w:val="1"/>
  <w:characterSpacingControl w:val="compressPunctuation"/>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18D7"/>
    <w:rsid w:val="000019F3"/>
    <w:rsid w:val="00001C62"/>
    <w:rsid w:val="00001CAC"/>
    <w:rsid w:val="00002672"/>
    <w:rsid w:val="000036C2"/>
    <w:rsid w:val="00004098"/>
    <w:rsid w:val="000111C4"/>
    <w:rsid w:val="0001188A"/>
    <w:rsid w:val="00011AF3"/>
    <w:rsid w:val="00013388"/>
    <w:rsid w:val="00013485"/>
    <w:rsid w:val="000134D4"/>
    <w:rsid w:val="00014AFE"/>
    <w:rsid w:val="00015F3C"/>
    <w:rsid w:val="000161FB"/>
    <w:rsid w:val="00016DE8"/>
    <w:rsid w:val="00021DFA"/>
    <w:rsid w:val="00022FCC"/>
    <w:rsid w:val="00023901"/>
    <w:rsid w:val="0002404A"/>
    <w:rsid w:val="0002425C"/>
    <w:rsid w:val="00024902"/>
    <w:rsid w:val="000253B4"/>
    <w:rsid w:val="00026749"/>
    <w:rsid w:val="00027721"/>
    <w:rsid w:val="00032BB7"/>
    <w:rsid w:val="00032FA3"/>
    <w:rsid w:val="00033F0B"/>
    <w:rsid w:val="00034FF9"/>
    <w:rsid w:val="0003665B"/>
    <w:rsid w:val="0003789F"/>
    <w:rsid w:val="000379F6"/>
    <w:rsid w:val="00037A75"/>
    <w:rsid w:val="00037EB8"/>
    <w:rsid w:val="00040553"/>
    <w:rsid w:val="00041353"/>
    <w:rsid w:val="000416A2"/>
    <w:rsid w:val="00041C13"/>
    <w:rsid w:val="00041D6C"/>
    <w:rsid w:val="000427CD"/>
    <w:rsid w:val="000429D6"/>
    <w:rsid w:val="000439F2"/>
    <w:rsid w:val="00043EF7"/>
    <w:rsid w:val="000441D8"/>
    <w:rsid w:val="00044C50"/>
    <w:rsid w:val="0004671D"/>
    <w:rsid w:val="00047759"/>
    <w:rsid w:val="00052A8F"/>
    <w:rsid w:val="000541F7"/>
    <w:rsid w:val="00055FC7"/>
    <w:rsid w:val="000568C6"/>
    <w:rsid w:val="00056D52"/>
    <w:rsid w:val="00056F6A"/>
    <w:rsid w:val="00057C61"/>
    <w:rsid w:val="00060358"/>
    <w:rsid w:val="00061E7A"/>
    <w:rsid w:val="00062723"/>
    <w:rsid w:val="00063212"/>
    <w:rsid w:val="00064D73"/>
    <w:rsid w:val="00065249"/>
    <w:rsid w:val="00067C22"/>
    <w:rsid w:val="00070018"/>
    <w:rsid w:val="00070A4C"/>
    <w:rsid w:val="00070E2E"/>
    <w:rsid w:val="00071388"/>
    <w:rsid w:val="000713A3"/>
    <w:rsid w:val="00071958"/>
    <w:rsid w:val="00072524"/>
    <w:rsid w:val="0007476E"/>
    <w:rsid w:val="000749D0"/>
    <w:rsid w:val="00076448"/>
    <w:rsid w:val="000766F5"/>
    <w:rsid w:val="000769B7"/>
    <w:rsid w:val="0008079A"/>
    <w:rsid w:val="00080922"/>
    <w:rsid w:val="00080D3A"/>
    <w:rsid w:val="00081638"/>
    <w:rsid w:val="000819F7"/>
    <w:rsid w:val="00081A41"/>
    <w:rsid w:val="000823DA"/>
    <w:rsid w:val="000842A4"/>
    <w:rsid w:val="00085C7D"/>
    <w:rsid w:val="00092829"/>
    <w:rsid w:val="0009445A"/>
    <w:rsid w:val="00095611"/>
    <w:rsid w:val="00096782"/>
    <w:rsid w:val="000967C4"/>
    <w:rsid w:val="00097025"/>
    <w:rsid w:val="000A1892"/>
    <w:rsid w:val="000A20F7"/>
    <w:rsid w:val="000A3618"/>
    <w:rsid w:val="000A3725"/>
    <w:rsid w:val="000A5F69"/>
    <w:rsid w:val="000A637F"/>
    <w:rsid w:val="000A7073"/>
    <w:rsid w:val="000A7A43"/>
    <w:rsid w:val="000B03BF"/>
    <w:rsid w:val="000B0736"/>
    <w:rsid w:val="000B1145"/>
    <w:rsid w:val="000B133D"/>
    <w:rsid w:val="000B1C15"/>
    <w:rsid w:val="000B1EC6"/>
    <w:rsid w:val="000B27F5"/>
    <w:rsid w:val="000B31EA"/>
    <w:rsid w:val="000B3606"/>
    <w:rsid w:val="000B3651"/>
    <w:rsid w:val="000B4BE4"/>
    <w:rsid w:val="000B52FB"/>
    <w:rsid w:val="000B583A"/>
    <w:rsid w:val="000B7466"/>
    <w:rsid w:val="000C0F4A"/>
    <w:rsid w:val="000C1BB7"/>
    <w:rsid w:val="000C2348"/>
    <w:rsid w:val="000C2766"/>
    <w:rsid w:val="000C3935"/>
    <w:rsid w:val="000C5439"/>
    <w:rsid w:val="000C602F"/>
    <w:rsid w:val="000C614B"/>
    <w:rsid w:val="000C6934"/>
    <w:rsid w:val="000C702B"/>
    <w:rsid w:val="000C7104"/>
    <w:rsid w:val="000C7637"/>
    <w:rsid w:val="000C7720"/>
    <w:rsid w:val="000D2824"/>
    <w:rsid w:val="000D3485"/>
    <w:rsid w:val="000D3525"/>
    <w:rsid w:val="000D3887"/>
    <w:rsid w:val="000D3EA6"/>
    <w:rsid w:val="000D5306"/>
    <w:rsid w:val="000D5523"/>
    <w:rsid w:val="000D5E4B"/>
    <w:rsid w:val="000D67AB"/>
    <w:rsid w:val="000D7EA5"/>
    <w:rsid w:val="000E198E"/>
    <w:rsid w:val="000E1FA1"/>
    <w:rsid w:val="000E3A3A"/>
    <w:rsid w:val="000E4725"/>
    <w:rsid w:val="000E6788"/>
    <w:rsid w:val="000E71E0"/>
    <w:rsid w:val="000E782E"/>
    <w:rsid w:val="000E7F48"/>
    <w:rsid w:val="000F1038"/>
    <w:rsid w:val="000F2A33"/>
    <w:rsid w:val="000F5093"/>
    <w:rsid w:val="000F5944"/>
    <w:rsid w:val="000F59BB"/>
    <w:rsid w:val="000F5E92"/>
    <w:rsid w:val="000F66D4"/>
    <w:rsid w:val="000F683C"/>
    <w:rsid w:val="000F7068"/>
    <w:rsid w:val="000F72C0"/>
    <w:rsid w:val="000F7472"/>
    <w:rsid w:val="00100588"/>
    <w:rsid w:val="001015D5"/>
    <w:rsid w:val="00102410"/>
    <w:rsid w:val="001024F3"/>
    <w:rsid w:val="00103D28"/>
    <w:rsid w:val="00103E69"/>
    <w:rsid w:val="001042F6"/>
    <w:rsid w:val="0011008F"/>
    <w:rsid w:val="00111C3B"/>
    <w:rsid w:val="001126E4"/>
    <w:rsid w:val="00112831"/>
    <w:rsid w:val="0011382B"/>
    <w:rsid w:val="00114CE8"/>
    <w:rsid w:val="00116F54"/>
    <w:rsid w:val="00120912"/>
    <w:rsid w:val="00120E0C"/>
    <w:rsid w:val="00120F7F"/>
    <w:rsid w:val="00121A38"/>
    <w:rsid w:val="001231FF"/>
    <w:rsid w:val="001249C7"/>
    <w:rsid w:val="00124F5F"/>
    <w:rsid w:val="001252A5"/>
    <w:rsid w:val="00125879"/>
    <w:rsid w:val="00126011"/>
    <w:rsid w:val="001261E0"/>
    <w:rsid w:val="00127809"/>
    <w:rsid w:val="00132311"/>
    <w:rsid w:val="001330B8"/>
    <w:rsid w:val="0013564F"/>
    <w:rsid w:val="00135BA6"/>
    <w:rsid w:val="0013674A"/>
    <w:rsid w:val="00137D97"/>
    <w:rsid w:val="001405E6"/>
    <w:rsid w:val="0014403F"/>
    <w:rsid w:val="0014730C"/>
    <w:rsid w:val="0014732D"/>
    <w:rsid w:val="00147A20"/>
    <w:rsid w:val="00147B8F"/>
    <w:rsid w:val="00150207"/>
    <w:rsid w:val="00150E8E"/>
    <w:rsid w:val="001510FE"/>
    <w:rsid w:val="0015165F"/>
    <w:rsid w:val="00153498"/>
    <w:rsid w:val="001534A9"/>
    <w:rsid w:val="00153F8D"/>
    <w:rsid w:val="00155D2B"/>
    <w:rsid w:val="001561B7"/>
    <w:rsid w:val="00161100"/>
    <w:rsid w:val="00161105"/>
    <w:rsid w:val="0016307A"/>
    <w:rsid w:val="00164823"/>
    <w:rsid w:val="00165B29"/>
    <w:rsid w:val="00165DCA"/>
    <w:rsid w:val="00166ED6"/>
    <w:rsid w:val="00171305"/>
    <w:rsid w:val="0017160F"/>
    <w:rsid w:val="0017430B"/>
    <w:rsid w:val="00174B1C"/>
    <w:rsid w:val="00174B87"/>
    <w:rsid w:val="00176DD5"/>
    <w:rsid w:val="00177887"/>
    <w:rsid w:val="001833BF"/>
    <w:rsid w:val="00183C8E"/>
    <w:rsid w:val="0018566A"/>
    <w:rsid w:val="0018607B"/>
    <w:rsid w:val="00187AA4"/>
    <w:rsid w:val="001909E4"/>
    <w:rsid w:val="001912EC"/>
    <w:rsid w:val="00191AFB"/>
    <w:rsid w:val="00191F09"/>
    <w:rsid w:val="0019250B"/>
    <w:rsid w:val="00194848"/>
    <w:rsid w:val="001956F8"/>
    <w:rsid w:val="001961F4"/>
    <w:rsid w:val="0019739A"/>
    <w:rsid w:val="001A037F"/>
    <w:rsid w:val="001A19A9"/>
    <w:rsid w:val="001A2DE0"/>
    <w:rsid w:val="001A381E"/>
    <w:rsid w:val="001A55F0"/>
    <w:rsid w:val="001A58C1"/>
    <w:rsid w:val="001A6EF3"/>
    <w:rsid w:val="001A7102"/>
    <w:rsid w:val="001A713A"/>
    <w:rsid w:val="001A7DAF"/>
    <w:rsid w:val="001B1450"/>
    <w:rsid w:val="001B1667"/>
    <w:rsid w:val="001B21E2"/>
    <w:rsid w:val="001B438F"/>
    <w:rsid w:val="001B46ED"/>
    <w:rsid w:val="001B4866"/>
    <w:rsid w:val="001B53AB"/>
    <w:rsid w:val="001B762F"/>
    <w:rsid w:val="001B7803"/>
    <w:rsid w:val="001C0406"/>
    <w:rsid w:val="001C0563"/>
    <w:rsid w:val="001C0F90"/>
    <w:rsid w:val="001C0FB5"/>
    <w:rsid w:val="001C42A7"/>
    <w:rsid w:val="001C4E92"/>
    <w:rsid w:val="001C5230"/>
    <w:rsid w:val="001C5BFF"/>
    <w:rsid w:val="001C64C9"/>
    <w:rsid w:val="001C6DE8"/>
    <w:rsid w:val="001D1135"/>
    <w:rsid w:val="001D11EE"/>
    <w:rsid w:val="001D26B9"/>
    <w:rsid w:val="001D2FE1"/>
    <w:rsid w:val="001D45B3"/>
    <w:rsid w:val="001D4C30"/>
    <w:rsid w:val="001D67BB"/>
    <w:rsid w:val="001D73DB"/>
    <w:rsid w:val="001E1F54"/>
    <w:rsid w:val="001E283E"/>
    <w:rsid w:val="001E2DDC"/>
    <w:rsid w:val="001E327B"/>
    <w:rsid w:val="001E48D9"/>
    <w:rsid w:val="001E6B7F"/>
    <w:rsid w:val="001F0CAB"/>
    <w:rsid w:val="001F111F"/>
    <w:rsid w:val="001F1227"/>
    <w:rsid w:val="001F274F"/>
    <w:rsid w:val="001F327F"/>
    <w:rsid w:val="001F53BD"/>
    <w:rsid w:val="001F5637"/>
    <w:rsid w:val="001F5F57"/>
    <w:rsid w:val="001F653E"/>
    <w:rsid w:val="001F6AE8"/>
    <w:rsid w:val="001F747E"/>
    <w:rsid w:val="002025C1"/>
    <w:rsid w:val="002025CE"/>
    <w:rsid w:val="0020284A"/>
    <w:rsid w:val="002032CB"/>
    <w:rsid w:val="0020366B"/>
    <w:rsid w:val="0020584F"/>
    <w:rsid w:val="00210822"/>
    <w:rsid w:val="00211591"/>
    <w:rsid w:val="002115D6"/>
    <w:rsid w:val="00211F4D"/>
    <w:rsid w:val="00212F86"/>
    <w:rsid w:val="002132E4"/>
    <w:rsid w:val="00213CD1"/>
    <w:rsid w:val="00213FFB"/>
    <w:rsid w:val="00214457"/>
    <w:rsid w:val="002158E2"/>
    <w:rsid w:val="00215B5D"/>
    <w:rsid w:val="002166FD"/>
    <w:rsid w:val="00216BC3"/>
    <w:rsid w:val="002170E0"/>
    <w:rsid w:val="002172C6"/>
    <w:rsid w:val="00217E8C"/>
    <w:rsid w:val="002204B0"/>
    <w:rsid w:val="00222DBC"/>
    <w:rsid w:val="00223EB8"/>
    <w:rsid w:val="002241D9"/>
    <w:rsid w:val="00224A4D"/>
    <w:rsid w:val="00224E69"/>
    <w:rsid w:val="00225079"/>
    <w:rsid w:val="002252CC"/>
    <w:rsid w:val="00225E31"/>
    <w:rsid w:val="002266FD"/>
    <w:rsid w:val="0022789F"/>
    <w:rsid w:val="00227D74"/>
    <w:rsid w:val="00231FBE"/>
    <w:rsid w:val="00232993"/>
    <w:rsid w:val="00232E5C"/>
    <w:rsid w:val="0023591D"/>
    <w:rsid w:val="00236BF7"/>
    <w:rsid w:val="00237E53"/>
    <w:rsid w:val="002400CC"/>
    <w:rsid w:val="002402A8"/>
    <w:rsid w:val="002409AB"/>
    <w:rsid w:val="002409E2"/>
    <w:rsid w:val="00240B4A"/>
    <w:rsid w:val="00240FBE"/>
    <w:rsid w:val="00241842"/>
    <w:rsid w:val="00242018"/>
    <w:rsid w:val="002422AC"/>
    <w:rsid w:val="00243D1C"/>
    <w:rsid w:val="002444B2"/>
    <w:rsid w:val="0024486B"/>
    <w:rsid w:val="00245720"/>
    <w:rsid w:val="00246B92"/>
    <w:rsid w:val="00247BCD"/>
    <w:rsid w:val="00251365"/>
    <w:rsid w:val="0025164D"/>
    <w:rsid w:val="00251E33"/>
    <w:rsid w:val="00251FDF"/>
    <w:rsid w:val="002523C6"/>
    <w:rsid w:val="00252507"/>
    <w:rsid w:val="002529D4"/>
    <w:rsid w:val="00253CCC"/>
    <w:rsid w:val="00256D5A"/>
    <w:rsid w:val="00257BC2"/>
    <w:rsid w:val="00261516"/>
    <w:rsid w:val="00261926"/>
    <w:rsid w:val="002637C3"/>
    <w:rsid w:val="00263EBE"/>
    <w:rsid w:val="00265D12"/>
    <w:rsid w:val="00266F74"/>
    <w:rsid w:val="002671AE"/>
    <w:rsid w:val="00267745"/>
    <w:rsid w:val="00270DB1"/>
    <w:rsid w:val="00271004"/>
    <w:rsid w:val="00283092"/>
    <w:rsid w:val="00284436"/>
    <w:rsid w:val="00286B96"/>
    <w:rsid w:val="0028765F"/>
    <w:rsid w:val="002909AB"/>
    <w:rsid w:val="00290EFB"/>
    <w:rsid w:val="0029125F"/>
    <w:rsid w:val="0029168C"/>
    <w:rsid w:val="00292B28"/>
    <w:rsid w:val="00293AD2"/>
    <w:rsid w:val="0029445C"/>
    <w:rsid w:val="0029481B"/>
    <w:rsid w:val="00295A69"/>
    <w:rsid w:val="00296286"/>
    <w:rsid w:val="00296C88"/>
    <w:rsid w:val="002976FD"/>
    <w:rsid w:val="002A0CD2"/>
    <w:rsid w:val="002A1114"/>
    <w:rsid w:val="002A1B41"/>
    <w:rsid w:val="002A1E2F"/>
    <w:rsid w:val="002A45B6"/>
    <w:rsid w:val="002A485D"/>
    <w:rsid w:val="002A4883"/>
    <w:rsid w:val="002B0EE1"/>
    <w:rsid w:val="002B0FED"/>
    <w:rsid w:val="002B150B"/>
    <w:rsid w:val="002B218A"/>
    <w:rsid w:val="002B28EE"/>
    <w:rsid w:val="002B2EDF"/>
    <w:rsid w:val="002B375D"/>
    <w:rsid w:val="002B66F8"/>
    <w:rsid w:val="002B75A5"/>
    <w:rsid w:val="002B7AD7"/>
    <w:rsid w:val="002C19F9"/>
    <w:rsid w:val="002C2707"/>
    <w:rsid w:val="002C2807"/>
    <w:rsid w:val="002C2FAC"/>
    <w:rsid w:val="002C39F7"/>
    <w:rsid w:val="002C4D38"/>
    <w:rsid w:val="002C5177"/>
    <w:rsid w:val="002C580C"/>
    <w:rsid w:val="002C7354"/>
    <w:rsid w:val="002C74CE"/>
    <w:rsid w:val="002D0465"/>
    <w:rsid w:val="002D087B"/>
    <w:rsid w:val="002D1422"/>
    <w:rsid w:val="002D1832"/>
    <w:rsid w:val="002D19E7"/>
    <w:rsid w:val="002D27E1"/>
    <w:rsid w:val="002D2974"/>
    <w:rsid w:val="002D2C1E"/>
    <w:rsid w:val="002D45A6"/>
    <w:rsid w:val="002D48AF"/>
    <w:rsid w:val="002D655A"/>
    <w:rsid w:val="002D768A"/>
    <w:rsid w:val="002E12E3"/>
    <w:rsid w:val="002E2B4E"/>
    <w:rsid w:val="002E325C"/>
    <w:rsid w:val="002E4918"/>
    <w:rsid w:val="002E4FBA"/>
    <w:rsid w:val="002E6CB7"/>
    <w:rsid w:val="002F0BAC"/>
    <w:rsid w:val="002F0F71"/>
    <w:rsid w:val="002F337D"/>
    <w:rsid w:val="002F341F"/>
    <w:rsid w:val="002F3A1D"/>
    <w:rsid w:val="002F4F21"/>
    <w:rsid w:val="002F5F3F"/>
    <w:rsid w:val="002F7B9E"/>
    <w:rsid w:val="0030117C"/>
    <w:rsid w:val="003022B6"/>
    <w:rsid w:val="0030302E"/>
    <w:rsid w:val="003074C9"/>
    <w:rsid w:val="003100AD"/>
    <w:rsid w:val="00310C38"/>
    <w:rsid w:val="003119E6"/>
    <w:rsid w:val="00311A6D"/>
    <w:rsid w:val="00311EE3"/>
    <w:rsid w:val="0031202B"/>
    <w:rsid w:val="0031577F"/>
    <w:rsid w:val="00315A20"/>
    <w:rsid w:val="0031689F"/>
    <w:rsid w:val="00317800"/>
    <w:rsid w:val="00317AEE"/>
    <w:rsid w:val="003204EA"/>
    <w:rsid w:val="00320CDF"/>
    <w:rsid w:val="0032124D"/>
    <w:rsid w:val="00324251"/>
    <w:rsid w:val="003300C0"/>
    <w:rsid w:val="00330667"/>
    <w:rsid w:val="003311BE"/>
    <w:rsid w:val="00331D64"/>
    <w:rsid w:val="0033257C"/>
    <w:rsid w:val="00332A5F"/>
    <w:rsid w:val="00333F23"/>
    <w:rsid w:val="0033401C"/>
    <w:rsid w:val="00334496"/>
    <w:rsid w:val="00335C8A"/>
    <w:rsid w:val="0033635A"/>
    <w:rsid w:val="00336484"/>
    <w:rsid w:val="0033669B"/>
    <w:rsid w:val="00337653"/>
    <w:rsid w:val="003412C3"/>
    <w:rsid w:val="00341816"/>
    <w:rsid w:val="00342FC2"/>
    <w:rsid w:val="00343A8C"/>
    <w:rsid w:val="0034458D"/>
    <w:rsid w:val="003451B9"/>
    <w:rsid w:val="003464D3"/>
    <w:rsid w:val="003469C7"/>
    <w:rsid w:val="003472AE"/>
    <w:rsid w:val="00347FFA"/>
    <w:rsid w:val="00350E6E"/>
    <w:rsid w:val="00351055"/>
    <w:rsid w:val="00354368"/>
    <w:rsid w:val="003545CF"/>
    <w:rsid w:val="00355260"/>
    <w:rsid w:val="003562BB"/>
    <w:rsid w:val="00356A51"/>
    <w:rsid w:val="00357159"/>
    <w:rsid w:val="003571B8"/>
    <w:rsid w:val="003603A6"/>
    <w:rsid w:val="003605DA"/>
    <w:rsid w:val="003611FA"/>
    <w:rsid w:val="003618D7"/>
    <w:rsid w:val="003623B9"/>
    <w:rsid w:val="00363EDE"/>
    <w:rsid w:val="003642C9"/>
    <w:rsid w:val="003652CD"/>
    <w:rsid w:val="00365FCD"/>
    <w:rsid w:val="00366B95"/>
    <w:rsid w:val="00367D33"/>
    <w:rsid w:val="0037137F"/>
    <w:rsid w:val="00371C36"/>
    <w:rsid w:val="003722BD"/>
    <w:rsid w:val="00372BA6"/>
    <w:rsid w:val="00373895"/>
    <w:rsid w:val="00373A5E"/>
    <w:rsid w:val="00373CC3"/>
    <w:rsid w:val="00374133"/>
    <w:rsid w:val="003747E6"/>
    <w:rsid w:val="00374B73"/>
    <w:rsid w:val="00376AF2"/>
    <w:rsid w:val="00377186"/>
    <w:rsid w:val="0038011E"/>
    <w:rsid w:val="00380205"/>
    <w:rsid w:val="00381B05"/>
    <w:rsid w:val="00383446"/>
    <w:rsid w:val="00384453"/>
    <w:rsid w:val="00384AE3"/>
    <w:rsid w:val="00384EF5"/>
    <w:rsid w:val="00385E44"/>
    <w:rsid w:val="00386F82"/>
    <w:rsid w:val="00387776"/>
    <w:rsid w:val="00387F18"/>
    <w:rsid w:val="00390295"/>
    <w:rsid w:val="003911C3"/>
    <w:rsid w:val="0039215C"/>
    <w:rsid w:val="0039292E"/>
    <w:rsid w:val="00393EE6"/>
    <w:rsid w:val="00395E1D"/>
    <w:rsid w:val="003974CA"/>
    <w:rsid w:val="00397B06"/>
    <w:rsid w:val="003A1C33"/>
    <w:rsid w:val="003A274D"/>
    <w:rsid w:val="003A2B31"/>
    <w:rsid w:val="003A5C49"/>
    <w:rsid w:val="003A739E"/>
    <w:rsid w:val="003A73AA"/>
    <w:rsid w:val="003A77CA"/>
    <w:rsid w:val="003A7BA7"/>
    <w:rsid w:val="003B0E30"/>
    <w:rsid w:val="003B268E"/>
    <w:rsid w:val="003B3112"/>
    <w:rsid w:val="003B4F41"/>
    <w:rsid w:val="003B519A"/>
    <w:rsid w:val="003B59EC"/>
    <w:rsid w:val="003B7FBD"/>
    <w:rsid w:val="003C0CC6"/>
    <w:rsid w:val="003C104A"/>
    <w:rsid w:val="003C194D"/>
    <w:rsid w:val="003C1D99"/>
    <w:rsid w:val="003C3602"/>
    <w:rsid w:val="003C3C1C"/>
    <w:rsid w:val="003C578F"/>
    <w:rsid w:val="003C6DFD"/>
    <w:rsid w:val="003C7C9D"/>
    <w:rsid w:val="003C7E92"/>
    <w:rsid w:val="003C7E9F"/>
    <w:rsid w:val="003C7FCD"/>
    <w:rsid w:val="003D0086"/>
    <w:rsid w:val="003D059F"/>
    <w:rsid w:val="003D0AD6"/>
    <w:rsid w:val="003D3C36"/>
    <w:rsid w:val="003D3C93"/>
    <w:rsid w:val="003D4379"/>
    <w:rsid w:val="003D51AA"/>
    <w:rsid w:val="003D6540"/>
    <w:rsid w:val="003D6703"/>
    <w:rsid w:val="003D68E2"/>
    <w:rsid w:val="003D73AB"/>
    <w:rsid w:val="003D7E96"/>
    <w:rsid w:val="003E050D"/>
    <w:rsid w:val="003E0CBB"/>
    <w:rsid w:val="003E3497"/>
    <w:rsid w:val="003E3BE7"/>
    <w:rsid w:val="003F06DB"/>
    <w:rsid w:val="003F14DD"/>
    <w:rsid w:val="003F2815"/>
    <w:rsid w:val="003F3F55"/>
    <w:rsid w:val="003F41BE"/>
    <w:rsid w:val="003F6842"/>
    <w:rsid w:val="003F758E"/>
    <w:rsid w:val="003F7EA9"/>
    <w:rsid w:val="00400AA4"/>
    <w:rsid w:val="00400BDB"/>
    <w:rsid w:val="0040370F"/>
    <w:rsid w:val="00405C46"/>
    <w:rsid w:val="00407CD6"/>
    <w:rsid w:val="004100C7"/>
    <w:rsid w:val="004104E6"/>
    <w:rsid w:val="00410886"/>
    <w:rsid w:val="00413545"/>
    <w:rsid w:val="00415209"/>
    <w:rsid w:val="004156B0"/>
    <w:rsid w:val="0041577A"/>
    <w:rsid w:val="004159B3"/>
    <w:rsid w:val="00415C8D"/>
    <w:rsid w:val="004160C5"/>
    <w:rsid w:val="00417096"/>
    <w:rsid w:val="004171FA"/>
    <w:rsid w:val="00417510"/>
    <w:rsid w:val="004176BB"/>
    <w:rsid w:val="004210FF"/>
    <w:rsid w:val="00421579"/>
    <w:rsid w:val="00422828"/>
    <w:rsid w:val="00422DAE"/>
    <w:rsid w:val="0042393F"/>
    <w:rsid w:val="00423BCD"/>
    <w:rsid w:val="00424C5A"/>
    <w:rsid w:val="00424CC2"/>
    <w:rsid w:val="00427BCA"/>
    <w:rsid w:val="00432C02"/>
    <w:rsid w:val="00434C79"/>
    <w:rsid w:val="00434CC7"/>
    <w:rsid w:val="00436A8A"/>
    <w:rsid w:val="004403A7"/>
    <w:rsid w:val="00443574"/>
    <w:rsid w:val="00443A1F"/>
    <w:rsid w:val="00443F87"/>
    <w:rsid w:val="00445A85"/>
    <w:rsid w:val="004462C5"/>
    <w:rsid w:val="0044652F"/>
    <w:rsid w:val="00446C4D"/>
    <w:rsid w:val="004505E1"/>
    <w:rsid w:val="00450C61"/>
    <w:rsid w:val="00451D82"/>
    <w:rsid w:val="004521AB"/>
    <w:rsid w:val="00453BF6"/>
    <w:rsid w:val="00453F10"/>
    <w:rsid w:val="00454900"/>
    <w:rsid w:val="00456D32"/>
    <w:rsid w:val="00457169"/>
    <w:rsid w:val="00460E97"/>
    <w:rsid w:val="0046247C"/>
    <w:rsid w:val="0046315E"/>
    <w:rsid w:val="0046408E"/>
    <w:rsid w:val="00466278"/>
    <w:rsid w:val="00466F89"/>
    <w:rsid w:val="00471941"/>
    <w:rsid w:val="004726A5"/>
    <w:rsid w:val="00474AB5"/>
    <w:rsid w:val="00475F40"/>
    <w:rsid w:val="00477652"/>
    <w:rsid w:val="00480053"/>
    <w:rsid w:val="00480265"/>
    <w:rsid w:val="00480D91"/>
    <w:rsid w:val="004822FF"/>
    <w:rsid w:val="00483113"/>
    <w:rsid w:val="00484269"/>
    <w:rsid w:val="00484E91"/>
    <w:rsid w:val="00487200"/>
    <w:rsid w:val="00487B12"/>
    <w:rsid w:val="004905F3"/>
    <w:rsid w:val="0049095E"/>
    <w:rsid w:val="00491D8A"/>
    <w:rsid w:val="0049238C"/>
    <w:rsid w:val="004926E9"/>
    <w:rsid w:val="004932EA"/>
    <w:rsid w:val="00493848"/>
    <w:rsid w:val="0049415C"/>
    <w:rsid w:val="00495B13"/>
    <w:rsid w:val="00495B1B"/>
    <w:rsid w:val="0049635B"/>
    <w:rsid w:val="00496AE6"/>
    <w:rsid w:val="004A01E3"/>
    <w:rsid w:val="004A0872"/>
    <w:rsid w:val="004A1A24"/>
    <w:rsid w:val="004A1B1E"/>
    <w:rsid w:val="004A2C47"/>
    <w:rsid w:val="004A3147"/>
    <w:rsid w:val="004A3C47"/>
    <w:rsid w:val="004A4C24"/>
    <w:rsid w:val="004A4DA1"/>
    <w:rsid w:val="004A541F"/>
    <w:rsid w:val="004A5710"/>
    <w:rsid w:val="004A5F3A"/>
    <w:rsid w:val="004A6050"/>
    <w:rsid w:val="004A7D2C"/>
    <w:rsid w:val="004B123B"/>
    <w:rsid w:val="004B18CA"/>
    <w:rsid w:val="004B1FCA"/>
    <w:rsid w:val="004B285D"/>
    <w:rsid w:val="004B34A1"/>
    <w:rsid w:val="004B6869"/>
    <w:rsid w:val="004B75B8"/>
    <w:rsid w:val="004B77C6"/>
    <w:rsid w:val="004B7A40"/>
    <w:rsid w:val="004B7F63"/>
    <w:rsid w:val="004C0B9F"/>
    <w:rsid w:val="004C0DFE"/>
    <w:rsid w:val="004C0E6F"/>
    <w:rsid w:val="004C10D3"/>
    <w:rsid w:val="004C20AC"/>
    <w:rsid w:val="004C2F1F"/>
    <w:rsid w:val="004C39C5"/>
    <w:rsid w:val="004C3F76"/>
    <w:rsid w:val="004C5933"/>
    <w:rsid w:val="004C70A6"/>
    <w:rsid w:val="004C77EB"/>
    <w:rsid w:val="004D13B4"/>
    <w:rsid w:val="004D167D"/>
    <w:rsid w:val="004D169C"/>
    <w:rsid w:val="004D2CE6"/>
    <w:rsid w:val="004D2E53"/>
    <w:rsid w:val="004D3576"/>
    <w:rsid w:val="004D37C6"/>
    <w:rsid w:val="004D43DF"/>
    <w:rsid w:val="004D4F28"/>
    <w:rsid w:val="004D53FF"/>
    <w:rsid w:val="004D68B3"/>
    <w:rsid w:val="004D7A86"/>
    <w:rsid w:val="004E033E"/>
    <w:rsid w:val="004E10B2"/>
    <w:rsid w:val="004E1E5E"/>
    <w:rsid w:val="004E2439"/>
    <w:rsid w:val="004E255F"/>
    <w:rsid w:val="004E3336"/>
    <w:rsid w:val="004E3C8D"/>
    <w:rsid w:val="004E3FE0"/>
    <w:rsid w:val="004E4B48"/>
    <w:rsid w:val="004E4C89"/>
    <w:rsid w:val="004E759E"/>
    <w:rsid w:val="004F2052"/>
    <w:rsid w:val="004F25A4"/>
    <w:rsid w:val="004F2BA5"/>
    <w:rsid w:val="004F3162"/>
    <w:rsid w:val="004F320E"/>
    <w:rsid w:val="004F3E4D"/>
    <w:rsid w:val="004F42D6"/>
    <w:rsid w:val="004F4D0C"/>
    <w:rsid w:val="004F54EC"/>
    <w:rsid w:val="004F59F0"/>
    <w:rsid w:val="004F749B"/>
    <w:rsid w:val="004F7CE0"/>
    <w:rsid w:val="00501034"/>
    <w:rsid w:val="00502FB6"/>
    <w:rsid w:val="0050370E"/>
    <w:rsid w:val="00503DDB"/>
    <w:rsid w:val="00503F33"/>
    <w:rsid w:val="00504998"/>
    <w:rsid w:val="0050636B"/>
    <w:rsid w:val="00507971"/>
    <w:rsid w:val="0051048C"/>
    <w:rsid w:val="00511041"/>
    <w:rsid w:val="005112C7"/>
    <w:rsid w:val="0051176D"/>
    <w:rsid w:val="005121AA"/>
    <w:rsid w:val="00513755"/>
    <w:rsid w:val="00514730"/>
    <w:rsid w:val="00515648"/>
    <w:rsid w:val="00515C47"/>
    <w:rsid w:val="005160EB"/>
    <w:rsid w:val="00516913"/>
    <w:rsid w:val="0052211A"/>
    <w:rsid w:val="00523B95"/>
    <w:rsid w:val="00523FE3"/>
    <w:rsid w:val="005240E4"/>
    <w:rsid w:val="00525133"/>
    <w:rsid w:val="0052638C"/>
    <w:rsid w:val="00526B21"/>
    <w:rsid w:val="00527221"/>
    <w:rsid w:val="0053072A"/>
    <w:rsid w:val="005307E9"/>
    <w:rsid w:val="00533462"/>
    <w:rsid w:val="00533DE1"/>
    <w:rsid w:val="00533E20"/>
    <w:rsid w:val="00534412"/>
    <w:rsid w:val="00535021"/>
    <w:rsid w:val="00535858"/>
    <w:rsid w:val="00535F30"/>
    <w:rsid w:val="00536EB5"/>
    <w:rsid w:val="005379DA"/>
    <w:rsid w:val="00540053"/>
    <w:rsid w:val="0054098F"/>
    <w:rsid w:val="005418EB"/>
    <w:rsid w:val="005443D3"/>
    <w:rsid w:val="00544B36"/>
    <w:rsid w:val="00545FF9"/>
    <w:rsid w:val="00546525"/>
    <w:rsid w:val="005478FC"/>
    <w:rsid w:val="005527F5"/>
    <w:rsid w:val="00553448"/>
    <w:rsid w:val="00553ECB"/>
    <w:rsid w:val="005541F7"/>
    <w:rsid w:val="0055631B"/>
    <w:rsid w:val="00556C5F"/>
    <w:rsid w:val="00557C1D"/>
    <w:rsid w:val="00557C5B"/>
    <w:rsid w:val="005600F7"/>
    <w:rsid w:val="00560569"/>
    <w:rsid w:val="00560755"/>
    <w:rsid w:val="00560D4E"/>
    <w:rsid w:val="00560E97"/>
    <w:rsid w:val="00561077"/>
    <w:rsid w:val="005628FB"/>
    <w:rsid w:val="005648E5"/>
    <w:rsid w:val="00565877"/>
    <w:rsid w:val="0056692B"/>
    <w:rsid w:val="00566F03"/>
    <w:rsid w:val="00567DEF"/>
    <w:rsid w:val="005700ED"/>
    <w:rsid w:val="00571B5B"/>
    <w:rsid w:val="00571B5C"/>
    <w:rsid w:val="00572390"/>
    <w:rsid w:val="005724F9"/>
    <w:rsid w:val="005732CF"/>
    <w:rsid w:val="005733DC"/>
    <w:rsid w:val="00573DFE"/>
    <w:rsid w:val="0057536D"/>
    <w:rsid w:val="00575816"/>
    <w:rsid w:val="00577590"/>
    <w:rsid w:val="00577BED"/>
    <w:rsid w:val="00580028"/>
    <w:rsid w:val="005801FB"/>
    <w:rsid w:val="00582524"/>
    <w:rsid w:val="005838A4"/>
    <w:rsid w:val="00583F9B"/>
    <w:rsid w:val="00584C71"/>
    <w:rsid w:val="00585892"/>
    <w:rsid w:val="005872AA"/>
    <w:rsid w:val="00590846"/>
    <w:rsid w:val="00590B62"/>
    <w:rsid w:val="005911EE"/>
    <w:rsid w:val="00591E79"/>
    <w:rsid w:val="00594AB0"/>
    <w:rsid w:val="005950B9"/>
    <w:rsid w:val="00595190"/>
    <w:rsid w:val="005952BF"/>
    <w:rsid w:val="00595898"/>
    <w:rsid w:val="00597EA8"/>
    <w:rsid w:val="005A3FDD"/>
    <w:rsid w:val="005A420A"/>
    <w:rsid w:val="005B1BDE"/>
    <w:rsid w:val="005B3807"/>
    <w:rsid w:val="005B3A50"/>
    <w:rsid w:val="005B3D72"/>
    <w:rsid w:val="005B4898"/>
    <w:rsid w:val="005B4B41"/>
    <w:rsid w:val="005B6135"/>
    <w:rsid w:val="005B662E"/>
    <w:rsid w:val="005C0E6B"/>
    <w:rsid w:val="005C1198"/>
    <w:rsid w:val="005C125D"/>
    <w:rsid w:val="005C1344"/>
    <w:rsid w:val="005C1751"/>
    <w:rsid w:val="005C1783"/>
    <w:rsid w:val="005C23DB"/>
    <w:rsid w:val="005C24D3"/>
    <w:rsid w:val="005C3095"/>
    <w:rsid w:val="005C4701"/>
    <w:rsid w:val="005C47B8"/>
    <w:rsid w:val="005C4F4D"/>
    <w:rsid w:val="005C6622"/>
    <w:rsid w:val="005D039D"/>
    <w:rsid w:val="005D03F0"/>
    <w:rsid w:val="005D155D"/>
    <w:rsid w:val="005D1D3D"/>
    <w:rsid w:val="005D2934"/>
    <w:rsid w:val="005D422A"/>
    <w:rsid w:val="005D42EF"/>
    <w:rsid w:val="005D55F1"/>
    <w:rsid w:val="005D6984"/>
    <w:rsid w:val="005D6C66"/>
    <w:rsid w:val="005D7530"/>
    <w:rsid w:val="005D78BE"/>
    <w:rsid w:val="005E00BE"/>
    <w:rsid w:val="005E1253"/>
    <w:rsid w:val="005E25B8"/>
    <w:rsid w:val="005E2821"/>
    <w:rsid w:val="005E3BF2"/>
    <w:rsid w:val="005E3CDD"/>
    <w:rsid w:val="005E401A"/>
    <w:rsid w:val="005E45BB"/>
    <w:rsid w:val="005E5E51"/>
    <w:rsid w:val="005E71FD"/>
    <w:rsid w:val="005E7AEB"/>
    <w:rsid w:val="005F081C"/>
    <w:rsid w:val="005F262D"/>
    <w:rsid w:val="005F3B70"/>
    <w:rsid w:val="005F3FBD"/>
    <w:rsid w:val="005F480F"/>
    <w:rsid w:val="005F5D76"/>
    <w:rsid w:val="005F659E"/>
    <w:rsid w:val="005F667E"/>
    <w:rsid w:val="005F7076"/>
    <w:rsid w:val="005F745C"/>
    <w:rsid w:val="005F7510"/>
    <w:rsid w:val="005F7D03"/>
    <w:rsid w:val="00600108"/>
    <w:rsid w:val="00600616"/>
    <w:rsid w:val="006007F1"/>
    <w:rsid w:val="00600D8B"/>
    <w:rsid w:val="0060213E"/>
    <w:rsid w:val="00603271"/>
    <w:rsid w:val="006034D1"/>
    <w:rsid w:val="00603B6E"/>
    <w:rsid w:val="00605B45"/>
    <w:rsid w:val="00610161"/>
    <w:rsid w:val="00610C17"/>
    <w:rsid w:val="00611417"/>
    <w:rsid w:val="00611E79"/>
    <w:rsid w:val="00613407"/>
    <w:rsid w:val="0061438C"/>
    <w:rsid w:val="006147ED"/>
    <w:rsid w:val="006154A3"/>
    <w:rsid w:val="0061556B"/>
    <w:rsid w:val="00616787"/>
    <w:rsid w:val="006227A0"/>
    <w:rsid w:val="0062352E"/>
    <w:rsid w:val="00623B01"/>
    <w:rsid w:val="00623CD9"/>
    <w:rsid w:val="00624DF3"/>
    <w:rsid w:val="0062718F"/>
    <w:rsid w:val="006277CB"/>
    <w:rsid w:val="006312C8"/>
    <w:rsid w:val="0063175D"/>
    <w:rsid w:val="006318E4"/>
    <w:rsid w:val="0063205F"/>
    <w:rsid w:val="006334B6"/>
    <w:rsid w:val="00633640"/>
    <w:rsid w:val="00635A2D"/>
    <w:rsid w:val="006367B9"/>
    <w:rsid w:val="00640709"/>
    <w:rsid w:val="00642B8F"/>
    <w:rsid w:val="006438D0"/>
    <w:rsid w:val="00643BEB"/>
    <w:rsid w:val="006440D2"/>
    <w:rsid w:val="006442D8"/>
    <w:rsid w:val="006446ED"/>
    <w:rsid w:val="00645AB4"/>
    <w:rsid w:val="00646788"/>
    <w:rsid w:val="00646C16"/>
    <w:rsid w:val="00647335"/>
    <w:rsid w:val="006501FB"/>
    <w:rsid w:val="006502E4"/>
    <w:rsid w:val="006526DF"/>
    <w:rsid w:val="006531B3"/>
    <w:rsid w:val="0065436E"/>
    <w:rsid w:val="00655D68"/>
    <w:rsid w:val="00657689"/>
    <w:rsid w:val="00657F47"/>
    <w:rsid w:val="00662372"/>
    <w:rsid w:val="006626C2"/>
    <w:rsid w:val="00662AA6"/>
    <w:rsid w:val="006637BA"/>
    <w:rsid w:val="00665AB2"/>
    <w:rsid w:val="006672BC"/>
    <w:rsid w:val="00672240"/>
    <w:rsid w:val="00673415"/>
    <w:rsid w:val="0067397B"/>
    <w:rsid w:val="00674466"/>
    <w:rsid w:val="00674651"/>
    <w:rsid w:val="00677AD8"/>
    <w:rsid w:val="00677DA7"/>
    <w:rsid w:val="006801E3"/>
    <w:rsid w:val="006807A9"/>
    <w:rsid w:val="00680D83"/>
    <w:rsid w:val="00684015"/>
    <w:rsid w:val="00684098"/>
    <w:rsid w:val="006841AB"/>
    <w:rsid w:val="00685D8F"/>
    <w:rsid w:val="0068662B"/>
    <w:rsid w:val="006915B0"/>
    <w:rsid w:val="00691ADE"/>
    <w:rsid w:val="00691FF5"/>
    <w:rsid w:val="00692178"/>
    <w:rsid w:val="006931E6"/>
    <w:rsid w:val="00695F2F"/>
    <w:rsid w:val="00696BA2"/>
    <w:rsid w:val="006977FC"/>
    <w:rsid w:val="00697D33"/>
    <w:rsid w:val="006A240A"/>
    <w:rsid w:val="006A2B7E"/>
    <w:rsid w:val="006A2BC5"/>
    <w:rsid w:val="006A3934"/>
    <w:rsid w:val="006A39C1"/>
    <w:rsid w:val="006A734A"/>
    <w:rsid w:val="006A76AF"/>
    <w:rsid w:val="006B0023"/>
    <w:rsid w:val="006B0081"/>
    <w:rsid w:val="006B0743"/>
    <w:rsid w:val="006B25CB"/>
    <w:rsid w:val="006B3523"/>
    <w:rsid w:val="006B3A8A"/>
    <w:rsid w:val="006B3B5A"/>
    <w:rsid w:val="006B5313"/>
    <w:rsid w:val="006B728F"/>
    <w:rsid w:val="006C0163"/>
    <w:rsid w:val="006C226C"/>
    <w:rsid w:val="006C3325"/>
    <w:rsid w:val="006C3B5D"/>
    <w:rsid w:val="006C6883"/>
    <w:rsid w:val="006C6A44"/>
    <w:rsid w:val="006C7504"/>
    <w:rsid w:val="006D401F"/>
    <w:rsid w:val="006D4177"/>
    <w:rsid w:val="006D4386"/>
    <w:rsid w:val="006D5992"/>
    <w:rsid w:val="006D59A8"/>
    <w:rsid w:val="006D619F"/>
    <w:rsid w:val="006D6471"/>
    <w:rsid w:val="006D7A5D"/>
    <w:rsid w:val="006D7FC2"/>
    <w:rsid w:val="006E0624"/>
    <w:rsid w:val="006E1BC8"/>
    <w:rsid w:val="006E2666"/>
    <w:rsid w:val="006E4482"/>
    <w:rsid w:val="006E44E9"/>
    <w:rsid w:val="006E4653"/>
    <w:rsid w:val="006E5728"/>
    <w:rsid w:val="006E709E"/>
    <w:rsid w:val="006E7132"/>
    <w:rsid w:val="006E7CC4"/>
    <w:rsid w:val="006F0907"/>
    <w:rsid w:val="006F10CB"/>
    <w:rsid w:val="006F1461"/>
    <w:rsid w:val="006F3047"/>
    <w:rsid w:val="006F34D8"/>
    <w:rsid w:val="006F50DD"/>
    <w:rsid w:val="006F557E"/>
    <w:rsid w:val="006F5B1B"/>
    <w:rsid w:val="006F5E25"/>
    <w:rsid w:val="006F703A"/>
    <w:rsid w:val="00701719"/>
    <w:rsid w:val="00702894"/>
    <w:rsid w:val="00704332"/>
    <w:rsid w:val="00704453"/>
    <w:rsid w:val="00704DA4"/>
    <w:rsid w:val="00705551"/>
    <w:rsid w:val="0070593A"/>
    <w:rsid w:val="00707C28"/>
    <w:rsid w:val="007101CA"/>
    <w:rsid w:val="00711243"/>
    <w:rsid w:val="007114C5"/>
    <w:rsid w:val="00713150"/>
    <w:rsid w:val="00713BA7"/>
    <w:rsid w:val="00714652"/>
    <w:rsid w:val="00716FB8"/>
    <w:rsid w:val="00717053"/>
    <w:rsid w:val="007172B3"/>
    <w:rsid w:val="0071759D"/>
    <w:rsid w:val="00717C75"/>
    <w:rsid w:val="00720EC8"/>
    <w:rsid w:val="007210D6"/>
    <w:rsid w:val="00721E8D"/>
    <w:rsid w:val="00722BC1"/>
    <w:rsid w:val="00725804"/>
    <w:rsid w:val="00726789"/>
    <w:rsid w:val="0073071F"/>
    <w:rsid w:val="00730DB7"/>
    <w:rsid w:val="0073185A"/>
    <w:rsid w:val="00732398"/>
    <w:rsid w:val="0073309B"/>
    <w:rsid w:val="007339C1"/>
    <w:rsid w:val="00734A53"/>
    <w:rsid w:val="00736D39"/>
    <w:rsid w:val="00737098"/>
    <w:rsid w:val="00737C39"/>
    <w:rsid w:val="0074069F"/>
    <w:rsid w:val="0074093F"/>
    <w:rsid w:val="00742192"/>
    <w:rsid w:val="00743831"/>
    <w:rsid w:val="00743E7E"/>
    <w:rsid w:val="0074435B"/>
    <w:rsid w:val="00746EAB"/>
    <w:rsid w:val="00750162"/>
    <w:rsid w:val="00750BFE"/>
    <w:rsid w:val="0075106F"/>
    <w:rsid w:val="00751C2E"/>
    <w:rsid w:val="00755D4B"/>
    <w:rsid w:val="00755FF2"/>
    <w:rsid w:val="00762898"/>
    <w:rsid w:val="00762EB7"/>
    <w:rsid w:val="00763A09"/>
    <w:rsid w:val="007666CE"/>
    <w:rsid w:val="0076779E"/>
    <w:rsid w:val="007677F6"/>
    <w:rsid w:val="007719A6"/>
    <w:rsid w:val="00772EB5"/>
    <w:rsid w:val="00773D81"/>
    <w:rsid w:val="007761CA"/>
    <w:rsid w:val="00777106"/>
    <w:rsid w:val="00777843"/>
    <w:rsid w:val="00780105"/>
    <w:rsid w:val="00780ACB"/>
    <w:rsid w:val="00782BFE"/>
    <w:rsid w:val="00782FC3"/>
    <w:rsid w:val="00783B8A"/>
    <w:rsid w:val="00784D65"/>
    <w:rsid w:val="0078521D"/>
    <w:rsid w:val="0078764D"/>
    <w:rsid w:val="007900B5"/>
    <w:rsid w:val="007909A3"/>
    <w:rsid w:val="00791F1F"/>
    <w:rsid w:val="00792888"/>
    <w:rsid w:val="00796AD3"/>
    <w:rsid w:val="007A2145"/>
    <w:rsid w:val="007A36DF"/>
    <w:rsid w:val="007A7191"/>
    <w:rsid w:val="007B0FF0"/>
    <w:rsid w:val="007B11F3"/>
    <w:rsid w:val="007B16AA"/>
    <w:rsid w:val="007B1D70"/>
    <w:rsid w:val="007B25CD"/>
    <w:rsid w:val="007B450E"/>
    <w:rsid w:val="007B5D17"/>
    <w:rsid w:val="007B63E1"/>
    <w:rsid w:val="007C17FE"/>
    <w:rsid w:val="007C2B39"/>
    <w:rsid w:val="007C2B97"/>
    <w:rsid w:val="007C2CD3"/>
    <w:rsid w:val="007C4918"/>
    <w:rsid w:val="007C5271"/>
    <w:rsid w:val="007C619C"/>
    <w:rsid w:val="007C7559"/>
    <w:rsid w:val="007D18B4"/>
    <w:rsid w:val="007D1B20"/>
    <w:rsid w:val="007D42C0"/>
    <w:rsid w:val="007D4405"/>
    <w:rsid w:val="007D560C"/>
    <w:rsid w:val="007D5844"/>
    <w:rsid w:val="007D6FEF"/>
    <w:rsid w:val="007D7F94"/>
    <w:rsid w:val="007E00F1"/>
    <w:rsid w:val="007E20DD"/>
    <w:rsid w:val="007E4B41"/>
    <w:rsid w:val="007E50C0"/>
    <w:rsid w:val="007E596E"/>
    <w:rsid w:val="007F029C"/>
    <w:rsid w:val="007F054B"/>
    <w:rsid w:val="007F0E20"/>
    <w:rsid w:val="007F19FD"/>
    <w:rsid w:val="007F29F1"/>
    <w:rsid w:val="007F2CD9"/>
    <w:rsid w:val="007F2F2A"/>
    <w:rsid w:val="007F33E9"/>
    <w:rsid w:val="007F75A7"/>
    <w:rsid w:val="007F781F"/>
    <w:rsid w:val="00800339"/>
    <w:rsid w:val="008005A0"/>
    <w:rsid w:val="00800C92"/>
    <w:rsid w:val="00803AB3"/>
    <w:rsid w:val="00803F99"/>
    <w:rsid w:val="008063E7"/>
    <w:rsid w:val="00810FF3"/>
    <w:rsid w:val="008115D1"/>
    <w:rsid w:val="00812186"/>
    <w:rsid w:val="00814AB4"/>
    <w:rsid w:val="00814AFC"/>
    <w:rsid w:val="008155C6"/>
    <w:rsid w:val="00815D8B"/>
    <w:rsid w:val="00816070"/>
    <w:rsid w:val="00816332"/>
    <w:rsid w:val="008173C6"/>
    <w:rsid w:val="00817870"/>
    <w:rsid w:val="00817B93"/>
    <w:rsid w:val="00821398"/>
    <w:rsid w:val="00821797"/>
    <w:rsid w:val="00822284"/>
    <w:rsid w:val="00822801"/>
    <w:rsid w:val="008246B2"/>
    <w:rsid w:val="00826CF2"/>
    <w:rsid w:val="0082748D"/>
    <w:rsid w:val="00827F28"/>
    <w:rsid w:val="008328EE"/>
    <w:rsid w:val="00834822"/>
    <w:rsid w:val="00834D84"/>
    <w:rsid w:val="00835787"/>
    <w:rsid w:val="00836BBA"/>
    <w:rsid w:val="008408A7"/>
    <w:rsid w:val="00841E12"/>
    <w:rsid w:val="0084269C"/>
    <w:rsid w:val="008429CC"/>
    <w:rsid w:val="00843EE0"/>
    <w:rsid w:val="00844801"/>
    <w:rsid w:val="00845933"/>
    <w:rsid w:val="00845E56"/>
    <w:rsid w:val="008467F3"/>
    <w:rsid w:val="0084713D"/>
    <w:rsid w:val="008506EF"/>
    <w:rsid w:val="00850765"/>
    <w:rsid w:val="0085284F"/>
    <w:rsid w:val="00852A5C"/>
    <w:rsid w:val="00852AE9"/>
    <w:rsid w:val="00853207"/>
    <w:rsid w:val="008539FA"/>
    <w:rsid w:val="00854746"/>
    <w:rsid w:val="00855251"/>
    <w:rsid w:val="00855A92"/>
    <w:rsid w:val="00857507"/>
    <w:rsid w:val="00861B0A"/>
    <w:rsid w:val="00861CBB"/>
    <w:rsid w:val="008628AD"/>
    <w:rsid w:val="0086336F"/>
    <w:rsid w:val="00863F53"/>
    <w:rsid w:val="00864122"/>
    <w:rsid w:val="00864E46"/>
    <w:rsid w:val="00865AFE"/>
    <w:rsid w:val="00866DCE"/>
    <w:rsid w:val="00871DC3"/>
    <w:rsid w:val="00871FA1"/>
    <w:rsid w:val="00872472"/>
    <w:rsid w:val="00875D70"/>
    <w:rsid w:val="00876DF5"/>
    <w:rsid w:val="008771AC"/>
    <w:rsid w:val="00880669"/>
    <w:rsid w:val="008808CB"/>
    <w:rsid w:val="008808CE"/>
    <w:rsid w:val="008819C9"/>
    <w:rsid w:val="008821AC"/>
    <w:rsid w:val="008829CA"/>
    <w:rsid w:val="0088421C"/>
    <w:rsid w:val="0088790C"/>
    <w:rsid w:val="008912B2"/>
    <w:rsid w:val="008912CD"/>
    <w:rsid w:val="00891352"/>
    <w:rsid w:val="008956BC"/>
    <w:rsid w:val="008958B4"/>
    <w:rsid w:val="00895945"/>
    <w:rsid w:val="00895A83"/>
    <w:rsid w:val="00895C1C"/>
    <w:rsid w:val="00896190"/>
    <w:rsid w:val="00896380"/>
    <w:rsid w:val="00897701"/>
    <w:rsid w:val="008A0575"/>
    <w:rsid w:val="008A0BFD"/>
    <w:rsid w:val="008A38CC"/>
    <w:rsid w:val="008A3F04"/>
    <w:rsid w:val="008A43D4"/>
    <w:rsid w:val="008A5080"/>
    <w:rsid w:val="008A5BD5"/>
    <w:rsid w:val="008A6158"/>
    <w:rsid w:val="008A77C5"/>
    <w:rsid w:val="008A79D9"/>
    <w:rsid w:val="008B3095"/>
    <w:rsid w:val="008B39A0"/>
    <w:rsid w:val="008B4116"/>
    <w:rsid w:val="008B4F5E"/>
    <w:rsid w:val="008B5F45"/>
    <w:rsid w:val="008B6669"/>
    <w:rsid w:val="008B690B"/>
    <w:rsid w:val="008B6B15"/>
    <w:rsid w:val="008B6DF1"/>
    <w:rsid w:val="008B7240"/>
    <w:rsid w:val="008C09DB"/>
    <w:rsid w:val="008C202D"/>
    <w:rsid w:val="008C212E"/>
    <w:rsid w:val="008C5103"/>
    <w:rsid w:val="008C59E0"/>
    <w:rsid w:val="008C5ACD"/>
    <w:rsid w:val="008C79B4"/>
    <w:rsid w:val="008D0534"/>
    <w:rsid w:val="008D0BE5"/>
    <w:rsid w:val="008D12F9"/>
    <w:rsid w:val="008D175F"/>
    <w:rsid w:val="008D2562"/>
    <w:rsid w:val="008D4308"/>
    <w:rsid w:val="008D4BF3"/>
    <w:rsid w:val="008D6359"/>
    <w:rsid w:val="008D6E44"/>
    <w:rsid w:val="008D79AC"/>
    <w:rsid w:val="008E04AC"/>
    <w:rsid w:val="008E0B69"/>
    <w:rsid w:val="008E140C"/>
    <w:rsid w:val="008E146A"/>
    <w:rsid w:val="008E1CA2"/>
    <w:rsid w:val="008E23BB"/>
    <w:rsid w:val="008E26CC"/>
    <w:rsid w:val="008E3062"/>
    <w:rsid w:val="008E3204"/>
    <w:rsid w:val="008E371B"/>
    <w:rsid w:val="008E43BB"/>
    <w:rsid w:val="008E6593"/>
    <w:rsid w:val="008E7895"/>
    <w:rsid w:val="008F03E1"/>
    <w:rsid w:val="008F2CE8"/>
    <w:rsid w:val="008F2DC5"/>
    <w:rsid w:val="008F36AB"/>
    <w:rsid w:val="008F4BE7"/>
    <w:rsid w:val="008F4E7E"/>
    <w:rsid w:val="008F6AC1"/>
    <w:rsid w:val="00900C65"/>
    <w:rsid w:val="00901045"/>
    <w:rsid w:val="00901336"/>
    <w:rsid w:val="009026C8"/>
    <w:rsid w:val="00902FF6"/>
    <w:rsid w:val="00904280"/>
    <w:rsid w:val="00906672"/>
    <w:rsid w:val="00906C32"/>
    <w:rsid w:val="0090797F"/>
    <w:rsid w:val="0091013F"/>
    <w:rsid w:val="00910716"/>
    <w:rsid w:val="00910D7F"/>
    <w:rsid w:val="0091126B"/>
    <w:rsid w:val="00911A08"/>
    <w:rsid w:val="00912943"/>
    <w:rsid w:val="00912AFA"/>
    <w:rsid w:val="00912BF6"/>
    <w:rsid w:val="00912D85"/>
    <w:rsid w:val="009131E6"/>
    <w:rsid w:val="009139C1"/>
    <w:rsid w:val="00913E65"/>
    <w:rsid w:val="00914CFF"/>
    <w:rsid w:val="00914E97"/>
    <w:rsid w:val="009150E3"/>
    <w:rsid w:val="00915617"/>
    <w:rsid w:val="009158B1"/>
    <w:rsid w:val="00916743"/>
    <w:rsid w:val="00916887"/>
    <w:rsid w:val="00916974"/>
    <w:rsid w:val="00916BEA"/>
    <w:rsid w:val="00917C40"/>
    <w:rsid w:val="00920A01"/>
    <w:rsid w:val="00921002"/>
    <w:rsid w:val="009219E4"/>
    <w:rsid w:val="00922467"/>
    <w:rsid w:val="00925472"/>
    <w:rsid w:val="00925691"/>
    <w:rsid w:val="00925977"/>
    <w:rsid w:val="009268BA"/>
    <w:rsid w:val="0092703A"/>
    <w:rsid w:val="009300EB"/>
    <w:rsid w:val="00931023"/>
    <w:rsid w:val="00932C87"/>
    <w:rsid w:val="00932D16"/>
    <w:rsid w:val="00934558"/>
    <w:rsid w:val="009353EA"/>
    <w:rsid w:val="00935C2C"/>
    <w:rsid w:val="00937560"/>
    <w:rsid w:val="009402A8"/>
    <w:rsid w:val="0094171D"/>
    <w:rsid w:val="009418E5"/>
    <w:rsid w:val="009423C1"/>
    <w:rsid w:val="00942B21"/>
    <w:rsid w:val="0094478D"/>
    <w:rsid w:val="00944F9F"/>
    <w:rsid w:val="009451CC"/>
    <w:rsid w:val="00945229"/>
    <w:rsid w:val="009459AA"/>
    <w:rsid w:val="00947840"/>
    <w:rsid w:val="00950016"/>
    <w:rsid w:val="0095012E"/>
    <w:rsid w:val="00950157"/>
    <w:rsid w:val="0095052B"/>
    <w:rsid w:val="009510AE"/>
    <w:rsid w:val="0095268B"/>
    <w:rsid w:val="009527AC"/>
    <w:rsid w:val="00952F92"/>
    <w:rsid w:val="00953CBD"/>
    <w:rsid w:val="009540BB"/>
    <w:rsid w:val="009544E2"/>
    <w:rsid w:val="00955F77"/>
    <w:rsid w:val="009566C9"/>
    <w:rsid w:val="00957C2A"/>
    <w:rsid w:val="009615AB"/>
    <w:rsid w:val="00961D89"/>
    <w:rsid w:val="009629C7"/>
    <w:rsid w:val="00962CF8"/>
    <w:rsid w:val="00963167"/>
    <w:rsid w:val="009651E0"/>
    <w:rsid w:val="00965CF5"/>
    <w:rsid w:val="00965ED3"/>
    <w:rsid w:val="009678FD"/>
    <w:rsid w:val="00967A55"/>
    <w:rsid w:val="00970889"/>
    <w:rsid w:val="009713ED"/>
    <w:rsid w:val="00974C99"/>
    <w:rsid w:val="00976000"/>
    <w:rsid w:val="00980FA6"/>
    <w:rsid w:val="009813CA"/>
    <w:rsid w:val="00981443"/>
    <w:rsid w:val="0098169D"/>
    <w:rsid w:val="00981D84"/>
    <w:rsid w:val="00981ECD"/>
    <w:rsid w:val="00983805"/>
    <w:rsid w:val="009863FD"/>
    <w:rsid w:val="00987196"/>
    <w:rsid w:val="00987BCE"/>
    <w:rsid w:val="00990310"/>
    <w:rsid w:val="00990986"/>
    <w:rsid w:val="00990AFC"/>
    <w:rsid w:val="00990F0E"/>
    <w:rsid w:val="00993967"/>
    <w:rsid w:val="0099423C"/>
    <w:rsid w:val="00996632"/>
    <w:rsid w:val="00996B18"/>
    <w:rsid w:val="00997961"/>
    <w:rsid w:val="009A1C20"/>
    <w:rsid w:val="009A1EFD"/>
    <w:rsid w:val="009A358C"/>
    <w:rsid w:val="009A36E6"/>
    <w:rsid w:val="009A4792"/>
    <w:rsid w:val="009A4D77"/>
    <w:rsid w:val="009A552E"/>
    <w:rsid w:val="009A5EBF"/>
    <w:rsid w:val="009A6173"/>
    <w:rsid w:val="009A6297"/>
    <w:rsid w:val="009A75CD"/>
    <w:rsid w:val="009A77CD"/>
    <w:rsid w:val="009A7AEA"/>
    <w:rsid w:val="009A7F0F"/>
    <w:rsid w:val="009B0038"/>
    <w:rsid w:val="009B0181"/>
    <w:rsid w:val="009B0668"/>
    <w:rsid w:val="009B44A5"/>
    <w:rsid w:val="009B4BEC"/>
    <w:rsid w:val="009B4E6F"/>
    <w:rsid w:val="009B708F"/>
    <w:rsid w:val="009B7FE9"/>
    <w:rsid w:val="009C0F1A"/>
    <w:rsid w:val="009C22EA"/>
    <w:rsid w:val="009C2C9F"/>
    <w:rsid w:val="009C3B20"/>
    <w:rsid w:val="009C4336"/>
    <w:rsid w:val="009C5317"/>
    <w:rsid w:val="009C558A"/>
    <w:rsid w:val="009C5AE1"/>
    <w:rsid w:val="009C6F81"/>
    <w:rsid w:val="009C7D1F"/>
    <w:rsid w:val="009D223E"/>
    <w:rsid w:val="009D3D74"/>
    <w:rsid w:val="009D42FB"/>
    <w:rsid w:val="009D469E"/>
    <w:rsid w:val="009D592C"/>
    <w:rsid w:val="009D665D"/>
    <w:rsid w:val="009E0769"/>
    <w:rsid w:val="009E079F"/>
    <w:rsid w:val="009E2FDC"/>
    <w:rsid w:val="009E3761"/>
    <w:rsid w:val="009E5868"/>
    <w:rsid w:val="009E592B"/>
    <w:rsid w:val="009E6E96"/>
    <w:rsid w:val="009E73E9"/>
    <w:rsid w:val="009E7502"/>
    <w:rsid w:val="009E7680"/>
    <w:rsid w:val="009E79A9"/>
    <w:rsid w:val="009F00E0"/>
    <w:rsid w:val="009F0409"/>
    <w:rsid w:val="009F0CDB"/>
    <w:rsid w:val="009F162A"/>
    <w:rsid w:val="009F281C"/>
    <w:rsid w:val="009F30C3"/>
    <w:rsid w:val="009F37A4"/>
    <w:rsid w:val="009F5895"/>
    <w:rsid w:val="009F5C94"/>
    <w:rsid w:val="009F657A"/>
    <w:rsid w:val="009F7E73"/>
    <w:rsid w:val="00A00EB4"/>
    <w:rsid w:val="00A010D3"/>
    <w:rsid w:val="00A012FA"/>
    <w:rsid w:val="00A01ED4"/>
    <w:rsid w:val="00A0211E"/>
    <w:rsid w:val="00A025B9"/>
    <w:rsid w:val="00A037A4"/>
    <w:rsid w:val="00A042EF"/>
    <w:rsid w:val="00A04567"/>
    <w:rsid w:val="00A04BDF"/>
    <w:rsid w:val="00A051A6"/>
    <w:rsid w:val="00A05E19"/>
    <w:rsid w:val="00A1009A"/>
    <w:rsid w:val="00A100A3"/>
    <w:rsid w:val="00A10802"/>
    <w:rsid w:val="00A1178B"/>
    <w:rsid w:val="00A1211A"/>
    <w:rsid w:val="00A13749"/>
    <w:rsid w:val="00A15951"/>
    <w:rsid w:val="00A16977"/>
    <w:rsid w:val="00A1725A"/>
    <w:rsid w:val="00A173EF"/>
    <w:rsid w:val="00A177BF"/>
    <w:rsid w:val="00A2030C"/>
    <w:rsid w:val="00A210C6"/>
    <w:rsid w:val="00A23093"/>
    <w:rsid w:val="00A2375A"/>
    <w:rsid w:val="00A23AC8"/>
    <w:rsid w:val="00A23AE4"/>
    <w:rsid w:val="00A25C87"/>
    <w:rsid w:val="00A2748C"/>
    <w:rsid w:val="00A3086F"/>
    <w:rsid w:val="00A3322D"/>
    <w:rsid w:val="00A3555D"/>
    <w:rsid w:val="00A35577"/>
    <w:rsid w:val="00A359A4"/>
    <w:rsid w:val="00A35C92"/>
    <w:rsid w:val="00A35FE9"/>
    <w:rsid w:val="00A37E9D"/>
    <w:rsid w:val="00A40897"/>
    <w:rsid w:val="00A4117B"/>
    <w:rsid w:val="00A4203F"/>
    <w:rsid w:val="00A4209F"/>
    <w:rsid w:val="00A42AD9"/>
    <w:rsid w:val="00A4360D"/>
    <w:rsid w:val="00A43FAA"/>
    <w:rsid w:val="00A454C5"/>
    <w:rsid w:val="00A45B1D"/>
    <w:rsid w:val="00A45D3A"/>
    <w:rsid w:val="00A47573"/>
    <w:rsid w:val="00A51C9D"/>
    <w:rsid w:val="00A52863"/>
    <w:rsid w:val="00A53AE2"/>
    <w:rsid w:val="00A559F4"/>
    <w:rsid w:val="00A57867"/>
    <w:rsid w:val="00A616B8"/>
    <w:rsid w:val="00A61F62"/>
    <w:rsid w:val="00A65258"/>
    <w:rsid w:val="00A65DBA"/>
    <w:rsid w:val="00A66308"/>
    <w:rsid w:val="00A66E37"/>
    <w:rsid w:val="00A66F27"/>
    <w:rsid w:val="00A704F7"/>
    <w:rsid w:val="00A7098E"/>
    <w:rsid w:val="00A70A6B"/>
    <w:rsid w:val="00A72145"/>
    <w:rsid w:val="00A72753"/>
    <w:rsid w:val="00A72816"/>
    <w:rsid w:val="00A72CFD"/>
    <w:rsid w:val="00A739D4"/>
    <w:rsid w:val="00A74987"/>
    <w:rsid w:val="00A74F94"/>
    <w:rsid w:val="00A777F7"/>
    <w:rsid w:val="00A8281A"/>
    <w:rsid w:val="00A845D5"/>
    <w:rsid w:val="00A84AF1"/>
    <w:rsid w:val="00A84D1C"/>
    <w:rsid w:val="00A85206"/>
    <w:rsid w:val="00A85EC2"/>
    <w:rsid w:val="00A90430"/>
    <w:rsid w:val="00A904FF"/>
    <w:rsid w:val="00A9064B"/>
    <w:rsid w:val="00A913ED"/>
    <w:rsid w:val="00A91CD7"/>
    <w:rsid w:val="00A9261B"/>
    <w:rsid w:val="00A932C1"/>
    <w:rsid w:val="00A93F87"/>
    <w:rsid w:val="00A94F2B"/>
    <w:rsid w:val="00A95D28"/>
    <w:rsid w:val="00A96BC2"/>
    <w:rsid w:val="00AA1546"/>
    <w:rsid w:val="00AA26D1"/>
    <w:rsid w:val="00AA36A5"/>
    <w:rsid w:val="00AA3B3F"/>
    <w:rsid w:val="00AA40B2"/>
    <w:rsid w:val="00AA428C"/>
    <w:rsid w:val="00AA4871"/>
    <w:rsid w:val="00AA79AE"/>
    <w:rsid w:val="00AB0552"/>
    <w:rsid w:val="00AB17C6"/>
    <w:rsid w:val="00AB1936"/>
    <w:rsid w:val="00AB27FE"/>
    <w:rsid w:val="00AB2AD1"/>
    <w:rsid w:val="00AB328D"/>
    <w:rsid w:val="00AB41E5"/>
    <w:rsid w:val="00AB4A12"/>
    <w:rsid w:val="00AB4DE6"/>
    <w:rsid w:val="00AB6126"/>
    <w:rsid w:val="00AB7501"/>
    <w:rsid w:val="00AC1039"/>
    <w:rsid w:val="00AC135C"/>
    <w:rsid w:val="00AC20D5"/>
    <w:rsid w:val="00AC21C4"/>
    <w:rsid w:val="00AC257C"/>
    <w:rsid w:val="00AC2DCE"/>
    <w:rsid w:val="00AC38C2"/>
    <w:rsid w:val="00AC53B9"/>
    <w:rsid w:val="00AC5D51"/>
    <w:rsid w:val="00AC5E5B"/>
    <w:rsid w:val="00AC760B"/>
    <w:rsid w:val="00AC7637"/>
    <w:rsid w:val="00AD022B"/>
    <w:rsid w:val="00AD069E"/>
    <w:rsid w:val="00AD0EC6"/>
    <w:rsid w:val="00AD106C"/>
    <w:rsid w:val="00AD24FC"/>
    <w:rsid w:val="00AD27EC"/>
    <w:rsid w:val="00AD42CE"/>
    <w:rsid w:val="00AD5180"/>
    <w:rsid w:val="00AD5979"/>
    <w:rsid w:val="00AD5CA1"/>
    <w:rsid w:val="00AD616C"/>
    <w:rsid w:val="00AD63FC"/>
    <w:rsid w:val="00AD6A8D"/>
    <w:rsid w:val="00AD7224"/>
    <w:rsid w:val="00AD7432"/>
    <w:rsid w:val="00AE0154"/>
    <w:rsid w:val="00AE13F0"/>
    <w:rsid w:val="00AE2B32"/>
    <w:rsid w:val="00AE2CD2"/>
    <w:rsid w:val="00AE4135"/>
    <w:rsid w:val="00AE4705"/>
    <w:rsid w:val="00AE7ED5"/>
    <w:rsid w:val="00AF07C5"/>
    <w:rsid w:val="00AF0C8A"/>
    <w:rsid w:val="00AF0DF5"/>
    <w:rsid w:val="00AF1DA7"/>
    <w:rsid w:val="00AF39AE"/>
    <w:rsid w:val="00AF40E9"/>
    <w:rsid w:val="00AF4808"/>
    <w:rsid w:val="00AF5DE8"/>
    <w:rsid w:val="00AF7AAA"/>
    <w:rsid w:val="00B0010C"/>
    <w:rsid w:val="00B00445"/>
    <w:rsid w:val="00B007EE"/>
    <w:rsid w:val="00B00832"/>
    <w:rsid w:val="00B021DD"/>
    <w:rsid w:val="00B02900"/>
    <w:rsid w:val="00B02B56"/>
    <w:rsid w:val="00B0362E"/>
    <w:rsid w:val="00B03780"/>
    <w:rsid w:val="00B04A25"/>
    <w:rsid w:val="00B05515"/>
    <w:rsid w:val="00B05736"/>
    <w:rsid w:val="00B13AB2"/>
    <w:rsid w:val="00B1437E"/>
    <w:rsid w:val="00B14F58"/>
    <w:rsid w:val="00B1623D"/>
    <w:rsid w:val="00B16DAD"/>
    <w:rsid w:val="00B20196"/>
    <w:rsid w:val="00B20EB5"/>
    <w:rsid w:val="00B21E12"/>
    <w:rsid w:val="00B2362D"/>
    <w:rsid w:val="00B23CF5"/>
    <w:rsid w:val="00B255EB"/>
    <w:rsid w:val="00B26E5D"/>
    <w:rsid w:val="00B3054B"/>
    <w:rsid w:val="00B30725"/>
    <w:rsid w:val="00B315B8"/>
    <w:rsid w:val="00B31F80"/>
    <w:rsid w:val="00B325EB"/>
    <w:rsid w:val="00B328C7"/>
    <w:rsid w:val="00B3393E"/>
    <w:rsid w:val="00B33CDF"/>
    <w:rsid w:val="00B354AB"/>
    <w:rsid w:val="00B359DD"/>
    <w:rsid w:val="00B35EF6"/>
    <w:rsid w:val="00B35FD1"/>
    <w:rsid w:val="00B37EC2"/>
    <w:rsid w:val="00B40180"/>
    <w:rsid w:val="00B415DE"/>
    <w:rsid w:val="00B42737"/>
    <w:rsid w:val="00B42A38"/>
    <w:rsid w:val="00B42D99"/>
    <w:rsid w:val="00B43136"/>
    <w:rsid w:val="00B436B6"/>
    <w:rsid w:val="00B44504"/>
    <w:rsid w:val="00B44FA5"/>
    <w:rsid w:val="00B451A6"/>
    <w:rsid w:val="00B45879"/>
    <w:rsid w:val="00B459C1"/>
    <w:rsid w:val="00B45D24"/>
    <w:rsid w:val="00B45DD0"/>
    <w:rsid w:val="00B46E91"/>
    <w:rsid w:val="00B47ACA"/>
    <w:rsid w:val="00B50CF2"/>
    <w:rsid w:val="00B51575"/>
    <w:rsid w:val="00B523FE"/>
    <w:rsid w:val="00B5269C"/>
    <w:rsid w:val="00B5274C"/>
    <w:rsid w:val="00B52C90"/>
    <w:rsid w:val="00B53508"/>
    <w:rsid w:val="00B53650"/>
    <w:rsid w:val="00B54A28"/>
    <w:rsid w:val="00B55372"/>
    <w:rsid w:val="00B55418"/>
    <w:rsid w:val="00B56875"/>
    <w:rsid w:val="00B578BD"/>
    <w:rsid w:val="00B57BA5"/>
    <w:rsid w:val="00B60B17"/>
    <w:rsid w:val="00B6181E"/>
    <w:rsid w:val="00B618C2"/>
    <w:rsid w:val="00B62803"/>
    <w:rsid w:val="00B63E27"/>
    <w:rsid w:val="00B65675"/>
    <w:rsid w:val="00B662B0"/>
    <w:rsid w:val="00B67BBB"/>
    <w:rsid w:val="00B67F42"/>
    <w:rsid w:val="00B728FF"/>
    <w:rsid w:val="00B735D0"/>
    <w:rsid w:val="00B746F5"/>
    <w:rsid w:val="00B77A97"/>
    <w:rsid w:val="00B8051C"/>
    <w:rsid w:val="00B81108"/>
    <w:rsid w:val="00B811BF"/>
    <w:rsid w:val="00B81832"/>
    <w:rsid w:val="00B82822"/>
    <w:rsid w:val="00B8314F"/>
    <w:rsid w:val="00B83B21"/>
    <w:rsid w:val="00B83BD4"/>
    <w:rsid w:val="00B84202"/>
    <w:rsid w:val="00B85747"/>
    <w:rsid w:val="00B859AA"/>
    <w:rsid w:val="00B866F8"/>
    <w:rsid w:val="00B867C9"/>
    <w:rsid w:val="00B87BEF"/>
    <w:rsid w:val="00B91428"/>
    <w:rsid w:val="00B926C0"/>
    <w:rsid w:val="00B92A30"/>
    <w:rsid w:val="00B9313C"/>
    <w:rsid w:val="00B941D0"/>
    <w:rsid w:val="00B94548"/>
    <w:rsid w:val="00B94987"/>
    <w:rsid w:val="00B9593E"/>
    <w:rsid w:val="00B95DD6"/>
    <w:rsid w:val="00B96531"/>
    <w:rsid w:val="00B965CE"/>
    <w:rsid w:val="00B97A7A"/>
    <w:rsid w:val="00BA0282"/>
    <w:rsid w:val="00BA0D6D"/>
    <w:rsid w:val="00BA194C"/>
    <w:rsid w:val="00BA1B01"/>
    <w:rsid w:val="00BA2231"/>
    <w:rsid w:val="00BA4073"/>
    <w:rsid w:val="00BA482C"/>
    <w:rsid w:val="00BA533A"/>
    <w:rsid w:val="00BA53F1"/>
    <w:rsid w:val="00BB079C"/>
    <w:rsid w:val="00BB2585"/>
    <w:rsid w:val="00BB2F80"/>
    <w:rsid w:val="00BB3060"/>
    <w:rsid w:val="00BB3A94"/>
    <w:rsid w:val="00BB4383"/>
    <w:rsid w:val="00BB47F1"/>
    <w:rsid w:val="00BB4863"/>
    <w:rsid w:val="00BB4E4A"/>
    <w:rsid w:val="00BB598B"/>
    <w:rsid w:val="00BB5D78"/>
    <w:rsid w:val="00BB6CFD"/>
    <w:rsid w:val="00BB7494"/>
    <w:rsid w:val="00BC028A"/>
    <w:rsid w:val="00BC1412"/>
    <w:rsid w:val="00BC2725"/>
    <w:rsid w:val="00BC35BF"/>
    <w:rsid w:val="00BC5F1A"/>
    <w:rsid w:val="00BC60BE"/>
    <w:rsid w:val="00BC686C"/>
    <w:rsid w:val="00BC6923"/>
    <w:rsid w:val="00BC74D2"/>
    <w:rsid w:val="00BC7E2F"/>
    <w:rsid w:val="00BD06DB"/>
    <w:rsid w:val="00BD1474"/>
    <w:rsid w:val="00BD184A"/>
    <w:rsid w:val="00BD1D8C"/>
    <w:rsid w:val="00BD30AD"/>
    <w:rsid w:val="00BD3887"/>
    <w:rsid w:val="00BD3F7E"/>
    <w:rsid w:val="00BD56A6"/>
    <w:rsid w:val="00BD5F53"/>
    <w:rsid w:val="00BD6BFC"/>
    <w:rsid w:val="00BD6DC8"/>
    <w:rsid w:val="00BD74C3"/>
    <w:rsid w:val="00BD75E1"/>
    <w:rsid w:val="00BE107A"/>
    <w:rsid w:val="00BE17C7"/>
    <w:rsid w:val="00BE1EFB"/>
    <w:rsid w:val="00BE3A84"/>
    <w:rsid w:val="00BE451C"/>
    <w:rsid w:val="00BE48DB"/>
    <w:rsid w:val="00BE680F"/>
    <w:rsid w:val="00BF23FF"/>
    <w:rsid w:val="00BF4B26"/>
    <w:rsid w:val="00BF5037"/>
    <w:rsid w:val="00BF6135"/>
    <w:rsid w:val="00BF77B8"/>
    <w:rsid w:val="00C0047F"/>
    <w:rsid w:val="00C02164"/>
    <w:rsid w:val="00C05486"/>
    <w:rsid w:val="00C0550F"/>
    <w:rsid w:val="00C05B0E"/>
    <w:rsid w:val="00C06C00"/>
    <w:rsid w:val="00C103DF"/>
    <w:rsid w:val="00C10CDD"/>
    <w:rsid w:val="00C11E38"/>
    <w:rsid w:val="00C129E3"/>
    <w:rsid w:val="00C1362B"/>
    <w:rsid w:val="00C20A31"/>
    <w:rsid w:val="00C221FE"/>
    <w:rsid w:val="00C22962"/>
    <w:rsid w:val="00C23EAB"/>
    <w:rsid w:val="00C252F4"/>
    <w:rsid w:val="00C25B42"/>
    <w:rsid w:val="00C25FE1"/>
    <w:rsid w:val="00C261A9"/>
    <w:rsid w:val="00C27076"/>
    <w:rsid w:val="00C27621"/>
    <w:rsid w:val="00C27F1B"/>
    <w:rsid w:val="00C31FC9"/>
    <w:rsid w:val="00C32A85"/>
    <w:rsid w:val="00C359FE"/>
    <w:rsid w:val="00C36DCC"/>
    <w:rsid w:val="00C401CE"/>
    <w:rsid w:val="00C40E5F"/>
    <w:rsid w:val="00C4186E"/>
    <w:rsid w:val="00C41997"/>
    <w:rsid w:val="00C443F8"/>
    <w:rsid w:val="00C457B7"/>
    <w:rsid w:val="00C45ACF"/>
    <w:rsid w:val="00C46229"/>
    <w:rsid w:val="00C46939"/>
    <w:rsid w:val="00C46F15"/>
    <w:rsid w:val="00C47238"/>
    <w:rsid w:val="00C47D4D"/>
    <w:rsid w:val="00C523E3"/>
    <w:rsid w:val="00C53729"/>
    <w:rsid w:val="00C5479C"/>
    <w:rsid w:val="00C54F07"/>
    <w:rsid w:val="00C56276"/>
    <w:rsid w:val="00C563C8"/>
    <w:rsid w:val="00C56DF4"/>
    <w:rsid w:val="00C5734D"/>
    <w:rsid w:val="00C60060"/>
    <w:rsid w:val="00C60923"/>
    <w:rsid w:val="00C60F92"/>
    <w:rsid w:val="00C613AD"/>
    <w:rsid w:val="00C61CEF"/>
    <w:rsid w:val="00C62096"/>
    <w:rsid w:val="00C62A62"/>
    <w:rsid w:val="00C62ABF"/>
    <w:rsid w:val="00C636F6"/>
    <w:rsid w:val="00C637C8"/>
    <w:rsid w:val="00C6415D"/>
    <w:rsid w:val="00C64773"/>
    <w:rsid w:val="00C64DBF"/>
    <w:rsid w:val="00C655AC"/>
    <w:rsid w:val="00C6601C"/>
    <w:rsid w:val="00C662E6"/>
    <w:rsid w:val="00C67508"/>
    <w:rsid w:val="00C678A0"/>
    <w:rsid w:val="00C67BF6"/>
    <w:rsid w:val="00C704B6"/>
    <w:rsid w:val="00C7060B"/>
    <w:rsid w:val="00C70F67"/>
    <w:rsid w:val="00C7119E"/>
    <w:rsid w:val="00C71662"/>
    <w:rsid w:val="00C7295B"/>
    <w:rsid w:val="00C736CC"/>
    <w:rsid w:val="00C73BDF"/>
    <w:rsid w:val="00C741DB"/>
    <w:rsid w:val="00C7443E"/>
    <w:rsid w:val="00C77F34"/>
    <w:rsid w:val="00C81408"/>
    <w:rsid w:val="00C8198B"/>
    <w:rsid w:val="00C82699"/>
    <w:rsid w:val="00C82FA9"/>
    <w:rsid w:val="00C841CE"/>
    <w:rsid w:val="00C8450A"/>
    <w:rsid w:val="00C84C6D"/>
    <w:rsid w:val="00C85F49"/>
    <w:rsid w:val="00C86853"/>
    <w:rsid w:val="00C877D1"/>
    <w:rsid w:val="00C92CAE"/>
    <w:rsid w:val="00C9309D"/>
    <w:rsid w:val="00C93300"/>
    <w:rsid w:val="00C94783"/>
    <w:rsid w:val="00C94935"/>
    <w:rsid w:val="00C94F9B"/>
    <w:rsid w:val="00C95E60"/>
    <w:rsid w:val="00C960B9"/>
    <w:rsid w:val="00C970FF"/>
    <w:rsid w:val="00C97271"/>
    <w:rsid w:val="00C9777B"/>
    <w:rsid w:val="00CA0CF8"/>
    <w:rsid w:val="00CA13AB"/>
    <w:rsid w:val="00CA1C80"/>
    <w:rsid w:val="00CA32C4"/>
    <w:rsid w:val="00CA59E3"/>
    <w:rsid w:val="00CA796A"/>
    <w:rsid w:val="00CB1A48"/>
    <w:rsid w:val="00CB244C"/>
    <w:rsid w:val="00CB33F9"/>
    <w:rsid w:val="00CB3DEB"/>
    <w:rsid w:val="00CB41A4"/>
    <w:rsid w:val="00CB48F3"/>
    <w:rsid w:val="00CB4DFA"/>
    <w:rsid w:val="00CB4F9F"/>
    <w:rsid w:val="00CB5404"/>
    <w:rsid w:val="00CB5501"/>
    <w:rsid w:val="00CB7BFB"/>
    <w:rsid w:val="00CC0078"/>
    <w:rsid w:val="00CC07AD"/>
    <w:rsid w:val="00CC446F"/>
    <w:rsid w:val="00CC4CC5"/>
    <w:rsid w:val="00CC619E"/>
    <w:rsid w:val="00CC694F"/>
    <w:rsid w:val="00CC7334"/>
    <w:rsid w:val="00CC7825"/>
    <w:rsid w:val="00CC78C9"/>
    <w:rsid w:val="00CD0A3F"/>
    <w:rsid w:val="00CD1A1D"/>
    <w:rsid w:val="00CD1B02"/>
    <w:rsid w:val="00CD21BC"/>
    <w:rsid w:val="00CD28E6"/>
    <w:rsid w:val="00CD292A"/>
    <w:rsid w:val="00CD3147"/>
    <w:rsid w:val="00CD333E"/>
    <w:rsid w:val="00CD3A28"/>
    <w:rsid w:val="00CD3C31"/>
    <w:rsid w:val="00CD3E39"/>
    <w:rsid w:val="00CD4A90"/>
    <w:rsid w:val="00CD60BE"/>
    <w:rsid w:val="00CD6150"/>
    <w:rsid w:val="00CE090B"/>
    <w:rsid w:val="00CE119B"/>
    <w:rsid w:val="00CE1902"/>
    <w:rsid w:val="00CE225E"/>
    <w:rsid w:val="00CE2FE8"/>
    <w:rsid w:val="00CE4221"/>
    <w:rsid w:val="00CE5305"/>
    <w:rsid w:val="00CE5597"/>
    <w:rsid w:val="00CE6AAB"/>
    <w:rsid w:val="00CE6FC1"/>
    <w:rsid w:val="00CF07C8"/>
    <w:rsid w:val="00CF089A"/>
    <w:rsid w:val="00CF1673"/>
    <w:rsid w:val="00CF1F97"/>
    <w:rsid w:val="00CF2826"/>
    <w:rsid w:val="00CF32FD"/>
    <w:rsid w:val="00CF3729"/>
    <w:rsid w:val="00CF5C31"/>
    <w:rsid w:val="00CF75A0"/>
    <w:rsid w:val="00CF7698"/>
    <w:rsid w:val="00D00351"/>
    <w:rsid w:val="00D00B48"/>
    <w:rsid w:val="00D00C8F"/>
    <w:rsid w:val="00D00EA5"/>
    <w:rsid w:val="00D00FE5"/>
    <w:rsid w:val="00D018E1"/>
    <w:rsid w:val="00D01954"/>
    <w:rsid w:val="00D020EE"/>
    <w:rsid w:val="00D03527"/>
    <w:rsid w:val="00D0363B"/>
    <w:rsid w:val="00D03A2C"/>
    <w:rsid w:val="00D03B97"/>
    <w:rsid w:val="00D03E7F"/>
    <w:rsid w:val="00D0410A"/>
    <w:rsid w:val="00D04200"/>
    <w:rsid w:val="00D04B9F"/>
    <w:rsid w:val="00D05476"/>
    <w:rsid w:val="00D05B46"/>
    <w:rsid w:val="00D07222"/>
    <w:rsid w:val="00D07F5A"/>
    <w:rsid w:val="00D10399"/>
    <w:rsid w:val="00D10D26"/>
    <w:rsid w:val="00D11F33"/>
    <w:rsid w:val="00D12814"/>
    <w:rsid w:val="00D12BE1"/>
    <w:rsid w:val="00D15F8F"/>
    <w:rsid w:val="00D16851"/>
    <w:rsid w:val="00D17DE1"/>
    <w:rsid w:val="00D24009"/>
    <w:rsid w:val="00D27D40"/>
    <w:rsid w:val="00D32B67"/>
    <w:rsid w:val="00D32BA1"/>
    <w:rsid w:val="00D33CCD"/>
    <w:rsid w:val="00D34A34"/>
    <w:rsid w:val="00D350D8"/>
    <w:rsid w:val="00D3562D"/>
    <w:rsid w:val="00D356E1"/>
    <w:rsid w:val="00D35CB3"/>
    <w:rsid w:val="00D35F66"/>
    <w:rsid w:val="00D36207"/>
    <w:rsid w:val="00D363A5"/>
    <w:rsid w:val="00D4009F"/>
    <w:rsid w:val="00D4058B"/>
    <w:rsid w:val="00D41A8F"/>
    <w:rsid w:val="00D41EA9"/>
    <w:rsid w:val="00D422F3"/>
    <w:rsid w:val="00D42A8F"/>
    <w:rsid w:val="00D42D10"/>
    <w:rsid w:val="00D42F1D"/>
    <w:rsid w:val="00D437D1"/>
    <w:rsid w:val="00D45BAD"/>
    <w:rsid w:val="00D472D0"/>
    <w:rsid w:val="00D47F17"/>
    <w:rsid w:val="00D51E3E"/>
    <w:rsid w:val="00D5232E"/>
    <w:rsid w:val="00D52931"/>
    <w:rsid w:val="00D54211"/>
    <w:rsid w:val="00D543E1"/>
    <w:rsid w:val="00D55730"/>
    <w:rsid w:val="00D5615C"/>
    <w:rsid w:val="00D5784D"/>
    <w:rsid w:val="00D578A8"/>
    <w:rsid w:val="00D602AD"/>
    <w:rsid w:val="00D60E5A"/>
    <w:rsid w:val="00D60E66"/>
    <w:rsid w:val="00D61EFD"/>
    <w:rsid w:val="00D634FF"/>
    <w:rsid w:val="00D63666"/>
    <w:rsid w:val="00D63CB8"/>
    <w:rsid w:val="00D64D24"/>
    <w:rsid w:val="00D65224"/>
    <w:rsid w:val="00D702B4"/>
    <w:rsid w:val="00D70390"/>
    <w:rsid w:val="00D7043C"/>
    <w:rsid w:val="00D7219F"/>
    <w:rsid w:val="00D72E7B"/>
    <w:rsid w:val="00D738D5"/>
    <w:rsid w:val="00D75E1D"/>
    <w:rsid w:val="00D76D22"/>
    <w:rsid w:val="00D800DB"/>
    <w:rsid w:val="00D809A3"/>
    <w:rsid w:val="00D813E6"/>
    <w:rsid w:val="00D822BA"/>
    <w:rsid w:val="00D82450"/>
    <w:rsid w:val="00D8261F"/>
    <w:rsid w:val="00D83DF1"/>
    <w:rsid w:val="00D84D99"/>
    <w:rsid w:val="00D85B31"/>
    <w:rsid w:val="00D879DC"/>
    <w:rsid w:val="00D919E7"/>
    <w:rsid w:val="00D91A56"/>
    <w:rsid w:val="00D91FFD"/>
    <w:rsid w:val="00D922D0"/>
    <w:rsid w:val="00D92FB7"/>
    <w:rsid w:val="00D9459C"/>
    <w:rsid w:val="00D96B3F"/>
    <w:rsid w:val="00D9796C"/>
    <w:rsid w:val="00D97B0A"/>
    <w:rsid w:val="00D97E2F"/>
    <w:rsid w:val="00DA03B5"/>
    <w:rsid w:val="00DA0BBB"/>
    <w:rsid w:val="00DA4500"/>
    <w:rsid w:val="00DA5D38"/>
    <w:rsid w:val="00DA5DF3"/>
    <w:rsid w:val="00DA711D"/>
    <w:rsid w:val="00DA72A0"/>
    <w:rsid w:val="00DB0598"/>
    <w:rsid w:val="00DB0985"/>
    <w:rsid w:val="00DB1575"/>
    <w:rsid w:val="00DB1B32"/>
    <w:rsid w:val="00DB2914"/>
    <w:rsid w:val="00DB311D"/>
    <w:rsid w:val="00DB365C"/>
    <w:rsid w:val="00DB3A0B"/>
    <w:rsid w:val="00DB4C39"/>
    <w:rsid w:val="00DB588C"/>
    <w:rsid w:val="00DB5BF1"/>
    <w:rsid w:val="00DB7D01"/>
    <w:rsid w:val="00DC05E5"/>
    <w:rsid w:val="00DC0802"/>
    <w:rsid w:val="00DC0E06"/>
    <w:rsid w:val="00DC2AE8"/>
    <w:rsid w:val="00DC30AD"/>
    <w:rsid w:val="00DC361A"/>
    <w:rsid w:val="00DC3E1F"/>
    <w:rsid w:val="00DC4007"/>
    <w:rsid w:val="00DC4ECE"/>
    <w:rsid w:val="00DC7014"/>
    <w:rsid w:val="00DC7986"/>
    <w:rsid w:val="00DD044C"/>
    <w:rsid w:val="00DD1459"/>
    <w:rsid w:val="00DD1512"/>
    <w:rsid w:val="00DD1BEF"/>
    <w:rsid w:val="00DD2112"/>
    <w:rsid w:val="00DD3FA3"/>
    <w:rsid w:val="00DD5D7A"/>
    <w:rsid w:val="00DD5D9E"/>
    <w:rsid w:val="00DD6780"/>
    <w:rsid w:val="00DD6F51"/>
    <w:rsid w:val="00DD7C47"/>
    <w:rsid w:val="00DE11FB"/>
    <w:rsid w:val="00DE3144"/>
    <w:rsid w:val="00DE4986"/>
    <w:rsid w:val="00DE5AFC"/>
    <w:rsid w:val="00DE6567"/>
    <w:rsid w:val="00DE67B1"/>
    <w:rsid w:val="00DE6FDF"/>
    <w:rsid w:val="00DE7DFB"/>
    <w:rsid w:val="00DF0602"/>
    <w:rsid w:val="00DF0D13"/>
    <w:rsid w:val="00DF11DD"/>
    <w:rsid w:val="00DF1D70"/>
    <w:rsid w:val="00DF278A"/>
    <w:rsid w:val="00DF289B"/>
    <w:rsid w:val="00DF3443"/>
    <w:rsid w:val="00DF3966"/>
    <w:rsid w:val="00DF42E7"/>
    <w:rsid w:val="00DF48B1"/>
    <w:rsid w:val="00DF753F"/>
    <w:rsid w:val="00DF7F4C"/>
    <w:rsid w:val="00E034BA"/>
    <w:rsid w:val="00E03912"/>
    <w:rsid w:val="00E03FCF"/>
    <w:rsid w:val="00E06598"/>
    <w:rsid w:val="00E07664"/>
    <w:rsid w:val="00E108F8"/>
    <w:rsid w:val="00E1178C"/>
    <w:rsid w:val="00E11E9B"/>
    <w:rsid w:val="00E12198"/>
    <w:rsid w:val="00E13228"/>
    <w:rsid w:val="00E145A8"/>
    <w:rsid w:val="00E145D9"/>
    <w:rsid w:val="00E1483F"/>
    <w:rsid w:val="00E161DE"/>
    <w:rsid w:val="00E164B9"/>
    <w:rsid w:val="00E16C82"/>
    <w:rsid w:val="00E23087"/>
    <w:rsid w:val="00E230FE"/>
    <w:rsid w:val="00E23108"/>
    <w:rsid w:val="00E237B6"/>
    <w:rsid w:val="00E249A6"/>
    <w:rsid w:val="00E24F71"/>
    <w:rsid w:val="00E25BB0"/>
    <w:rsid w:val="00E25BC8"/>
    <w:rsid w:val="00E25DCA"/>
    <w:rsid w:val="00E26326"/>
    <w:rsid w:val="00E2672D"/>
    <w:rsid w:val="00E2791C"/>
    <w:rsid w:val="00E32A75"/>
    <w:rsid w:val="00E32F99"/>
    <w:rsid w:val="00E337CE"/>
    <w:rsid w:val="00E35EDD"/>
    <w:rsid w:val="00E362F8"/>
    <w:rsid w:val="00E3762C"/>
    <w:rsid w:val="00E377E9"/>
    <w:rsid w:val="00E40188"/>
    <w:rsid w:val="00E40913"/>
    <w:rsid w:val="00E40D2E"/>
    <w:rsid w:val="00E415B3"/>
    <w:rsid w:val="00E42D16"/>
    <w:rsid w:val="00E44199"/>
    <w:rsid w:val="00E46767"/>
    <w:rsid w:val="00E47931"/>
    <w:rsid w:val="00E500D0"/>
    <w:rsid w:val="00E52786"/>
    <w:rsid w:val="00E54CED"/>
    <w:rsid w:val="00E556C2"/>
    <w:rsid w:val="00E55F6C"/>
    <w:rsid w:val="00E5685F"/>
    <w:rsid w:val="00E56865"/>
    <w:rsid w:val="00E578D1"/>
    <w:rsid w:val="00E57B1E"/>
    <w:rsid w:val="00E615CD"/>
    <w:rsid w:val="00E61814"/>
    <w:rsid w:val="00E61833"/>
    <w:rsid w:val="00E622A0"/>
    <w:rsid w:val="00E642DC"/>
    <w:rsid w:val="00E647CF"/>
    <w:rsid w:val="00E6482E"/>
    <w:rsid w:val="00E64C26"/>
    <w:rsid w:val="00E64D4D"/>
    <w:rsid w:val="00E64E20"/>
    <w:rsid w:val="00E66A7A"/>
    <w:rsid w:val="00E66BE6"/>
    <w:rsid w:val="00E67801"/>
    <w:rsid w:val="00E67D70"/>
    <w:rsid w:val="00E70329"/>
    <w:rsid w:val="00E7131E"/>
    <w:rsid w:val="00E71732"/>
    <w:rsid w:val="00E71D8A"/>
    <w:rsid w:val="00E71E27"/>
    <w:rsid w:val="00E73599"/>
    <w:rsid w:val="00E73B85"/>
    <w:rsid w:val="00E73DEE"/>
    <w:rsid w:val="00E73E55"/>
    <w:rsid w:val="00E73F9C"/>
    <w:rsid w:val="00E740A6"/>
    <w:rsid w:val="00E751CE"/>
    <w:rsid w:val="00E753E7"/>
    <w:rsid w:val="00E755BA"/>
    <w:rsid w:val="00E75FB0"/>
    <w:rsid w:val="00E800A2"/>
    <w:rsid w:val="00E80ABF"/>
    <w:rsid w:val="00E80BE0"/>
    <w:rsid w:val="00E80C71"/>
    <w:rsid w:val="00E817F3"/>
    <w:rsid w:val="00E827E7"/>
    <w:rsid w:val="00E82BF6"/>
    <w:rsid w:val="00E839EB"/>
    <w:rsid w:val="00E83FF3"/>
    <w:rsid w:val="00E84D2B"/>
    <w:rsid w:val="00E85A47"/>
    <w:rsid w:val="00E85BDE"/>
    <w:rsid w:val="00E91D2A"/>
    <w:rsid w:val="00E9271F"/>
    <w:rsid w:val="00E9292B"/>
    <w:rsid w:val="00E93AAD"/>
    <w:rsid w:val="00E95ED9"/>
    <w:rsid w:val="00E96BDA"/>
    <w:rsid w:val="00EA0C62"/>
    <w:rsid w:val="00EA156E"/>
    <w:rsid w:val="00EA360D"/>
    <w:rsid w:val="00EA4F64"/>
    <w:rsid w:val="00EA5646"/>
    <w:rsid w:val="00EB0913"/>
    <w:rsid w:val="00EB26F1"/>
    <w:rsid w:val="00EB2C0A"/>
    <w:rsid w:val="00EB42FE"/>
    <w:rsid w:val="00EC0667"/>
    <w:rsid w:val="00EC0BA5"/>
    <w:rsid w:val="00EC1453"/>
    <w:rsid w:val="00EC15B7"/>
    <w:rsid w:val="00EC571E"/>
    <w:rsid w:val="00EC6DA4"/>
    <w:rsid w:val="00EC7196"/>
    <w:rsid w:val="00ED0B4E"/>
    <w:rsid w:val="00ED147E"/>
    <w:rsid w:val="00ED2962"/>
    <w:rsid w:val="00ED2DEF"/>
    <w:rsid w:val="00ED36B9"/>
    <w:rsid w:val="00ED3E68"/>
    <w:rsid w:val="00ED4B60"/>
    <w:rsid w:val="00ED61A8"/>
    <w:rsid w:val="00ED7B21"/>
    <w:rsid w:val="00EE085F"/>
    <w:rsid w:val="00EE151F"/>
    <w:rsid w:val="00EE2524"/>
    <w:rsid w:val="00EE562A"/>
    <w:rsid w:val="00EE5F36"/>
    <w:rsid w:val="00EE6FB6"/>
    <w:rsid w:val="00EE7A18"/>
    <w:rsid w:val="00EF038B"/>
    <w:rsid w:val="00EF0778"/>
    <w:rsid w:val="00EF126D"/>
    <w:rsid w:val="00EF1D33"/>
    <w:rsid w:val="00EF4545"/>
    <w:rsid w:val="00EF5B13"/>
    <w:rsid w:val="00EF66EF"/>
    <w:rsid w:val="00EF7CCD"/>
    <w:rsid w:val="00F004DD"/>
    <w:rsid w:val="00F0064F"/>
    <w:rsid w:val="00F025E5"/>
    <w:rsid w:val="00F05329"/>
    <w:rsid w:val="00F06200"/>
    <w:rsid w:val="00F0706D"/>
    <w:rsid w:val="00F11432"/>
    <w:rsid w:val="00F11FF4"/>
    <w:rsid w:val="00F15E59"/>
    <w:rsid w:val="00F16FAC"/>
    <w:rsid w:val="00F17C9C"/>
    <w:rsid w:val="00F20886"/>
    <w:rsid w:val="00F219C2"/>
    <w:rsid w:val="00F22381"/>
    <w:rsid w:val="00F22920"/>
    <w:rsid w:val="00F26573"/>
    <w:rsid w:val="00F33435"/>
    <w:rsid w:val="00F358D1"/>
    <w:rsid w:val="00F365D3"/>
    <w:rsid w:val="00F376AB"/>
    <w:rsid w:val="00F41382"/>
    <w:rsid w:val="00F42C70"/>
    <w:rsid w:val="00F45ED2"/>
    <w:rsid w:val="00F46F18"/>
    <w:rsid w:val="00F46FCF"/>
    <w:rsid w:val="00F47907"/>
    <w:rsid w:val="00F513DD"/>
    <w:rsid w:val="00F515A8"/>
    <w:rsid w:val="00F53627"/>
    <w:rsid w:val="00F54314"/>
    <w:rsid w:val="00F54C30"/>
    <w:rsid w:val="00F55F2B"/>
    <w:rsid w:val="00F566CF"/>
    <w:rsid w:val="00F61E90"/>
    <w:rsid w:val="00F635E6"/>
    <w:rsid w:val="00F63EB6"/>
    <w:rsid w:val="00F661DA"/>
    <w:rsid w:val="00F66A5E"/>
    <w:rsid w:val="00F703AB"/>
    <w:rsid w:val="00F70D86"/>
    <w:rsid w:val="00F70FF4"/>
    <w:rsid w:val="00F71D5E"/>
    <w:rsid w:val="00F7301C"/>
    <w:rsid w:val="00F74781"/>
    <w:rsid w:val="00F76131"/>
    <w:rsid w:val="00F762FD"/>
    <w:rsid w:val="00F77536"/>
    <w:rsid w:val="00F775BA"/>
    <w:rsid w:val="00F77A87"/>
    <w:rsid w:val="00F81213"/>
    <w:rsid w:val="00F82C24"/>
    <w:rsid w:val="00F83CE1"/>
    <w:rsid w:val="00F8402F"/>
    <w:rsid w:val="00F8470A"/>
    <w:rsid w:val="00F848C6"/>
    <w:rsid w:val="00F84914"/>
    <w:rsid w:val="00F84B69"/>
    <w:rsid w:val="00F84D9B"/>
    <w:rsid w:val="00F877E8"/>
    <w:rsid w:val="00F93D11"/>
    <w:rsid w:val="00F946DC"/>
    <w:rsid w:val="00F9560D"/>
    <w:rsid w:val="00F9563F"/>
    <w:rsid w:val="00F96410"/>
    <w:rsid w:val="00F964A5"/>
    <w:rsid w:val="00F970E0"/>
    <w:rsid w:val="00F9748D"/>
    <w:rsid w:val="00FA0009"/>
    <w:rsid w:val="00FA0E42"/>
    <w:rsid w:val="00FA1B55"/>
    <w:rsid w:val="00FA239E"/>
    <w:rsid w:val="00FA245E"/>
    <w:rsid w:val="00FA2A06"/>
    <w:rsid w:val="00FA2D2F"/>
    <w:rsid w:val="00FA4205"/>
    <w:rsid w:val="00FA4422"/>
    <w:rsid w:val="00FA4603"/>
    <w:rsid w:val="00FB0186"/>
    <w:rsid w:val="00FB0F32"/>
    <w:rsid w:val="00FB2DFD"/>
    <w:rsid w:val="00FB333E"/>
    <w:rsid w:val="00FB334C"/>
    <w:rsid w:val="00FB3A91"/>
    <w:rsid w:val="00FB5F0A"/>
    <w:rsid w:val="00FB62A2"/>
    <w:rsid w:val="00FB643C"/>
    <w:rsid w:val="00FB6859"/>
    <w:rsid w:val="00FC1B6A"/>
    <w:rsid w:val="00FC1D4D"/>
    <w:rsid w:val="00FC207B"/>
    <w:rsid w:val="00FC2764"/>
    <w:rsid w:val="00FC2CAD"/>
    <w:rsid w:val="00FC4B42"/>
    <w:rsid w:val="00FC72D6"/>
    <w:rsid w:val="00FC7519"/>
    <w:rsid w:val="00FC7B07"/>
    <w:rsid w:val="00FD0078"/>
    <w:rsid w:val="00FD2D33"/>
    <w:rsid w:val="00FD3FDD"/>
    <w:rsid w:val="00FD52B2"/>
    <w:rsid w:val="00FE2A12"/>
    <w:rsid w:val="00FE43A3"/>
    <w:rsid w:val="00FE4910"/>
    <w:rsid w:val="00FE4BBA"/>
    <w:rsid w:val="00FE4DE0"/>
    <w:rsid w:val="00FE558B"/>
    <w:rsid w:val="00FE5B13"/>
    <w:rsid w:val="00FE6916"/>
    <w:rsid w:val="00FE6C9C"/>
    <w:rsid w:val="00FF06C6"/>
    <w:rsid w:val="00FF1D17"/>
    <w:rsid w:val="00FF3758"/>
    <w:rsid w:val="00FF3BA9"/>
    <w:rsid w:val="00FF5D10"/>
    <w:rsid w:val="37F02DB6"/>
    <w:rsid w:val="37F410FA"/>
    <w:rsid w:val="4FB42ADD"/>
    <w:rsid w:val="576328AA"/>
    <w:rsid w:val="586F750C"/>
    <w:rsid w:val="58B95980"/>
    <w:rsid w:val="5D0F71F8"/>
    <w:rsid w:val="632B15BE"/>
    <w:rsid w:val="74576F3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unhideWhenUsed="0" w:uiPriority="0" w:semiHidden="0" w:name="heading 5"/>
    <w:lsdException w:unhideWhenUsed="0" w:uiPriority="0" w:semiHidden="0" w:name="heading 6"/>
    <w:lsdException w:unhideWhenUsed="0" w:uiPriority="0" w:semiHidden="0" w:name="heading 7"/>
    <w:lsdException w:unhideWhenUsed="0" w:uiPriority="0" w:semiHidden="0" w:name="heading 8"/>
    <w:lsdException w:unhideWhenUsed="0" w:uiPriority="0" w:semiHidden="0"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unhideWhenUsed="0" w:uiPriority="39" w:semiHidden="0" w:name="toc 3"/>
    <w:lsdException w:unhideWhenUsed="0" w:uiPriority="39" w:semiHidden="0" w:name="toc 4"/>
    <w:lsdException w:unhideWhenUsed="0" w:uiPriority="39" w:semiHidden="0" w:name="toc 5"/>
    <w:lsdException w:unhideWhenUsed="0" w:uiPriority="39" w:semiHidden="0" w:name="toc 6"/>
    <w:lsdException w:unhideWhenUsed="0" w:uiPriority="39" w:semiHidden="0" w:name="toc 7"/>
    <w:lsdException w:unhideWhenUsed="0" w:uiPriority="39" w:semiHidden="0" w:name="toc 8"/>
    <w:lsdException w:unhideWhenUsed="0" w:uiPriority="39" w:semiHidden="0" w:name="toc 9"/>
    <w:lsdException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nhideWhenUsed="0" w:uiPriority="35" w:semiHidden="0" w:name="caption"/>
    <w:lsdException w:qFormat="1" w:unhideWhenUsed="0" w:uiPriority="0" w:semiHidden="0" w:name="table of figures"/>
    <w:lsdException w:uiPriority="99" w:name="envelope address"/>
    <w:lsdException w:uiPriority="99" w:name="envelope return"/>
    <w:lsdException w:qFormat="1" w:unhideWhenUsed="0" w:uiPriority="0" w:semiHidden="0" w:name="footnote reference"/>
    <w:lsdException w:qFormat="1" w:unhideWhenUsed="0" w:uiPriority="99" w:semiHidden="0" w:name="annotation reference"/>
    <w:lsdException w:uiPriority="99"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iPriority="99" w:name="table of authorities"/>
    <w:lsdException w:uiPriority="99" w:name="macro"/>
    <w:lsdException w:uiPriority="99"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iPriority="99" w:semiHidden="0" w:name="List 3"/>
    <w:lsdException w:uiPriority="99" w:name="List 4"/>
    <w:lsdException w:uiPriority="99" w:name="List 5"/>
    <w:lsdException w:qFormat="1" w:unhideWhenUsed="0" w:uiPriority="0" w:semiHidden="0" w:name="List Bullet 2"/>
    <w:lsdException w:uiPriority="99" w:name="List Bullet 3"/>
    <w:lsdException w:uiPriority="99" w:name="List Bullet 4"/>
    <w:lsdException w:uiPriority="99" w:name="List Bullet 5"/>
    <w:lsdException w:unhideWhenUsed="0" w:uiPriority="0" w:semiHidden="0"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nhideWhenUsed="0" w:uiPriority="0" w:semiHidden="0" w:name="Body Text"/>
    <w:lsdException w:unhideWhenUsed="0" w:uiPriority="0" w:semiHidden="0" w:name="Body Text Indent"/>
    <w:lsdException w:uiPriority="99" w:name="List Continue"/>
    <w:lsdException w:qFormat="1" w:unhideWhenUsed="0" w:uiPriority="0" w:semiHidden="0"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nhideWhenUsed="0" w:uiPriority="0" w:semiHidden="0" w:name="Date"/>
    <w:lsdException w:unhideWhenUsed="0" w:uiPriority="0" w:semiHidden="0" w:name="Body Text First Indent"/>
    <w:lsdException w:unhideWhenUsed="0" w:uiPriority="0" w:semiHidden="0" w:name="Body Text First Indent 2"/>
    <w:lsdException w:uiPriority="99"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99"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unhideWhenUsed="0" w:uiPriority="0" w:semiHidden="0" w:name="Plain Text"/>
    <w:lsdException w:uiPriority="99" w:name="E-mail Signature"/>
    <w:lsdException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nhideWhenUsed="0" w:uiPriority="0" w:semiHidden="0" w:name="HTML Preformatted"/>
    <w:lsdException w:uiPriority="99" w:name="HTML Sample"/>
    <w:lsdException w:uiPriority="99" w:name="HTML Typewriter"/>
    <w:lsdException w:uiPriority="99" w:name="HTML Variable"/>
    <w:lsdException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99" w:semiHidden="0" w:name="Table Grid"/>
    <w:lsdException w:uiPriority="99" w:name="Table Theme"/>
    <w:lsdException w:qFormat="1" w:unhideWhenUsed="0" w:uiPriority="99"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spacing w:line="360" w:lineRule="auto"/>
      <w:ind w:firstLine="200" w:firstLineChars="200"/>
    </w:pPr>
    <w:rPr>
      <w:rFonts w:eastAsia="宋体" w:cs="宋体" w:asciiTheme="minorHAnsi" w:hAnsiTheme="minorHAnsi"/>
      <w:sz w:val="24"/>
      <w:szCs w:val="24"/>
      <w:lang w:val="en-US" w:eastAsia="zh-CN" w:bidi="ar-SA"/>
    </w:rPr>
  </w:style>
  <w:style w:type="paragraph" w:styleId="3">
    <w:name w:val="heading 1"/>
    <w:basedOn w:val="1"/>
    <w:next w:val="1"/>
    <w:link w:val="67"/>
    <w:qFormat/>
    <w:uiPriority w:val="0"/>
    <w:pPr>
      <w:keepNext/>
      <w:keepLines/>
      <w:numPr>
        <w:ilvl w:val="0"/>
        <w:numId w:val="1"/>
      </w:numPr>
      <w:tabs>
        <w:tab w:val="left" w:pos="0"/>
      </w:tabs>
      <w:ind w:firstLine="0" w:firstLineChars="0"/>
      <w:jc w:val="center"/>
      <w:outlineLvl w:val="0"/>
    </w:pPr>
    <w:rPr>
      <w:b/>
      <w:bCs/>
      <w:kern w:val="44"/>
      <w:sz w:val="32"/>
      <w:szCs w:val="44"/>
    </w:rPr>
  </w:style>
  <w:style w:type="paragraph" w:styleId="4">
    <w:name w:val="heading 2"/>
    <w:basedOn w:val="1"/>
    <w:next w:val="1"/>
    <w:link w:val="68"/>
    <w:qFormat/>
    <w:uiPriority w:val="0"/>
    <w:pPr>
      <w:keepNext/>
      <w:keepLines/>
      <w:numPr>
        <w:ilvl w:val="1"/>
        <w:numId w:val="1"/>
      </w:numPr>
      <w:tabs>
        <w:tab w:val="left" w:pos="0"/>
      </w:tabs>
      <w:ind w:left="0" w:firstLine="0" w:firstLineChars="0"/>
      <w:outlineLvl w:val="1"/>
    </w:pPr>
    <w:rPr>
      <w:rFonts w:eastAsiaTheme="minorEastAsia"/>
      <w:b/>
      <w:bCs/>
      <w:sz w:val="30"/>
      <w:szCs w:val="32"/>
    </w:rPr>
  </w:style>
  <w:style w:type="paragraph" w:styleId="5">
    <w:name w:val="heading 3"/>
    <w:basedOn w:val="1"/>
    <w:next w:val="1"/>
    <w:link w:val="69"/>
    <w:qFormat/>
    <w:uiPriority w:val="0"/>
    <w:pPr>
      <w:numPr>
        <w:ilvl w:val="2"/>
        <w:numId w:val="1"/>
      </w:numPr>
      <w:tabs>
        <w:tab w:val="left" w:pos="0"/>
      </w:tabs>
      <w:ind w:left="0" w:firstLine="0" w:firstLineChars="0"/>
      <w:outlineLvl w:val="2"/>
    </w:pPr>
    <w:rPr>
      <w:b/>
      <w:sz w:val="28"/>
      <w:szCs w:val="32"/>
    </w:rPr>
  </w:style>
  <w:style w:type="paragraph" w:styleId="6">
    <w:name w:val="heading 4"/>
    <w:basedOn w:val="1"/>
    <w:next w:val="1"/>
    <w:link w:val="70"/>
    <w:qFormat/>
    <w:uiPriority w:val="0"/>
    <w:pPr>
      <w:keepNext/>
      <w:keepLines/>
      <w:numPr>
        <w:ilvl w:val="3"/>
        <w:numId w:val="1"/>
      </w:numPr>
      <w:ind w:left="0" w:firstLine="0" w:firstLineChars="0"/>
      <w:outlineLvl w:val="3"/>
    </w:pPr>
    <w:rPr>
      <w:b/>
      <w:bCs/>
      <w:szCs w:val="28"/>
    </w:rPr>
  </w:style>
  <w:style w:type="paragraph" w:styleId="7">
    <w:name w:val="heading 5"/>
    <w:basedOn w:val="1"/>
    <w:next w:val="1"/>
    <w:link w:val="71"/>
    <w:uiPriority w:val="0"/>
    <w:pPr>
      <w:keepNext/>
      <w:keepLines/>
      <w:ind w:firstLine="0" w:firstLineChars="0"/>
      <w:outlineLvl w:val="4"/>
    </w:pPr>
    <w:rPr>
      <w:b/>
      <w:bCs/>
      <w:szCs w:val="28"/>
    </w:rPr>
  </w:style>
  <w:style w:type="paragraph" w:styleId="8">
    <w:name w:val="heading 6"/>
    <w:basedOn w:val="1"/>
    <w:next w:val="1"/>
    <w:link w:val="72"/>
    <w:uiPriority w:val="0"/>
    <w:pPr>
      <w:keepNext/>
      <w:keepLines/>
      <w:ind w:firstLine="0" w:firstLineChars="0"/>
      <w:jc w:val="center"/>
      <w:outlineLvl w:val="5"/>
    </w:pPr>
    <w:rPr>
      <w:b/>
      <w:bCs/>
      <w:sz w:val="21"/>
    </w:rPr>
  </w:style>
  <w:style w:type="paragraph" w:styleId="9">
    <w:name w:val="heading 7"/>
    <w:basedOn w:val="1"/>
    <w:next w:val="1"/>
    <w:link w:val="73"/>
    <w:uiPriority w:val="0"/>
    <w:pPr>
      <w:keepNext/>
      <w:keepLines/>
      <w:spacing w:line="240" w:lineRule="auto"/>
      <w:outlineLvl w:val="6"/>
    </w:pPr>
    <w:rPr>
      <w:bCs/>
      <w:sz w:val="20"/>
    </w:rPr>
  </w:style>
  <w:style w:type="paragraph" w:styleId="10">
    <w:name w:val="heading 8"/>
    <w:basedOn w:val="1"/>
    <w:next w:val="1"/>
    <w:link w:val="74"/>
    <w:uiPriority w:val="0"/>
    <w:pPr>
      <w:keepNext/>
      <w:keepLines/>
      <w:spacing w:before="240" w:after="64" w:line="317" w:lineRule="auto"/>
      <w:ind w:left="1418" w:hanging="1418"/>
      <w:outlineLvl w:val="7"/>
    </w:pPr>
    <w:rPr>
      <w:rFonts w:ascii="Cambria" w:hAnsi="Cambria"/>
    </w:rPr>
  </w:style>
  <w:style w:type="paragraph" w:styleId="11">
    <w:name w:val="heading 9"/>
    <w:basedOn w:val="1"/>
    <w:next w:val="1"/>
    <w:link w:val="75"/>
    <w:uiPriority w:val="0"/>
    <w:pPr>
      <w:keepNext/>
      <w:keepLines/>
      <w:spacing w:before="240" w:after="64" w:line="317" w:lineRule="auto"/>
      <w:ind w:left="1559" w:hanging="1559"/>
      <w:outlineLvl w:val="8"/>
    </w:pPr>
    <w:rPr>
      <w:rFonts w:ascii="Cambria" w:hAnsi="Cambria"/>
      <w:szCs w:val="21"/>
    </w:rPr>
  </w:style>
  <w:style w:type="character" w:default="1" w:styleId="58">
    <w:name w:val="Default Paragraph Font"/>
    <w:semiHidden/>
    <w:unhideWhenUsed/>
    <w:uiPriority w:val="1"/>
  </w:style>
  <w:style w:type="table" w:default="1" w:styleId="56">
    <w:name w:val="Normal Table"/>
    <w:semiHidden/>
    <w:unhideWhenUsed/>
    <w:uiPriority w:val="99"/>
    <w:tblPr>
      <w:tblLayout w:type="fixed"/>
      <w:tblCellMar>
        <w:top w:w="0" w:type="dxa"/>
        <w:left w:w="108" w:type="dxa"/>
        <w:bottom w:w="0" w:type="dxa"/>
        <w:right w:w="108" w:type="dxa"/>
      </w:tblCellMar>
    </w:tblPr>
  </w:style>
  <w:style w:type="paragraph" w:customStyle="1" w:styleId="2">
    <w:name w:val="Default"/>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12">
    <w:name w:val="List 3"/>
    <w:basedOn w:val="1"/>
    <w:unhideWhenUsed/>
    <w:qFormat/>
    <w:uiPriority w:val="99"/>
    <w:pPr>
      <w:ind w:left="1260" w:hanging="420"/>
    </w:pPr>
  </w:style>
  <w:style w:type="paragraph" w:styleId="13">
    <w:name w:val="toc 7"/>
    <w:basedOn w:val="1"/>
    <w:next w:val="1"/>
    <w:uiPriority w:val="39"/>
    <w:pPr>
      <w:ind w:left="1260"/>
    </w:pPr>
    <w:rPr>
      <w:sz w:val="18"/>
      <w:szCs w:val="18"/>
    </w:rPr>
  </w:style>
  <w:style w:type="paragraph" w:styleId="14">
    <w:name w:val="List Number 2"/>
    <w:basedOn w:val="1"/>
    <w:uiPriority w:val="0"/>
    <w:pPr>
      <w:tabs>
        <w:tab w:val="left" w:pos="780"/>
      </w:tabs>
      <w:spacing w:before="60" w:after="60"/>
      <w:ind w:left="780" w:hanging="360"/>
    </w:pPr>
    <w:rPr>
      <w:szCs w:val="20"/>
    </w:rPr>
  </w:style>
  <w:style w:type="paragraph" w:styleId="15">
    <w:name w:val="List Number"/>
    <w:basedOn w:val="16"/>
    <w:qFormat/>
    <w:uiPriority w:val="0"/>
    <w:pPr>
      <w:tabs>
        <w:tab w:val="left" w:pos="0"/>
      </w:tabs>
      <w:ind w:left="0" w:firstLine="420"/>
    </w:pPr>
  </w:style>
  <w:style w:type="paragraph" w:styleId="16">
    <w:name w:val="List"/>
    <w:basedOn w:val="1"/>
    <w:qFormat/>
    <w:uiPriority w:val="0"/>
    <w:pPr>
      <w:overflowPunct w:val="0"/>
      <w:autoSpaceDE w:val="0"/>
      <w:autoSpaceDN w:val="0"/>
      <w:adjustRightInd w:val="0"/>
      <w:ind w:left="200" w:hanging="200" w:hangingChars="200"/>
    </w:pPr>
    <w:rPr>
      <w:sz w:val="20"/>
      <w:szCs w:val="20"/>
    </w:rPr>
  </w:style>
  <w:style w:type="paragraph" w:styleId="17">
    <w:name w:val="Normal Indent"/>
    <w:basedOn w:val="1"/>
    <w:next w:val="1"/>
    <w:link w:val="79"/>
    <w:uiPriority w:val="0"/>
    <w:pPr>
      <w:ind w:firstLine="567"/>
    </w:pPr>
    <w:rPr>
      <w:rFonts w:eastAsiaTheme="minorEastAsia" w:cstheme="minorBidi"/>
      <w:sz w:val="28"/>
    </w:rPr>
  </w:style>
  <w:style w:type="paragraph" w:styleId="18">
    <w:name w:val="caption"/>
    <w:basedOn w:val="8"/>
    <w:next w:val="1"/>
    <w:link w:val="80"/>
    <w:qFormat/>
    <w:uiPriority w:val="35"/>
    <w:pPr>
      <w:spacing w:line="240" w:lineRule="auto"/>
    </w:pPr>
    <w:rPr>
      <w:rFonts w:ascii="Cambria" w:hAnsi="Cambria" w:eastAsia="黑体" w:cstheme="minorBidi"/>
      <w:color w:val="000000" w:themeColor="text1"/>
      <w:sz w:val="24"/>
      <w14:textFill>
        <w14:solidFill>
          <w14:schemeClr w14:val="tx1"/>
        </w14:solidFill>
      </w14:textFill>
    </w:rPr>
  </w:style>
  <w:style w:type="paragraph" w:styleId="19">
    <w:name w:val="List Bullet"/>
    <w:basedOn w:val="1"/>
    <w:qFormat/>
    <w:uiPriority w:val="0"/>
    <w:pPr>
      <w:tabs>
        <w:tab w:val="left" w:pos="360"/>
        <w:tab w:val="left" w:pos="2520"/>
      </w:tabs>
      <w:ind w:left="480" w:hanging="480" w:hangingChars="200"/>
    </w:pPr>
    <w:rPr>
      <w:b/>
      <w:color w:val="000000"/>
      <w:szCs w:val="20"/>
    </w:rPr>
  </w:style>
  <w:style w:type="paragraph" w:styleId="20">
    <w:name w:val="Document Map"/>
    <w:basedOn w:val="1"/>
    <w:link w:val="81"/>
    <w:unhideWhenUsed/>
    <w:qFormat/>
    <w:uiPriority w:val="99"/>
    <w:rPr>
      <w:sz w:val="18"/>
      <w:szCs w:val="18"/>
    </w:rPr>
  </w:style>
  <w:style w:type="paragraph" w:styleId="21">
    <w:name w:val="annotation text"/>
    <w:basedOn w:val="1"/>
    <w:link w:val="76"/>
    <w:qFormat/>
    <w:uiPriority w:val="99"/>
    <w:rPr>
      <w:rFonts w:eastAsiaTheme="minorEastAsia" w:cstheme="minorBidi"/>
    </w:rPr>
  </w:style>
  <w:style w:type="paragraph" w:styleId="22">
    <w:name w:val="Body Text 3"/>
    <w:basedOn w:val="1"/>
    <w:link w:val="82"/>
    <w:uiPriority w:val="0"/>
    <w:rPr>
      <w:rFonts w:eastAsiaTheme="minorEastAsia" w:cstheme="minorBidi"/>
      <w:color w:val="FF0000"/>
    </w:rPr>
  </w:style>
  <w:style w:type="paragraph" w:styleId="23">
    <w:name w:val="Body Text"/>
    <w:basedOn w:val="1"/>
    <w:link w:val="83"/>
    <w:uiPriority w:val="0"/>
    <w:pPr>
      <w:spacing w:after="120"/>
    </w:pPr>
    <w:rPr>
      <w:rFonts w:eastAsiaTheme="minorEastAsia" w:cstheme="minorBidi"/>
    </w:rPr>
  </w:style>
  <w:style w:type="paragraph" w:styleId="24">
    <w:name w:val="Body Text Indent"/>
    <w:basedOn w:val="1"/>
    <w:link w:val="84"/>
    <w:uiPriority w:val="0"/>
    <w:pPr>
      <w:spacing w:after="120"/>
      <w:ind w:left="420" w:leftChars="200"/>
    </w:pPr>
    <w:rPr>
      <w:rFonts w:eastAsiaTheme="minorEastAsia" w:cstheme="minorBidi"/>
    </w:rPr>
  </w:style>
  <w:style w:type="paragraph" w:styleId="25">
    <w:name w:val="List 2"/>
    <w:basedOn w:val="1"/>
    <w:qFormat/>
    <w:uiPriority w:val="0"/>
    <w:pPr>
      <w:ind w:left="100" w:leftChars="200" w:hanging="200" w:hangingChars="200"/>
    </w:pPr>
    <w:rPr>
      <w:szCs w:val="20"/>
    </w:rPr>
  </w:style>
  <w:style w:type="paragraph" w:styleId="26">
    <w:name w:val="Block Text"/>
    <w:basedOn w:val="1"/>
    <w:qFormat/>
    <w:uiPriority w:val="0"/>
    <w:pPr>
      <w:ind w:left="471" w:leftChars="200" w:firstLine="706" w:firstLineChars="300"/>
    </w:pPr>
  </w:style>
  <w:style w:type="paragraph" w:styleId="27">
    <w:name w:val="List Bullet 2"/>
    <w:basedOn w:val="1"/>
    <w:qFormat/>
    <w:uiPriority w:val="0"/>
    <w:pPr>
      <w:tabs>
        <w:tab w:val="left" w:pos="780"/>
        <w:tab w:val="left" w:pos="1800"/>
      </w:tabs>
      <w:ind w:left="780" w:leftChars="200" w:hanging="1080"/>
    </w:pPr>
    <w:rPr>
      <w:color w:val="000000"/>
      <w:szCs w:val="20"/>
    </w:rPr>
  </w:style>
  <w:style w:type="paragraph" w:styleId="28">
    <w:name w:val="toc 5"/>
    <w:basedOn w:val="1"/>
    <w:next w:val="1"/>
    <w:uiPriority w:val="39"/>
    <w:pPr>
      <w:ind w:left="840"/>
    </w:pPr>
    <w:rPr>
      <w:sz w:val="18"/>
      <w:szCs w:val="18"/>
    </w:rPr>
  </w:style>
  <w:style w:type="paragraph" w:styleId="29">
    <w:name w:val="toc 3"/>
    <w:basedOn w:val="1"/>
    <w:next w:val="1"/>
    <w:uiPriority w:val="39"/>
    <w:pPr>
      <w:ind w:left="420"/>
    </w:pPr>
    <w:rPr>
      <w:i/>
      <w:iCs/>
      <w:sz w:val="20"/>
      <w:szCs w:val="20"/>
    </w:rPr>
  </w:style>
  <w:style w:type="paragraph" w:styleId="30">
    <w:name w:val="Plain Text"/>
    <w:basedOn w:val="1"/>
    <w:link w:val="85"/>
    <w:uiPriority w:val="0"/>
    <w:pPr>
      <w:spacing w:after="60"/>
    </w:pPr>
    <w:rPr>
      <w:rFonts w:eastAsiaTheme="minorEastAsia" w:cstheme="minorBidi"/>
    </w:rPr>
  </w:style>
  <w:style w:type="paragraph" w:styleId="31">
    <w:name w:val="toc 8"/>
    <w:basedOn w:val="1"/>
    <w:next w:val="1"/>
    <w:uiPriority w:val="39"/>
    <w:pPr>
      <w:ind w:left="1470"/>
    </w:pPr>
    <w:rPr>
      <w:sz w:val="18"/>
      <w:szCs w:val="18"/>
    </w:rPr>
  </w:style>
  <w:style w:type="paragraph" w:styleId="32">
    <w:name w:val="Date"/>
    <w:basedOn w:val="1"/>
    <w:next w:val="1"/>
    <w:link w:val="86"/>
    <w:uiPriority w:val="0"/>
    <w:pPr>
      <w:ind w:left="100" w:leftChars="2500"/>
    </w:pPr>
    <w:rPr>
      <w:rFonts w:eastAsiaTheme="minorEastAsia" w:cstheme="minorBidi"/>
    </w:rPr>
  </w:style>
  <w:style w:type="paragraph" w:styleId="33">
    <w:name w:val="Body Text Indent 2"/>
    <w:basedOn w:val="1"/>
    <w:link w:val="87"/>
    <w:uiPriority w:val="0"/>
    <w:pPr>
      <w:spacing w:after="120" w:line="480" w:lineRule="auto"/>
      <w:ind w:left="420" w:leftChars="200"/>
    </w:pPr>
    <w:rPr>
      <w:rFonts w:eastAsiaTheme="minorEastAsia" w:cstheme="minorBidi"/>
    </w:rPr>
  </w:style>
  <w:style w:type="paragraph" w:styleId="34">
    <w:name w:val="endnote text"/>
    <w:basedOn w:val="1"/>
    <w:link w:val="88"/>
    <w:qFormat/>
    <w:uiPriority w:val="0"/>
    <w:pPr>
      <w:snapToGrid w:val="0"/>
    </w:pPr>
    <w:rPr>
      <w:rFonts w:eastAsiaTheme="minorEastAsia" w:cstheme="minorBidi"/>
    </w:rPr>
  </w:style>
  <w:style w:type="paragraph" w:styleId="35">
    <w:name w:val="Balloon Text"/>
    <w:basedOn w:val="1"/>
    <w:link w:val="89"/>
    <w:qFormat/>
    <w:uiPriority w:val="0"/>
    <w:rPr>
      <w:rFonts w:eastAsiaTheme="minorEastAsia" w:cstheme="minorBidi"/>
      <w:sz w:val="18"/>
      <w:szCs w:val="18"/>
    </w:rPr>
  </w:style>
  <w:style w:type="paragraph" w:styleId="36">
    <w:name w:val="footer"/>
    <w:basedOn w:val="1"/>
    <w:link w:val="90"/>
    <w:qFormat/>
    <w:uiPriority w:val="99"/>
    <w:pPr>
      <w:tabs>
        <w:tab w:val="center" w:pos="4153"/>
        <w:tab w:val="right" w:pos="8306"/>
      </w:tabs>
      <w:snapToGrid w:val="0"/>
      <w:spacing w:line="240" w:lineRule="auto"/>
      <w:ind w:firstLine="0" w:firstLineChars="0"/>
      <w:jc w:val="center"/>
    </w:pPr>
    <w:rPr>
      <w:rFonts w:eastAsiaTheme="minorEastAsia" w:cstheme="minorBidi"/>
      <w:sz w:val="21"/>
      <w:szCs w:val="18"/>
    </w:rPr>
  </w:style>
  <w:style w:type="paragraph" w:styleId="37">
    <w:name w:val="header"/>
    <w:basedOn w:val="1"/>
    <w:link w:val="92"/>
    <w:qFormat/>
    <w:uiPriority w:val="99"/>
    <w:pPr>
      <w:pBdr>
        <w:bottom w:val="single" w:color="auto" w:sz="6" w:space="1"/>
      </w:pBdr>
      <w:tabs>
        <w:tab w:val="center" w:pos="4153"/>
        <w:tab w:val="right" w:pos="8306"/>
      </w:tabs>
      <w:snapToGrid w:val="0"/>
      <w:jc w:val="center"/>
    </w:pPr>
    <w:rPr>
      <w:rFonts w:eastAsiaTheme="minorEastAsia" w:cstheme="minorBidi"/>
      <w:sz w:val="18"/>
      <w:szCs w:val="18"/>
    </w:rPr>
  </w:style>
  <w:style w:type="paragraph" w:styleId="38">
    <w:name w:val="toc 1"/>
    <w:basedOn w:val="1"/>
    <w:next w:val="1"/>
    <w:qFormat/>
    <w:uiPriority w:val="39"/>
    <w:pPr>
      <w:spacing w:before="120" w:after="120"/>
      <w:ind w:firstLine="0" w:firstLineChars="0"/>
    </w:pPr>
    <w:rPr>
      <w:b/>
      <w:bCs/>
      <w:caps/>
      <w:szCs w:val="20"/>
    </w:rPr>
  </w:style>
  <w:style w:type="paragraph" w:styleId="39">
    <w:name w:val="toc 4"/>
    <w:basedOn w:val="1"/>
    <w:next w:val="1"/>
    <w:uiPriority w:val="39"/>
    <w:pPr>
      <w:ind w:left="630"/>
    </w:pPr>
    <w:rPr>
      <w:sz w:val="18"/>
      <w:szCs w:val="18"/>
    </w:rPr>
  </w:style>
  <w:style w:type="paragraph" w:styleId="40">
    <w:name w:val="Subtitle"/>
    <w:basedOn w:val="1"/>
    <w:next w:val="1"/>
    <w:link w:val="93"/>
    <w:qFormat/>
    <w:uiPriority w:val="0"/>
    <w:pPr>
      <w:spacing w:before="240" w:after="60" w:line="312" w:lineRule="auto"/>
      <w:jc w:val="center"/>
      <w:outlineLvl w:val="1"/>
    </w:pPr>
    <w:rPr>
      <w:rFonts w:ascii="Cambria" w:hAnsi="Cambria" w:eastAsiaTheme="minorEastAsia"/>
      <w:b/>
      <w:bCs/>
      <w:kern w:val="28"/>
      <w:sz w:val="32"/>
      <w:szCs w:val="32"/>
    </w:rPr>
  </w:style>
  <w:style w:type="paragraph" w:styleId="41">
    <w:name w:val="footnote text"/>
    <w:basedOn w:val="1"/>
    <w:link w:val="94"/>
    <w:qFormat/>
    <w:uiPriority w:val="0"/>
    <w:pPr>
      <w:snapToGrid w:val="0"/>
    </w:pPr>
    <w:rPr>
      <w:rFonts w:eastAsiaTheme="minorEastAsia" w:cstheme="minorBidi"/>
      <w:sz w:val="18"/>
    </w:rPr>
  </w:style>
  <w:style w:type="paragraph" w:styleId="42">
    <w:name w:val="toc 6"/>
    <w:basedOn w:val="1"/>
    <w:next w:val="1"/>
    <w:uiPriority w:val="39"/>
    <w:pPr>
      <w:ind w:left="1050"/>
    </w:pPr>
    <w:rPr>
      <w:sz w:val="18"/>
      <w:szCs w:val="18"/>
    </w:rPr>
  </w:style>
  <w:style w:type="paragraph" w:styleId="43">
    <w:name w:val="Body Text Indent 3"/>
    <w:basedOn w:val="1"/>
    <w:link w:val="95"/>
    <w:uiPriority w:val="0"/>
    <w:pPr>
      <w:spacing w:after="120"/>
      <w:ind w:left="420" w:leftChars="200"/>
    </w:pPr>
    <w:rPr>
      <w:rFonts w:eastAsiaTheme="minorEastAsia" w:cstheme="minorBidi"/>
      <w:sz w:val="16"/>
      <w:szCs w:val="16"/>
    </w:rPr>
  </w:style>
  <w:style w:type="paragraph" w:styleId="44">
    <w:name w:val="table of figures"/>
    <w:basedOn w:val="1"/>
    <w:next w:val="1"/>
    <w:qFormat/>
    <w:uiPriority w:val="0"/>
    <w:pPr>
      <w:ind w:left="900" w:leftChars="200" w:hanging="480" w:hangingChars="200"/>
    </w:pPr>
    <w:rPr>
      <w:szCs w:val="20"/>
    </w:rPr>
  </w:style>
  <w:style w:type="paragraph" w:styleId="45">
    <w:name w:val="toc 2"/>
    <w:basedOn w:val="1"/>
    <w:next w:val="1"/>
    <w:qFormat/>
    <w:uiPriority w:val="39"/>
    <w:pPr>
      <w:ind w:left="210"/>
    </w:pPr>
    <w:rPr>
      <w:smallCaps/>
      <w:szCs w:val="20"/>
    </w:rPr>
  </w:style>
  <w:style w:type="paragraph" w:styleId="46">
    <w:name w:val="toc 9"/>
    <w:basedOn w:val="1"/>
    <w:next w:val="1"/>
    <w:uiPriority w:val="39"/>
    <w:pPr>
      <w:ind w:left="1680"/>
    </w:pPr>
    <w:rPr>
      <w:sz w:val="18"/>
      <w:szCs w:val="18"/>
    </w:rPr>
  </w:style>
  <w:style w:type="paragraph" w:styleId="47">
    <w:name w:val="Body Text 2"/>
    <w:basedOn w:val="1"/>
    <w:link w:val="96"/>
    <w:uiPriority w:val="0"/>
    <w:pPr>
      <w:adjustRightInd w:val="0"/>
      <w:spacing w:after="163" w:line="460" w:lineRule="exact"/>
      <w:jc w:val="center"/>
    </w:pPr>
    <w:rPr>
      <w:rFonts w:ascii="楷体_GB2312" w:eastAsiaTheme="minorEastAsia" w:cstheme="minorBidi"/>
    </w:rPr>
  </w:style>
  <w:style w:type="paragraph" w:styleId="48">
    <w:name w:val="List Continue 2"/>
    <w:basedOn w:val="1"/>
    <w:qFormat/>
    <w:uiPriority w:val="0"/>
    <w:pPr>
      <w:spacing w:after="120"/>
      <w:ind w:left="840" w:leftChars="400"/>
    </w:pPr>
    <w:rPr>
      <w:szCs w:val="20"/>
    </w:rPr>
  </w:style>
  <w:style w:type="paragraph" w:styleId="49">
    <w:name w:val="HTML Preformatted"/>
    <w:basedOn w:val="1"/>
    <w:link w:val="97"/>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pPr>
    <w:rPr>
      <w:rFonts w:ascii="Arial" w:hAnsi="Arial" w:cs="Arial" w:eastAsiaTheme="minorEastAsia"/>
      <w:szCs w:val="21"/>
    </w:rPr>
  </w:style>
  <w:style w:type="paragraph" w:styleId="50">
    <w:name w:val="Normal (Web)"/>
    <w:basedOn w:val="1"/>
    <w:uiPriority w:val="99"/>
    <w:pPr>
      <w:spacing w:before="100" w:beforeAutospacing="1" w:after="100" w:afterAutospacing="1"/>
    </w:pPr>
    <w:rPr>
      <w:rFonts w:ascii="Arial Unicode MS" w:hAnsi="Arial Unicode MS" w:eastAsia="Arial Unicode MS"/>
      <w:color w:val="000000"/>
      <w:szCs w:val="20"/>
    </w:rPr>
  </w:style>
  <w:style w:type="paragraph" w:styleId="51">
    <w:name w:val="index 1"/>
    <w:basedOn w:val="1"/>
    <w:next w:val="1"/>
    <w:qFormat/>
    <w:uiPriority w:val="0"/>
    <w:pPr>
      <w:wordWrap w:val="0"/>
      <w:topLinePunct/>
      <w:adjustRightInd w:val="0"/>
      <w:snapToGrid w:val="0"/>
      <w:spacing w:before="40" w:after="40"/>
      <w:jc w:val="center"/>
    </w:pPr>
    <w:rPr>
      <w:snapToGrid w:val="0"/>
      <w:szCs w:val="20"/>
    </w:rPr>
  </w:style>
  <w:style w:type="paragraph" w:styleId="52">
    <w:name w:val="Title"/>
    <w:basedOn w:val="1"/>
    <w:next w:val="1"/>
    <w:link w:val="98"/>
    <w:qFormat/>
    <w:uiPriority w:val="10"/>
    <w:pPr>
      <w:ind w:firstLine="0" w:firstLineChars="0"/>
      <w:jc w:val="center"/>
      <w:outlineLvl w:val="1"/>
    </w:pPr>
    <w:rPr>
      <w:rFonts w:eastAsiaTheme="minorEastAsia" w:cstheme="minorBidi"/>
      <w:b/>
      <w:sz w:val="32"/>
    </w:rPr>
  </w:style>
  <w:style w:type="paragraph" w:styleId="53">
    <w:name w:val="annotation subject"/>
    <w:basedOn w:val="21"/>
    <w:next w:val="21"/>
    <w:link w:val="77"/>
    <w:qFormat/>
    <w:uiPriority w:val="0"/>
    <w:rPr>
      <w:rFonts w:ascii="Times New Roman" w:hAnsi="Times New Roman"/>
      <w:b/>
    </w:rPr>
  </w:style>
  <w:style w:type="paragraph" w:styleId="54">
    <w:name w:val="Body Text First Indent"/>
    <w:basedOn w:val="1"/>
    <w:link w:val="78"/>
    <w:uiPriority w:val="0"/>
    <w:pPr>
      <w:ind w:firstLine="420" w:firstLineChars="100"/>
    </w:pPr>
  </w:style>
  <w:style w:type="paragraph" w:styleId="55">
    <w:name w:val="Body Text First Indent 2"/>
    <w:basedOn w:val="24"/>
    <w:link w:val="91"/>
    <w:uiPriority w:val="0"/>
    <w:pPr>
      <w:spacing w:after="0"/>
      <w:ind w:left="0" w:leftChars="0"/>
    </w:pPr>
    <w:rPr>
      <w:rFonts w:ascii="Times New Roman" w:hAnsi="Times New Roman"/>
    </w:rPr>
  </w:style>
  <w:style w:type="table" w:styleId="57">
    <w:name w:val="Table Grid"/>
    <w:basedOn w:val="56"/>
    <w:unhideWhenUsed/>
    <w:qFormat/>
    <w:uiPriority w:val="99"/>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
  </w:style>
  <w:style w:type="character" w:styleId="59">
    <w:name w:val="Strong"/>
    <w:qFormat/>
    <w:uiPriority w:val="22"/>
    <w:rPr>
      <w:rFonts w:eastAsiaTheme="minorEastAsia"/>
      <w:b/>
      <w:sz w:val="24"/>
    </w:rPr>
  </w:style>
  <w:style w:type="character" w:styleId="60">
    <w:name w:val="endnote reference"/>
    <w:qFormat/>
    <w:uiPriority w:val="0"/>
    <w:rPr>
      <w:rFonts w:eastAsia="仿宋_GB2312"/>
      <w:b/>
      <w:kern w:val="2"/>
      <w:sz w:val="24"/>
      <w:vertAlign w:val="superscript"/>
      <w:lang w:val="en-US" w:eastAsia="zh-CN"/>
    </w:rPr>
  </w:style>
  <w:style w:type="character" w:styleId="61">
    <w:name w:val="page number"/>
    <w:qFormat/>
    <w:uiPriority w:val="0"/>
  </w:style>
  <w:style w:type="character" w:styleId="62">
    <w:name w:val="FollowedHyperlink"/>
    <w:basedOn w:val="58"/>
    <w:uiPriority w:val="0"/>
    <w:rPr>
      <w:color w:val="800080"/>
      <w:u w:val="none"/>
    </w:rPr>
  </w:style>
  <w:style w:type="character" w:styleId="63">
    <w:name w:val="Emphasis"/>
    <w:qFormat/>
    <w:uiPriority w:val="20"/>
    <w:rPr>
      <w:color w:val="7030A0"/>
    </w:rPr>
  </w:style>
  <w:style w:type="character" w:styleId="64">
    <w:name w:val="Hyperlink"/>
    <w:basedOn w:val="58"/>
    <w:qFormat/>
    <w:uiPriority w:val="99"/>
    <w:rPr>
      <w:color w:val="0085E7"/>
      <w:u w:val="none"/>
    </w:rPr>
  </w:style>
  <w:style w:type="character" w:styleId="65">
    <w:name w:val="annotation reference"/>
    <w:qFormat/>
    <w:uiPriority w:val="99"/>
    <w:rPr>
      <w:sz w:val="21"/>
    </w:rPr>
  </w:style>
  <w:style w:type="character" w:styleId="66">
    <w:name w:val="footnote reference"/>
    <w:qFormat/>
    <w:uiPriority w:val="0"/>
    <w:rPr>
      <w:vertAlign w:val="superscript"/>
    </w:rPr>
  </w:style>
  <w:style w:type="character" w:customStyle="1" w:styleId="67">
    <w:name w:val="标题 1 字符"/>
    <w:basedOn w:val="58"/>
    <w:link w:val="3"/>
    <w:qFormat/>
    <w:uiPriority w:val="0"/>
    <w:rPr>
      <w:rFonts w:cs="宋体" w:asciiTheme="minorHAnsi" w:hAnsiTheme="minorHAnsi"/>
      <w:b/>
      <w:bCs/>
      <w:kern w:val="44"/>
      <w:sz w:val="32"/>
      <w:szCs w:val="44"/>
    </w:rPr>
  </w:style>
  <w:style w:type="character" w:customStyle="1" w:styleId="68">
    <w:name w:val="标题 2 字符"/>
    <w:basedOn w:val="58"/>
    <w:link w:val="4"/>
    <w:qFormat/>
    <w:uiPriority w:val="0"/>
    <w:rPr>
      <w:rFonts w:cs="宋体" w:asciiTheme="minorHAnsi" w:hAnsiTheme="minorHAnsi" w:eastAsiaTheme="minorEastAsia"/>
      <w:b/>
      <w:bCs/>
      <w:sz w:val="30"/>
      <w:szCs w:val="32"/>
    </w:rPr>
  </w:style>
  <w:style w:type="character" w:customStyle="1" w:styleId="69">
    <w:name w:val="标题 3 字符"/>
    <w:basedOn w:val="58"/>
    <w:link w:val="5"/>
    <w:qFormat/>
    <w:uiPriority w:val="0"/>
    <w:rPr>
      <w:rFonts w:cs="宋体" w:asciiTheme="minorHAnsi" w:hAnsiTheme="minorHAnsi"/>
      <w:b/>
      <w:sz w:val="28"/>
      <w:szCs w:val="32"/>
    </w:rPr>
  </w:style>
  <w:style w:type="character" w:customStyle="1" w:styleId="70">
    <w:name w:val="标题 4 字符"/>
    <w:basedOn w:val="58"/>
    <w:link w:val="6"/>
    <w:qFormat/>
    <w:uiPriority w:val="0"/>
    <w:rPr>
      <w:rFonts w:cs="宋体" w:asciiTheme="minorHAnsi" w:hAnsiTheme="minorHAnsi"/>
      <w:b/>
      <w:bCs/>
      <w:sz w:val="24"/>
      <w:szCs w:val="28"/>
    </w:rPr>
  </w:style>
  <w:style w:type="character" w:customStyle="1" w:styleId="71">
    <w:name w:val="标题 5 字符"/>
    <w:basedOn w:val="58"/>
    <w:link w:val="7"/>
    <w:qFormat/>
    <w:uiPriority w:val="0"/>
    <w:rPr>
      <w:rFonts w:ascii="Times New Roman" w:hAnsi="Times New Roman" w:eastAsia="宋体" w:cs="宋体"/>
      <w:bCs/>
      <w:kern w:val="0"/>
      <w:sz w:val="24"/>
      <w:szCs w:val="28"/>
    </w:rPr>
  </w:style>
  <w:style w:type="character" w:customStyle="1" w:styleId="72">
    <w:name w:val="标题 6 字符"/>
    <w:link w:val="8"/>
    <w:qFormat/>
    <w:uiPriority w:val="0"/>
    <w:rPr>
      <w:rFonts w:eastAsiaTheme="minorEastAsia"/>
      <w:b/>
      <w:bCs/>
    </w:rPr>
  </w:style>
  <w:style w:type="character" w:customStyle="1" w:styleId="73">
    <w:name w:val="标题 7 字符"/>
    <w:basedOn w:val="58"/>
    <w:link w:val="9"/>
    <w:qFormat/>
    <w:uiPriority w:val="0"/>
    <w:rPr>
      <w:rFonts w:ascii="Times New Roman" w:hAnsi="Times New Roman" w:eastAsia="宋体" w:cs="宋体"/>
      <w:bCs/>
      <w:kern w:val="0"/>
      <w:sz w:val="20"/>
      <w:szCs w:val="24"/>
    </w:rPr>
  </w:style>
  <w:style w:type="character" w:customStyle="1" w:styleId="74">
    <w:name w:val="标题 8 字符"/>
    <w:basedOn w:val="58"/>
    <w:link w:val="10"/>
    <w:qFormat/>
    <w:uiPriority w:val="0"/>
    <w:rPr>
      <w:rFonts w:ascii="Cambria" w:hAnsi="Cambria" w:eastAsia="宋体" w:cs="Times New Roman"/>
      <w:sz w:val="24"/>
      <w:szCs w:val="24"/>
    </w:rPr>
  </w:style>
  <w:style w:type="character" w:customStyle="1" w:styleId="75">
    <w:name w:val="标题 9 字符"/>
    <w:basedOn w:val="58"/>
    <w:link w:val="11"/>
    <w:qFormat/>
    <w:uiPriority w:val="0"/>
    <w:rPr>
      <w:rFonts w:ascii="Cambria" w:hAnsi="Cambria" w:eastAsia="宋体" w:cs="Times New Roman"/>
      <w:szCs w:val="21"/>
    </w:rPr>
  </w:style>
  <w:style w:type="character" w:customStyle="1" w:styleId="76">
    <w:name w:val="批注文字 字符"/>
    <w:link w:val="21"/>
    <w:qFormat/>
    <w:uiPriority w:val="0"/>
  </w:style>
  <w:style w:type="character" w:customStyle="1" w:styleId="77">
    <w:name w:val="批注主题 字符"/>
    <w:link w:val="53"/>
    <w:qFormat/>
    <w:uiPriority w:val="0"/>
    <w:rPr>
      <w:rFonts w:ascii="Times New Roman" w:hAnsi="Times New Roman"/>
      <w:b/>
    </w:rPr>
  </w:style>
  <w:style w:type="character" w:customStyle="1" w:styleId="78">
    <w:name w:val="正文文本首行缩进 字符"/>
    <w:link w:val="54"/>
    <w:qFormat/>
    <w:uiPriority w:val="0"/>
    <w:rPr>
      <w:rFonts w:ascii="Times New Roman" w:hAnsi="Times New Roman"/>
    </w:rPr>
  </w:style>
  <w:style w:type="character" w:customStyle="1" w:styleId="79">
    <w:name w:val="正文缩进 字符"/>
    <w:link w:val="17"/>
    <w:qFormat/>
    <w:uiPriority w:val="0"/>
    <w:rPr>
      <w:sz w:val="28"/>
    </w:rPr>
  </w:style>
  <w:style w:type="character" w:customStyle="1" w:styleId="80">
    <w:name w:val="题注 字符"/>
    <w:link w:val="18"/>
    <w:qFormat/>
    <w:uiPriority w:val="35"/>
    <w:rPr>
      <w:rFonts w:ascii="Cambria" w:hAnsi="Cambria" w:eastAsia="黑体" w:cstheme="minorBidi"/>
      <w:b/>
      <w:bCs/>
      <w:color w:val="000000" w:themeColor="text1"/>
      <w:sz w:val="24"/>
      <w:szCs w:val="24"/>
      <w14:textFill>
        <w14:solidFill>
          <w14:schemeClr w14:val="tx1"/>
        </w14:solidFill>
      </w14:textFill>
    </w:rPr>
  </w:style>
  <w:style w:type="character" w:customStyle="1" w:styleId="81">
    <w:name w:val="文档结构图 字符"/>
    <w:basedOn w:val="58"/>
    <w:link w:val="20"/>
    <w:semiHidden/>
    <w:qFormat/>
    <w:uiPriority w:val="99"/>
    <w:rPr>
      <w:rFonts w:ascii="宋体" w:hAnsi="宋体" w:eastAsia="宋体" w:cs="宋体"/>
      <w:kern w:val="0"/>
      <w:sz w:val="18"/>
      <w:szCs w:val="18"/>
    </w:rPr>
  </w:style>
  <w:style w:type="character" w:customStyle="1" w:styleId="82">
    <w:name w:val="正文文本 3 字符"/>
    <w:link w:val="22"/>
    <w:qFormat/>
    <w:uiPriority w:val="0"/>
    <w:rPr>
      <w:rFonts w:ascii="Times New Roman" w:hAnsi="Times New Roman"/>
      <w:color w:val="FF0000"/>
      <w:szCs w:val="24"/>
    </w:rPr>
  </w:style>
  <w:style w:type="character" w:customStyle="1" w:styleId="83">
    <w:name w:val="正文文本 字符"/>
    <w:link w:val="23"/>
    <w:qFormat/>
    <w:uiPriority w:val="0"/>
  </w:style>
  <w:style w:type="character" w:customStyle="1" w:styleId="84">
    <w:name w:val="正文文本缩进 字符"/>
    <w:link w:val="24"/>
    <w:qFormat/>
    <w:uiPriority w:val="0"/>
  </w:style>
  <w:style w:type="character" w:customStyle="1" w:styleId="85">
    <w:name w:val="纯文本 字符"/>
    <w:link w:val="30"/>
    <w:qFormat/>
    <w:uiPriority w:val="0"/>
    <w:rPr>
      <w:sz w:val="24"/>
    </w:rPr>
  </w:style>
  <w:style w:type="character" w:customStyle="1" w:styleId="86">
    <w:name w:val="日期 字符"/>
    <w:link w:val="32"/>
    <w:qFormat/>
    <w:uiPriority w:val="0"/>
    <w:rPr>
      <w:rFonts w:ascii="Times New Roman" w:hAnsi="Times New Roman"/>
    </w:rPr>
  </w:style>
  <w:style w:type="character" w:customStyle="1" w:styleId="87">
    <w:name w:val="正文文本缩进 2 字符"/>
    <w:link w:val="33"/>
    <w:qFormat/>
    <w:uiPriority w:val="0"/>
    <w:rPr>
      <w:rFonts w:ascii="Times New Roman" w:hAnsi="Times New Roman"/>
      <w:sz w:val="24"/>
    </w:rPr>
  </w:style>
  <w:style w:type="character" w:customStyle="1" w:styleId="88">
    <w:name w:val="尾注文本 字符"/>
    <w:link w:val="34"/>
    <w:qFormat/>
    <w:uiPriority w:val="0"/>
    <w:rPr>
      <w:rFonts w:ascii="Times New Roman" w:hAnsi="Times New Roman"/>
    </w:rPr>
  </w:style>
  <w:style w:type="character" w:customStyle="1" w:styleId="89">
    <w:name w:val="批注框文本 字符"/>
    <w:link w:val="35"/>
    <w:qFormat/>
    <w:uiPriority w:val="0"/>
    <w:rPr>
      <w:sz w:val="18"/>
      <w:szCs w:val="18"/>
    </w:rPr>
  </w:style>
  <w:style w:type="character" w:customStyle="1" w:styleId="90">
    <w:name w:val="页脚 字符"/>
    <w:link w:val="36"/>
    <w:qFormat/>
    <w:uiPriority w:val="99"/>
    <w:rPr>
      <w:rFonts w:asciiTheme="minorHAnsi" w:hAnsiTheme="minorHAnsi" w:eastAsiaTheme="minorEastAsia" w:cstheme="minorBidi"/>
      <w:sz w:val="21"/>
      <w:szCs w:val="18"/>
    </w:rPr>
  </w:style>
  <w:style w:type="character" w:customStyle="1" w:styleId="91">
    <w:name w:val="正文文本首行缩进 2 字符"/>
    <w:link w:val="55"/>
    <w:qFormat/>
    <w:uiPriority w:val="0"/>
    <w:rPr>
      <w:rFonts w:ascii="Times New Roman" w:hAnsi="Times New Roman"/>
      <w:sz w:val="24"/>
    </w:rPr>
  </w:style>
  <w:style w:type="character" w:customStyle="1" w:styleId="92">
    <w:name w:val="页眉 字符"/>
    <w:link w:val="37"/>
    <w:qFormat/>
    <w:uiPriority w:val="99"/>
    <w:rPr>
      <w:sz w:val="18"/>
      <w:szCs w:val="18"/>
    </w:rPr>
  </w:style>
  <w:style w:type="character" w:customStyle="1" w:styleId="93">
    <w:name w:val="副标题 字符"/>
    <w:link w:val="40"/>
    <w:qFormat/>
    <w:uiPriority w:val="0"/>
    <w:rPr>
      <w:rFonts w:ascii="Cambria" w:hAnsi="Cambria" w:cs="Times New Roman"/>
      <w:b/>
      <w:bCs/>
      <w:kern w:val="28"/>
      <w:sz w:val="32"/>
      <w:szCs w:val="32"/>
    </w:rPr>
  </w:style>
  <w:style w:type="character" w:customStyle="1" w:styleId="94">
    <w:name w:val="脚注文本 字符"/>
    <w:link w:val="41"/>
    <w:qFormat/>
    <w:uiPriority w:val="0"/>
    <w:rPr>
      <w:rFonts w:ascii="Times New Roman" w:hAnsi="Times New Roman"/>
      <w:sz w:val="18"/>
    </w:rPr>
  </w:style>
  <w:style w:type="character" w:customStyle="1" w:styleId="95">
    <w:name w:val="正文文本缩进 3 字符"/>
    <w:link w:val="43"/>
    <w:qFormat/>
    <w:uiPriority w:val="0"/>
    <w:rPr>
      <w:rFonts w:ascii="Times New Roman" w:hAnsi="Times New Roman"/>
      <w:sz w:val="16"/>
      <w:szCs w:val="16"/>
    </w:rPr>
  </w:style>
  <w:style w:type="character" w:customStyle="1" w:styleId="96">
    <w:name w:val="正文文本 2 字符"/>
    <w:link w:val="47"/>
    <w:qFormat/>
    <w:uiPriority w:val="0"/>
    <w:rPr>
      <w:rFonts w:ascii="楷体_GB2312" w:hAnsi="Times New Roman"/>
      <w:sz w:val="24"/>
    </w:rPr>
  </w:style>
  <w:style w:type="character" w:customStyle="1" w:styleId="97">
    <w:name w:val="HTML 预设格式 字符"/>
    <w:link w:val="49"/>
    <w:qFormat/>
    <w:uiPriority w:val="0"/>
    <w:rPr>
      <w:rFonts w:ascii="Arial" w:hAnsi="Arial" w:cs="Arial"/>
      <w:szCs w:val="21"/>
    </w:rPr>
  </w:style>
  <w:style w:type="character" w:customStyle="1" w:styleId="98">
    <w:name w:val="标题 字符"/>
    <w:link w:val="52"/>
    <w:qFormat/>
    <w:uiPriority w:val="10"/>
    <w:rPr>
      <w:rFonts w:eastAsiaTheme="minorEastAsia" w:cstheme="minorBidi"/>
      <w:b/>
      <w:sz w:val="32"/>
      <w:szCs w:val="24"/>
    </w:rPr>
  </w:style>
  <w:style w:type="paragraph" w:styleId="99">
    <w:name w:val="List Paragraph"/>
    <w:basedOn w:val="1"/>
    <w:link w:val="128"/>
    <w:unhideWhenUsed/>
    <w:qFormat/>
    <w:uiPriority w:val="34"/>
    <w:pPr>
      <w:ind w:firstLine="420"/>
    </w:pPr>
  </w:style>
  <w:style w:type="paragraph" w:customStyle="1" w:styleId="100">
    <w:name w:val="修订1"/>
    <w:hidden/>
    <w:semiHidden/>
    <w:qFormat/>
    <w:uiPriority w:val="99"/>
    <w:rPr>
      <w:rFonts w:ascii="Times New Roman" w:hAnsi="Times New Roman" w:eastAsia="宋体" w:cs="宋体"/>
      <w:sz w:val="24"/>
      <w:szCs w:val="24"/>
      <w:lang w:val="en-US" w:eastAsia="zh-CN" w:bidi="ar-SA"/>
    </w:rPr>
  </w:style>
  <w:style w:type="paragraph" w:customStyle="1" w:styleId="101">
    <w:name w:val="附件"/>
    <w:basedOn w:val="3"/>
    <w:link w:val="103"/>
    <w:qFormat/>
    <w:uiPriority w:val="0"/>
    <w:pPr>
      <w:numPr>
        <w:numId w:val="2"/>
      </w:numPr>
      <w:ind w:left="0"/>
      <w:jc w:val="left"/>
    </w:pPr>
  </w:style>
  <w:style w:type="paragraph" w:customStyle="1" w:styleId="102">
    <w:name w:val="1、"/>
    <w:basedOn w:val="1"/>
    <w:next w:val="54"/>
    <w:link w:val="104"/>
    <w:qFormat/>
    <w:uiPriority w:val="0"/>
    <w:pPr>
      <w:numPr>
        <w:ilvl w:val="0"/>
        <w:numId w:val="3"/>
      </w:numPr>
      <w:snapToGrid w:val="0"/>
      <w:ind w:firstLine="0" w:firstLineChars="0"/>
    </w:pPr>
    <w:rPr>
      <w:rFonts w:ascii="宋体" w:hAnsi="宋体" w:cs="Times New Roman"/>
      <w:b/>
    </w:rPr>
  </w:style>
  <w:style w:type="character" w:customStyle="1" w:styleId="103">
    <w:name w:val="附件 字符"/>
    <w:basedOn w:val="67"/>
    <w:link w:val="101"/>
    <w:qFormat/>
    <w:uiPriority w:val="0"/>
    <w:rPr>
      <w:rFonts w:cs="宋体" w:asciiTheme="minorHAnsi" w:hAnsiTheme="minorHAnsi"/>
      <w:kern w:val="44"/>
      <w:sz w:val="32"/>
      <w:szCs w:val="44"/>
    </w:rPr>
  </w:style>
  <w:style w:type="character" w:customStyle="1" w:styleId="104">
    <w:name w:val="1、 字符"/>
    <w:basedOn w:val="69"/>
    <w:link w:val="102"/>
    <w:qFormat/>
    <w:uiPriority w:val="0"/>
    <w:rPr>
      <w:rFonts w:ascii="宋体" w:hAnsi="宋体" w:cs="宋体"/>
      <w:sz w:val="24"/>
      <w:szCs w:val="24"/>
    </w:rPr>
  </w:style>
  <w:style w:type="character" w:customStyle="1" w:styleId="105">
    <w:name w:val="纯文本 Char1"/>
    <w:uiPriority w:val="0"/>
    <w:rPr>
      <w:rFonts w:ascii="宋体" w:hAnsi="Courier New" w:eastAsia="宋体"/>
      <w:kern w:val="2"/>
      <w:sz w:val="21"/>
      <w:lang w:val="en-US" w:eastAsia="zh-CN" w:bidi="ar-SA"/>
    </w:rPr>
  </w:style>
  <w:style w:type="character" w:customStyle="1" w:styleId="106">
    <w:name w:val="table Char"/>
    <w:basedOn w:val="58"/>
    <w:link w:val="107"/>
    <w:qFormat/>
    <w:locked/>
    <w:uiPriority w:val="0"/>
    <w:rPr>
      <w:rFonts w:cs="宋体" w:asciiTheme="minorHAnsi" w:hAnsiTheme="minorHAnsi" w:eastAsiaTheme="minorEastAsia"/>
      <w:color w:val="000000" w:themeColor="text1"/>
      <w:sz w:val="21"/>
      <w:szCs w:val="21"/>
      <w14:textFill>
        <w14:solidFill>
          <w14:schemeClr w14:val="tx1"/>
        </w14:solidFill>
      </w14:textFill>
    </w:rPr>
  </w:style>
  <w:style w:type="paragraph" w:customStyle="1" w:styleId="107">
    <w:name w:val="table"/>
    <w:basedOn w:val="1"/>
    <w:link w:val="106"/>
    <w:qFormat/>
    <w:uiPriority w:val="0"/>
    <w:pPr>
      <w:spacing w:line="240" w:lineRule="auto"/>
      <w:ind w:firstLine="0" w:firstLineChars="0"/>
      <w:jc w:val="center"/>
    </w:pPr>
    <w:rPr>
      <w:rFonts w:eastAsiaTheme="minorEastAsia"/>
      <w:color w:val="000000" w:themeColor="text1"/>
      <w:sz w:val="21"/>
      <w:szCs w:val="21"/>
      <w14:textFill>
        <w14:solidFill>
          <w14:schemeClr w14:val="tx1"/>
        </w14:solidFill>
      </w14:textFill>
    </w:rPr>
  </w:style>
  <w:style w:type="table" w:customStyle="1" w:styleId="108">
    <w:name w:val="网格型1"/>
    <w:basedOn w:val="56"/>
    <w:qFormat/>
    <w:uiPriority w:val="0"/>
    <w:rPr>
      <w:rFonts w:ascii="Calibri" w:hAnsi="Calibri" w:eastAsia="Times New Roman"/>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109">
    <w:name w:val="纯文本 字符1"/>
    <w:semiHidden/>
    <w:qFormat/>
    <w:locked/>
    <w:uiPriority w:val="0"/>
    <w:rPr>
      <w:kern w:val="2"/>
      <w:sz w:val="21"/>
    </w:rPr>
  </w:style>
  <w:style w:type="character" w:customStyle="1" w:styleId="110">
    <w:name w:val="表头 Char Char"/>
    <w:link w:val="111"/>
    <w:qFormat/>
    <w:locked/>
    <w:uiPriority w:val="0"/>
    <w:rPr>
      <w:sz w:val="24"/>
    </w:rPr>
  </w:style>
  <w:style w:type="paragraph" w:customStyle="1" w:styleId="111">
    <w:name w:val="表头"/>
    <w:basedOn w:val="12"/>
    <w:next w:val="1"/>
    <w:link w:val="110"/>
    <w:qFormat/>
    <w:uiPriority w:val="0"/>
    <w:pPr>
      <w:keepNext/>
      <w:widowControl w:val="0"/>
      <w:autoSpaceDE w:val="0"/>
      <w:autoSpaceDN w:val="0"/>
      <w:adjustRightInd w:val="0"/>
      <w:spacing w:before="120" w:after="120"/>
      <w:ind w:left="0" w:firstLine="0" w:firstLineChars="0"/>
      <w:jc w:val="center"/>
    </w:pPr>
    <w:rPr>
      <w:rFonts w:cs="Times New Roman"/>
      <w:szCs w:val="20"/>
    </w:rPr>
  </w:style>
  <w:style w:type="character" w:customStyle="1" w:styleId="112">
    <w:name w:val="缩进 Char Char"/>
    <w:link w:val="113"/>
    <w:qFormat/>
    <w:locked/>
    <w:uiPriority w:val="0"/>
    <w:rPr>
      <w:kern w:val="2"/>
      <w:sz w:val="24"/>
    </w:rPr>
  </w:style>
  <w:style w:type="paragraph" w:customStyle="1" w:styleId="113">
    <w:name w:val="缩进"/>
    <w:basedOn w:val="1"/>
    <w:link w:val="112"/>
    <w:qFormat/>
    <w:uiPriority w:val="0"/>
    <w:pPr>
      <w:widowControl w:val="0"/>
      <w:autoSpaceDE w:val="0"/>
      <w:autoSpaceDN w:val="0"/>
      <w:adjustRightInd w:val="0"/>
      <w:spacing w:line="400" w:lineRule="atLeast"/>
      <w:ind w:firstLine="425" w:firstLineChars="0"/>
      <w:jc w:val="both"/>
    </w:pPr>
    <w:rPr>
      <w:rFonts w:cs="Times New Roman"/>
      <w:kern w:val="2"/>
      <w:szCs w:val="20"/>
    </w:rPr>
  </w:style>
  <w:style w:type="character" w:customStyle="1" w:styleId="114">
    <w:name w:val="报告正文 Char Char"/>
    <w:link w:val="115"/>
    <w:qFormat/>
    <w:locked/>
    <w:uiPriority w:val="0"/>
    <w:rPr>
      <w:rFonts w:ascii="宋体" w:hAnsi="宋体" w:cs="宋体"/>
      <w:kern w:val="2"/>
      <w:sz w:val="24"/>
      <w:szCs w:val="24"/>
    </w:rPr>
  </w:style>
  <w:style w:type="paragraph" w:customStyle="1" w:styleId="115">
    <w:name w:val="报告正文"/>
    <w:basedOn w:val="1"/>
    <w:link w:val="114"/>
    <w:uiPriority w:val="0"/>
    <w:pPr>
      <w:widowControl w:val="0"/>
      <w:spacing w:beforeLines="50" w:afterLines="50" w:line="460" w:lineRule="exact"/>
      <w:jc w:val="both"/>
    </w:pPr>
    <w:rPr>
      <w:rFonts w:ascii="宋体" w:hAnsi="宋体"/>
      <w:kern w:val="2"/>
    </w:rPr>
  </w:style>
  <w:style w:type="paragraph" w:customStyle="1" w:styleId="116">
    <w:name w:val="图表标题"/>
    <w:link w:val="117"/>
    <w:uiPriority w:val="0"/>
    <w:pPr>
      <w:adjustRightInd w:val="0"/>
      <w:snapToGrid w:val="0"/>
      <w:spacing w:line="500" w:lineRule="exact"/>
      <w:jc w:val="center"/>
    </w:pPr>
    <w:rPr>
      <w:rFonts w:ascii="Times New Roman" w:hAnsi="Times New Roman" w:eastAsia="宋体" w:cs="Times New Roman"/>
      <w:sz w:val="24"/>
      <w:szCs w:val="24"/>
      <w:lang w:val="en-US" w:eastAsia="zh-CN" w:bidi="ar-SA"/>
    </w:rPr>
  </w:style>
  <w:style w:type="character" w:customStyle="1" w:styleId="117">
    <w:name w:val="图表标题 Char"/>
    <w:link w:val="116"/>
    <w:qFormat/>
    <w:uiPriority w:val="0"/>
    <w:rPr>
      <w:sz w:val="24"/>
      <w:szCs w:val="24"/>
    </w:rPr>
  </w:style>
  <w:style w:type="paragraph" w:customStyle="1" w:styleId="118">
    <w:name w:val="自定正文"/>
    <w:basedOn w:val="1"/>
    <w:link w:val="119"/>
    <w:uiPriority w:val="0"/>
    <w:pPr>
      <w:widowControl w:val="0"/>
      <w:snapToGrid w:val="0"/>
      <w:jc w:val="both"/>
      <w:textAlignment w:val="center"/>
    </w:pPr>
    <w:rPr>
      <w:rFonts w:ascii="Arial" w:hAnsi="Arial" w:cs="Times New Roman"/>
      <w:snapToGrid w:val="0"/>
      <w:color w:val="000000"/>
      <w:kern w:val="2"/>
      <w:szCs w:val="20"/>
    </w:rPr>
  </w:style>
  <w:style w:type="character" w:customStyle="1" w:styleId="119">
    <w:name w:val="自定正文 Char"/>
    <w:basedOn w:val="58"/>
    <w:link w:val="118"/>
    <w:qFormat/>
    <w:uiPriority w:val="0"/>
    <w:rPr>
      <w:rFonts w:ascii="Arial" w:hAnsi="Arial"/>
      <w:snapToGrid w:val="0"/>
      <w:color w:val="000000"/>
      <w:kern w:val="2"/>
      <w:sz w:val="24"/>
    </w:rPr>
  </w:style>
  <w:style w:type="character" w:customStyle="1" w:styleId="120">
    <w:name w:val="fontstyle01"/>
    <w:basedOn w:val="58"/>
    <w:uiPriority w:val="0"/>
    <w:rPr>
      <w:rFonts w:ascii="宋体" w:hAnsi="宋体" w:eastAsia="宋体" w:cs="宋体"/>
      <w:color w:val="000000"/>
      <w:sz w:val="22"/>
      <w:szCs w:val="22"/>
    </w:rPr>
  </w:style>
  <w:style w:type="character" w:customStyle="1" w:styleId="121">
    <w:name w:val="fontstyle21"/>
    <w:basedOn w:val="58"/>
    <w:uiPriority w:val="0"/>
    <w:rPr>
      <w:rFonts w:ascii="TimesNewRomanPSMT" w:hAnsi="TimesNewRomanPSMT" w:eastAsia="TimesNewRomanPSMT" w:cs="TimesNewRomanPSMT"/>
      <w:color w:val="000000"/>
      <w:sz w:val="22"/>
      <w:szCs w:val="22"/>
    </w:rPr>
  </w:style>
  <w:style w:type="character" w:customStyle="1" w:styleId="122">
    <w:name w:val="批注文字 Char"/>
    <w:qFormat/>
    <w:uiPriority w:val="0"/>
    <w:rPr>
      <w:rFonts w:ascii="@宋体"/>
      <w:sz w:val="28"/>
    </w:rPr>
  </w:style>
  <w:style w:type="paragraph" w:customStyle="1" w:styleId="123">
    <w:name w:val="正 文"/>
    <w:uiPriority w:val="0"/>
    <w:pPr>
      <w:widowControl w:val="0"/>
      <w:spacing w:line="480" w:lineRule="exact"/>
      <w:ind w:firstLine="471"/>
    </w:pPr>
    <w:rPr>
      <w:rFonts w:ascii="Arial" w:hAnsi="Arial" w:eastAsiaTheme="minorEastAsia" w:cstheme="minorBidi"/>
      <w:kern w:val="2"/>
      <w:sz w:val="24"/>
      <w:szCs w:val="21"/>
      <w:lang w:val="en-US" w:eastAsia="zh-CN" w:bidi="ar-SA"/>
    </w:rPr>
  </w:style>
  <w:style w:type="character" w:customStyle="1" w:styleId="124">
    <w:name w:val="a表格内容1 Char"/>
    <w:link w:val="125"/>
    <w:qFormat/>
    <w:locked/>
    <w:uiPriority w:val="0"/>
    <w:rPr>
      <w:iCs/>
      <w:color w:val="000000"/>
      <w:kern w:val="2"/>
      <w:sz w:val="21"/>
      <w:szCs w:val="21"/>
    </w:rPr>
  </w:style>
  <w:style w:type="paragraph" w:customStyle="1" w:styleId="125">
    <w:name w:val="a表格内容1"/>
    <w:basedOn w:val="1"/>
    <w:link w:val="124"/>
    <w:qFormat/>
    <w:uiPriority w:val="0"/>
    <w:pPr>
      <w:spacing w:line="360" w:lineRule="exact"/>
      <w:ind w:firstLine="0" w:firstLineChars="0"/>
      <w:jc w:val="center"/>
    </w:pPr>
    <w:rPr>
      <w:rFonts w:cs="Times New Roman"/>
      <w:iCs/>
      <w:color w:val="000000"/>
      <w:kern w:val="2"/>
      <w:sz w:val="21"/>
      <w:szCs w:val="21"/>
    </w:rPr>
  </w:style>
  <w:style w:type="paragraph" w:customStyle="1" w:styleId="126">
    <w:name w:val="（1）"/>
    <w:basedOn w:val="7"/>
    <w:link w:val="129"/>
    <w:qFormat/>
    <w:uiPriority w:val="0"/>
    <w:pPr>
      <w:numPr>
        <w:ilvl w:val="4"/>
        <w:numId w:val="1"/>
      </w:numPr>
      <w:ind w:left="4818"/>
    </w:pPr>
  </w:style>
  <w:style w:type="paragraph" w:customStyle="1" w:styleId="127">
    <w:name w:val="①"/>
    <w:basedOn w:val="99"/>
    <w:link w:val="130"/>
    <w:qFormat/>
    <w:uiPriority w:val="0"/>
    <w:pPr>
      <w:numPr>
        <w:ilvl w:val="0"/>
        <w:numId w:val="4"/>
      </w:numPr>
      <w:ind w:firstLine="0" w:firstLineChars="0"/>
    </w:pPr>
    <w:rPr>
      <w:rFonts w:eastAsiaTheme="minorEastAsia"/>
    </w:rPr>
  </w:style>
  <w:style w:type="character" w:customStyle="1" w:styleId="128">
    <w:name w:val="列表段落 字符"/>
    <w:basedOn w:val="58"/>
    <w:link w:val="99"/>
    <w:qFormat/>
    <w:uiPriority w:val="1"/>
    <w:rPr>
      <w:rFonts w:cs="宋体"/>
      <w:sz w:val="24"/>
      <w:szCs w:val="24"/>
    </w:rPr>
  </w:style>
  <w:style w:type="character" w:customStyle="1" w:styleId="129">
    <w:name w:val="（1） 字符"/>
    <w:basedOn w:val="128"/>
    <w:link w:val="126"/>
    <w:qFormat/>
    <w:uiPriority w:val="0"/>
    <w:rPr>
      <w:rFonts w:cs="宋体" w:asciiTheme="minorHAnsi" w:hAnsiTheme="minorHAnsi"/>
      <w:b/>
      <w:bCs/>
      <w:sz w:val="24"/>
      <w:szCs w:val="28"/>
    </w:rPr>
  </w:style>
  <w:style w:type="character" w:customStyle="1" w:styleId="130">
    <w:name w:val="① 字符"/>
    <w:basedOn w:val="128"/>
    <w:link w:val="127"/>
    <w:qFormat/>
    <w:uiPriority w:val="0"/>
    <w:rPr>
      <w:rFonts w:cs="宋体" w:asciiTheme="minorHAnsi" w:hAnsiTheme="minorHAnsi" w:eastAsiaTheme="minorEastAsia"/>
      <w:sz w:val="24"/>
      <w:szCs w:val="24"/>
    </w:rPr>
  </w:style>
  <w:style w:type="paragraph" w:customStyle="1" w:styleId="131">
    <w:name w:val="①无空格"/>
    <w:basedOn w:val="55"/>
    <w:link w:val="132"/>
    <w:qFormat/>
    <w:uiPriority w:val="0"/>
    <w:pPr>
      <w:numPr>
        <w:ilvl w:val="0"/>
        <w:numId w:val="5"/>
      </w:numPr>
      <w:ind w:left="0" w:firstLineChars="0"/>
    </w:pPr>
    <w:rPr>
      <w:rFonts w:asciiTheme="minorHAnsi" w:hAnsiTheme="minorHAnsi"/>
      <w:color w:val="000000" w:themeColor="text1"/>
      <w14:textFill>
        <w14:solidFill>
          <w14:schemeClr w14:val="tx1"/>
        </w14:solidFill>
      </w14:textFill>
    </w:rPr>
  </w:style>
  <w:style w:type="character" w:customStyle="1" w:styleId="132">
    <w:name w:val="①无空格 字符"/>
    <w:basedOn w:val="91"/>
    <w:link w:val="131"/>
    <w:qFormat/>
    <w:uiPriority w:val="0"/>
    <w:rPr>
      <w:rFonts w:asciiTheme="minorHAnsi" w:hAnsiTheme="minorHAnsi" w:eastAsiaTheme="minorEastAsia" w:cstheme="minorBidi"/>
      <w:color w:val="000000" w:themeColor="text1"/>
      <w:sz w:val="24"/>
      <w:szCs w:val="24"/>
      <w14:textFill>
        <w14:solidFill>
          <w14:schemeClr w14:val="tx1"/>
        </w14:solidFill>
      </w14:textFill>
    </w:rPr>
  </w:style>
  <w:style w:type="character" w:styleId="133">
    <w:name w:val="Placeholder Text"/>
    <w:basedOn w:val="58"/>
    <w:semiHidden/>
    <w:qFormat/>
    <w:uiPriority w:val="99"/>
    <w:rPr>
      <w:color w:val="808080"/>
    </w:rPr>
  </w:style>
  <w:style w:type="paragraph" w:customStyle="1" w:styleId="134">
    <w:name w:val="Head"/>
    <w:basedOn w:val="3"/>
    <w:next w:val="4"/>
    <w:link w:val="135"/>
    <w:qFormat/>
    <w:uiPriority w:val="0"/>
    <w:pPr>
      <w:numPr>
        <w:numId w:val="0"/>
      </w:numPr>
      <w:spacing w:line="240" w:lineRule="auto"/>
    </w:pPr>
    <w:rPr>
      <w:bCs w:val="0"/>
      <w:szCs w:val="30"/>
    </w:rPr>
  </w:style>
  <w:style w:type="character" w:customStyle="1" w:styleId="135">
    <w:name w:val="Head 字符"/>
    <w:basedOn w:val="70"/>
    <w:link w:val="134"/>
    <w:qFormat/>
    <w:uiPriority w:val="0"/>
    <w:rPr>
      <w:rFonts w:eastAsia="宋体" w:cs="宋体" w:asciiTheme="minorHAnsi" w:hAnsiTheme="minorHAnsi"/>
      <w:bCs w:val="0"/>
      <w:kern w:val="44"/>
      <w:sz w:val="32"/>
      <w:szCs w:val="30"/>
    </w:rPr>
  </w:style>
  <w:style w:type="paragraph" w:customStyle="1" w:styleId="136">
    <w:name w:val="Head1"/>
    <w:basedOn w:val="4"/>
    <w:link w:val="137"/>
    <w:qFormat/>
    <w:uiPriority w:val="0"/>
    <w:pPr>
      <w:numPr>
        <w:ilvl w:val="0"/>
        <w:numId w:val="6"/>
      </w:numPr>
    </w:pPr>
  </w:style>
  <w:style w:type="character" w:customStyle="1" w:styleId="137">
    <w:name w:val="Head1 字符"/>
    <w:basedOn w:val="68"/>
    <w:link w:val="136"/>
    <w:qFormat/>
    <w:uiPriority w:val="0"/>
    <w:rPr>
      <w:rFonts w:cs="宋体" w:asciiTheme="minorHAnsi" w:hAnsiTheme="minorHAnsi" w:eastAsiaTheme="minorEastAsia"/>
      <w:sz w:val="30"/>
      <w:szCs w:val="32"/>
    </w:rPr>
  </w:style>
  <w:style w:type="character" w:customStyle="1" w:styleId="138">
    <w:name w:val="Char Char Char Char1"/>
    <w:link w:val="139"/>
    <w:qFormat/>
    <w:locked/>
    <w:uiPriority w:val="0"/>
    <w:rPr>
      <w:kern w:val="2"/>
      <w:sz w:val="21"/>
      <w:szCs w:val="24"/>
    </w:rPr>
  </w:style>
  <w:style w:type="paragraph" w:customStyle="1" w:styleId="139">
    <w:name w:val="Char Char Char"/>
    <w:basedOn w:val="1"/>
    <w:link w:val="138"/>
    <w:qFormat/>
    <w:uiPriority w:val="0"/>
    <w:pPr>
      <w:widowControl w:val="0"/>
      <w:spacing w:line="240" w:lineRule="auto"/>
      <w:ind w:firstLine="0" w:firstLineChars="0"/>
      <w:jc w:val="both"/>
    </w:pPr>
    <w:rPr>
      <w:rFonts w:cs="Times New Roman"/>
      <w:kern w:val="2"/>
      <w:sz w:val="21"/>
    </w:rPr>
  </w:style>
  <w:style w:type="paragraph" w:customStyle="1" w:styleId="140">
    <w:name w:val="正文1"/>
    <w:uiPriority w:val="0"/>
    <w:pPr>
      <w:jc w:val="both"/>
    </w:pPr>
    <w:rPr>
      <w:rFonts w:ascii="Calibri" w:hAnsi="Calibri" w:eastAsia="宋体" w:cs="宋体"/>
      <w:kern w:val="2"/>
      <w:sz w:val="21"/>
      <w:szCs w:val="21"/>
      <w:lang w:val="en-US" w:eastAsia="zh-CN" w:bidi="ar-SA"/>
    </w:rPr>
  </w:style>
  <w:style w:type="paragraph" w:customStyle="1" w:styleId="141">
    <w:name w:val="Char"/>
    <w:basedOn w:val="1"/>
    <w:qFormat/>
    <w:uiPriority w:val="0"/>
    <w:pPr>
      <w:keepNext/>
      <w:keepLines/>
      <w:widowControl w:val="0"/>
      <w:adjustRightInd w:val="0"/>
      <w:snapToGrid w:val="0"/>
      <w:spacing w:before="120" w:after="60" w:line="500" w:lineRule="exact"/>
      <w:ind w:left="-150" w:leftChars="-150" w:firstLine="0" w:firstLineChars="0"/>
      <w:outlineLvl w:val="2"/>
    </w:pPr>
    <w:rPr>
      <w:rFonts w:ascii="宋体" w:hAnsi="宋体" w:eastAsia="黑体" w:cs="Courier New"/>
      <w:b/>
      <w:color w:val="0000FF"/>
      <w:sz w:val="32"/>
      <w:szCs w:val="32"/>
    </w:rPr>
  </w:style>
  <w:style w:type="paragraph" w:customStyle="1" w:styleId="142">
    <w:name w:val="表文字"/>
    <w:basedOn w:val="1"/>
    <w:link w:val="144"/>
    <w:qFormat/>
    <w:uiPriority w:val="0"/>
    <w:pPr>
      <w:adjustRightInd w:val="0"/>
      <w:snapToGrid w:val="0"/>
      <w:spacing w:before="25" w:beforeLines="25" w:after="15" w:afterLines="15" w:line="240" w:lineRule="auto"/>
      <w:ind w:left="-30" w:leftChars="-30" w:right="-30" w:rightChars="-30" w:firstLine="0" w:firstLineChars="0"/>
      <w:jc w:val="center"/>
      <w:textAlignment w:val="baseline"/>
    </w:pPr>
    <w:rPr>
      <w:rFonts w:ascii="Times New Roman" w:hAnsi="Times New Roman" w:cs="Times New Roman"/>
      <w:snapToGrid w:val="0"/>
      <w:color w:val="000000"/>
      <w:szCs w:val="9"/>
    </w:rPr>
  </w:style>
  <w:style w:type="paragraph" w:customStyle="1" w:styleId="143">
    <w:name w:val="表内格式"/>
    <w:basedOn w:val="1"/>
    <w:qFormat/>
    <w:uiPriority w:val="0"/>
    <w:pPr>
      <w:widowControl w:val="0"/>
      <w:spacing w:line="240" w:lineRule="auto"/>
      <w:ind w:firstLine="0" w:firstLineChars="0"/>
      <w:jc w:val="center"/>
    </w:pPr>
    <w:rPr>
      <w:rFonts w:ascii="Times New Roman" w:hAnsi="Times New Roman" w:cs="Times New Roman"/>
      <w:kern w:val="2"/>
      <w:sz w:val="18"/>
      <w:szCs w:val="20"/>
    </w:rPr>
  </w:style>
  <w:style w:type="character" w:customStyle="1" w:styleId="144">
    <w:name w:val="表文字 Char"/>
    <w:link w:val="142"/>
    <w:qFormat/>
    <w:uiPriority w:val="0"/>
    <w:rPr>
      <w:snapToGrid w:val="0"/>
      <w:color w:val="000000"/>
      <w:sz w:val="24"/>
      <w:szCs w:val="9"/>
    </w:rPr>
  </w:style>
  <w:style w:type="paragraph" w:customStyle="1" w:styleId="145">
    <w:name w:val="图像标识"/>
    <w:basedOn w:val="1"/>
    <w:link w:val="146"/>
    <w:qFormat/>
    <w:uiPriority w:val="0"/>
    <w:pPr>
      <w:widowControl w:val="0"/>
      <w:spacing w:line="240" w:lineRule="auto"/>
      <w:ind w:firstLine="0" w:firstLineChars="0"/>
    </w:pPr>
    <w:rPr>
      <w:rFonts w:cs="Times New Roman"/>
      <w:color w:val="000000" w:themeColor="text1"/>
      <w14:textFill>
        <w14:solidFill>
          <w14:schemeClr w14:val="tx1"/>
        </w14:solidFill>
      </w14:textFill>
    </w:rPr>
  </w:style>
  <w:style w:type="character" w:customStyle="1" w:styleId="146">
    <w:name w:val="图像标识 字符"/>
    <w:basedOn w:val="58"/>
    <w:link w:val="145"/>
    <w:qFormat/>
    <w:uiPriority w:val="0"/>
    <w:rPr>
      <w:rFonts w:asciiTheme="minorHAnsi" w:hAnsiTheme="minorHAnsi"/>
      <w:color w:val="000000" w:themeColor="text1"/>
      <w:sz w:val="24"/>
      <w:szCs w:val="24"/>
      <w14:textFill>
        <w14:solidFill>
          <w14:schemeClr w14:val="tx1"/>
        </w14:solidFill>
      </w14:textFill>
    </w:rPr>
  </w:style>
  <w:style w:type="paragraph" w:customStyle="1" w:styleId="147">
    <w:name w:val="Char1"/>
    <w:basedOn w:val="1"/>
    <w:qFormat/>
    <w:uiPriority w:val="0"/>
    <w:pPr>
      <w:keepNext/>
      <w:keepLines/>
      <w:widowControl w:val="0"/>
      <w:adjustRightInd w:val="0"/>
      <w:snapToGrid w:val="0"/>
      <w:spacing w:before="120" w:after="60" w:line="500" w:lineRule="exact"/>
      <w:ind w:left="-150" w:leftChars="-150" w:firstLine="0" w:firstLineChars="0"/>
      <w:outlineLvl w:val="2"/>
    </w:pPr>
    <w:rPr>
      <w:rFonts w:ascii="宋体" w:hAnsi="宋体" w:eastAsia="黑体" w:cs="Courier New"/>
      <w:b/>
      <w:color w:val="0000FF"/>
      <w:sz w:val="32"/>
      <w:szCs w:val="32"/>
    </w:rPr>
  </w:style>
  <w:style w:type="character" w:customStyle="1" w:styleId="148">
    <w:name w:val="正本文字 Char"/>
    <w:link w:val="149"/>
    <w:qFormat/>
    <w:locked/>
    <w:uiPriority w:val="0"/>
    <w:rPr>
      <w:rFonts w:ascii="宋体" w:hAnsi="宋体" w:cs="宋体"/>
      <w:kern w:val="18"/>
      <w:sz w:val="24"/>
    </w:rPr>
  </w:style>
  <w:style w:type="paragraph" w:customStyle="1" w:styleId="149">
    <w:name w:val="正本文字"/>
    <w:basedOn w:val="1"/>
    <w:link w:val="148"/>
    <w:uiPriority w:val="0"/>
    <w:pPr>
      <w:widowControl w:val="0"/>
      <w:adjustRightInd w:val="0"/>
      <w:snapToGrid w:val="0"/>
    </w:pPr>
    <w:rPr>
      <w:rFonts w:ascii="宋体" w:hAnsi="宋体"/>
      <w:kern w:val="18"/>
      <w:szCs w:val="20"/>
    </w:rPr>
  </w:style>
  <w:style w:type="character" w:customStyle="1" w:styleId="150">
    <w:name w:val="表格中文字 Char"/>
    <w:link w:val="151"/>
    <w:qFormat/>
    <w:locked/>
    <w:uiPriority w:val="0"/>
    <w:rPr>
      <w:kern w:val="18"/>
      <w:sz w:val="21"/>
      <w:szCs w:val="21"/>
    </w:rPr>
  </w:style>
  <w:style w:type="paragraph" w:customStyle="1" w:styleId="151">
    <w:name w:val="表格中文字"/>
    <w:basedOn w:val="1"/>
    <w:link w:val="150"/>
    <w:qFormat/>
    <w:uiPriority w:val="0"/>
    <w:pPr>
      <w:widowControl w:val="0"/>
      <w:adjustRightInd w:val="0"/>
      <w:snapToGrid w:val="0"/>
      <w:spacing w:line="240" w:lineRule="auto"/>
      <w:ind w:firstLine="0" w:firstLineChars="0"/>
      <w:jc w:val="center"/>
    </w:pPr>
    <w:rPr>
      <w:rFonts w:ascii="Times New Roman" w:hAnsi="Times New Roman" w:cs="Times New Roman"/>
      <w:kern w:val="18"/>
      <w:sz w:val="21"/>
      <w:szCs w:val="21"/>
    </w:rPr>
  </w:style>
  <w:style w:type="character" w:customStyle="1" w:styleId="152">
    <w:name w:val="标题 Char"/>
    <w:basedOn w:val="58"/>
    <w:qFormat/>
    <w:uiPriority w:val="10"/>
    <w:rPr>
      <w:rFonts w:ascii="Times New Roman" w:hAnsi="Times New Roman" w:eastAsia="宋体" w:cs="Times New Roman"/>
      <w:bCs/>
      <w:sz w:val="23"/>
      <w:szCs w:val="32"/>
    </w:rPr>
  </w:style>
  <w:style w:type="table" w:customStyle="1" w:styleId="153">
    <w:name w:val="网格型11"/>
    <w:basedOn w:val="56"/>
    <w:qFormat/>
    <w:uiPriority w:val="3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154">
    <w:name w:val="标准表格"/>
    <w:basedOn w:val="56"/>
    <w:qFormat/>
    <w:uiPriority w:val="99"/>
    <w:pPr>
      <w:spacing w:before="74"/>
      <w:jc w:val="center"/>
    </w:pPr>
    <w:rPr>
      <w:sz w:val="18"/>
    </w:rPr>
    <w:tblPr>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Pr>
    <w:trPr>
      <w:jc w:val="center"/>
    </w:trPr>
    <w:tcPr>
      <w:shd w:val="clear" w:color="auto" w:fill="FFFFFF" w:themeFill="background1"/>
      <w:vAlign w:val="center"/>
    </w:tcPr>
    <w:tblStylePr w:type="firstRow">
      <w:pPr>
        <w:wordWrap/>
        <w:spacing w:before="0" w:beforeLines="0" w:beforeAutospacing="0" w:after="0" w:afterLines="0" w:afterAutospacing="0" w:line="240" w:lineRule="auto"/>
        <w:ind w:left="0" w:leftChars="0" w:right="0" w:rightChars="0" w:firstLine="0" w:firstLineChars="0"/>
        <w:jc w:val="center"/>
      </w:pPr>
      <w:rPr>
        <w:rFonts w:eastAsia="宋体"/>
        <w:sz w:val="18"/>
      </w:rPr>
      <w:tblPr>
        <w:tblLayout w:type="fixed"/>
      </w:tblPr>
      <w:trPr>
        <w:tblHeader/>
      </w:trPr>
    </w:tblStylePr>
    <w:tblStylePr w:type="firstCol">
      <w:pPr>
        <w:jc w:val="center"/>
      </w:pPr>
    </w:tblStylePr>
  </w:style>
  <w:style w:type="character" w:customStyle="1" w:styleId="155">
    <w:name w:val="未处理的提及1"/>
    <w:basedOn w:val="58"/>
    <w:semiHidden/>
    <w:unhideWhenUsed/>
    <w:uiPriority w:val="99"/>
    <w:rPr>
      <w:color w:val="605E5C"/>
      <w:shd w:val="clear" w:color="auto" w:fill="E1DFDD"/>
    </w:rPr>
  </w:style>
  <w:style w:type="paragraph" w:customStyle="1" w:styleId="156">
    <w:name w:val="Char Char Char Char Char Char Char Char Char Char"/>
    <w:basedOn w:val="1"/>
    <w:uiPriority w:val="0"/>
    <w:pPr>
      <w:widowControl w:val="0"/>
      <w:adjustRightInd w:val="0"/>
      <w:ind w:firstLine="0" w:firstLineChars="0"/>
      <w:jc w:val="both"/>
    </w:pPr>
    <w:rPr>
      <w:rFonts w:ascii="宋体" w:hAnsi="宋体"/>
      <w:kern w:val="2"/>
      <w:sz w:val="21"/>
      <w:szCs w:val="21"/>
    </w:rPr>
  </w:style>
  <w:style w:type="character" w:customStyle="1" w:styleId="157">
    <w:name w:val="批注文字 字符1"/>
    <w:qFormat/>
    <w:uiPriority w:val="99"/>
  </w:style>
  <w:style w:type="paragraph" w:customStyle="1" w:styleId="158">
    <w:name w:val="Date1"/>
    <w:basedOn w:val="1"/>
    <w:next w:val="1"/>
    <w:uiPriority w:val="0"/>
    <w:pPr>
      <w:adjustRightInd w:val="0"/>
      <w:spacing w:line="240" w:lineRule="auto"/>
      <w:ind w:firstLine="0" w:firstLineChars="0"/>
      <w:textAlignment w:val="baseline"/>
    </w:pPr>
    <w:rPr>
      <w:rFonts w:ascii="Calibri" w:hAnsi="Calibri" w:cs="Times New Roman"/>
      <w:szCs w:val="20"/>
      <w:lang w:eastAsia="en-US" w:bidi="en-US"/>
    </w:rPr>
  </w:style>
  <w:style w:type="table" w:customStyle="1" w:styleId="159">
    <w:name w:val="Table Normal"/>
    <w:semiHidden/>
    <w:unhideWhenUsed/>
    <w:qFormat/>
    <w:uiPriority w:val="2"/>
    <w:pPr>
      <w:widowControl w:val="0"/>
      <w:autoSpaceDE w:val="0"/>
      <w:autoSpaceDN w:val="0"/>
    </w:pPr>
    <w:rPr>
      <w:rFonts w:asciiTheme="minorHAnsi" w:hAnsiTheme="minorHAnsi" w:eastAsiaTheme="minorEastAsia" w:cstheme="minorBidi"/>
      <w:sz w:val="22"/>
      <w:szCs w:val="22"/>
      <w:lang w:eastAsia="en-US"/>
    </w:rPr>
    <w:tblPr>
      <w:tblLayout w:type="fixed"/>
      <w:tblCellMar>
        <w:top w:w="0" w:type="dxa"/>
        <w:left w:w="0" w:type="dxa"/>
        <w:bottom w:w="0" w:type="dxa"/>
        <w:right w:w="0" w:type="dxa"/>
      </w:tblCellMar>
    </w:tblPr>
  </w:style>
  <w:style w:type="paragraph" w:customStyle="1" w:styleId="160">
    <w:name w:val="Table Paragraph"/>
    <w:basedOn w:val="1"/>
    <w:qFormat/>
    <w:uiPriority w:val="0"/>
    <w:pPr>
      <w:widowControl w:val="0"/>
      <w:autoSpaceDE w:val="0"/>
      <w:autoSpaceDN w:val="0"/>
      <w:spacing w:line="240" w:lineRule="auto"/>
      <w:ind w:firstLine="0" w:firstLineChars="0"/>
    </w:pPr>
    <w:rPr>
      <w:rFonts w:ascii="宋体" w:hAnsi="宋体"/>
      <w:sz w:val="22"/>
      <w:szCs w:val="22"/>
      <w:lang w:eastAsia="en-US"/>
    </w:rPr>
  </w:style>
  <w:style w:type="character" w:customStyle="1" w:styleId="161">
    <w:name w:val="font41"/>
    <w:uiPriority w:val="0"/>
    <w:rPr>
      <w:rFonts w:hint="default" w:ascii="Times New Roman" w:hAnsi="Times New Roman" w:cs="Times New Roman"/>
      <w:color w:val="000000"/>
      <w:sz w:val="21"/>
      <w:szCs w:val="21"/>
      <w:u w:val="none"/>
    </w:rPr>
  </w:style>
  <w:style w:type="paragraph" w:customStyle="1" w:styleId="162">
    <w:name w:val="项目小标"/>
    <w:basedOn w:val="7"/>
    <w:link w:val="163"/>
    <w:qFormat/>
    <w:uiPriority w:val="0"/>
    <w:pPr>
      <w:numPr>
        <w:ilvl w:val="0"/>
        <w:numId w:val="7"/>
      </w:numPr>
    </w:pPr>
  </w:style>
  <w:style w:type="character" w:customStyle="1" w:styleId="163">
    <w:name w:val="项目小标 字符"/>
    <w:basedOn w:val="71"/>
    <w:link w:val="162"/>
    <w:uiPriority w:val="0"/>
    <w:rPr>
      <w:rFonts w:eastAsia="宋体" w:cs="宋体" w:asciiTheme="minorHAnsi" w:hAnsiTheme="minorHAnsi"/>
      <w:b/>
      <w:kern w:val="0"/>
      <w:sz w:val="24"/>
      <w:szCs w:val="28"/>
    </w:rPr>
  </w:style>
  <w:style w:type="paragraph" w:customStyle="1" w:styleId="164">
    <w:name w:val="Revision"/>
    <w:hidden/>
    <w:semiHidden/>
    <w:uiPriority w:val="99"/>
    <w:rPr>
      <w:rFonts w:eastAsia="宋体" w:cs="宋体" w:asciiTheme="minorHAnsi" w:hAnsiTheme="minorHAnsi"/>
      <w:sz w:val="24"/>
      <w:szCs w:val="24"/>
      <w:lang w:val="en-US" w:eastAsia="zh-CN" w:bidi="ar-SA"/>
    </w:rPr>
  </w:style>
  <w:style w:type="paragraph" w:customStyle="1" w:styleId="165">
    <w:name w:val="报告书正文（林）"/>
    <w:basedOn w:val="1"/>
    <w:link w:val="182"/>
    <w:uiPriority w:val="0"/>
    <w:pPr>
      <w:widowControl w:val="0"/>
      <w:topLinePunct/>
      <w:jc w:val="both"/>
      <w:textAlignment w:val="baseline"/>
    </w:pPr>
    <w:rPr>
      <w:rFonts w:ascii="Times New Roman" w:hAnsi="Times New Roman" w:cs="Times New Roman"/>
      <w:color w:val="000000"/>
      <w:kern w:val="2"/>
    </w:rPr>
  </w:style>
  <w:style w:type="paragraph" w:customStyle="1" w:styleId="166">
    <w:name w:val="报告书标题4（林）"/>
    <w:basedOn w:val="6"/>
    <w:next w:val="1"/>
    <w:qFormat/>
    <w:uiPriority w:val="0"/>
    <w:pPr>
      <w:tabs>
        <w:tab w:val="left" w:pos="735"/>
        <w:tab w:val="left" w:pos="864"/>
      </w:tabs>
      <w:spacing w:before="50" w:beforeLines="50" w:after="50" w:afterLines="50"/>
      <w:ind w:left="2126" w:hanging="850"/>
    </w:pPr>
    <w:rPr>
      <w:rFonts w:ascii="Times New Roman" w:hAnsi="宋体" w:eastAsia="黑体" w:cs="Times New Roman"/>
      <w:color w:val="000000"/>
      <w:spacing w:val="-2"/>
      <w:kern w:val="28"/>
    </w:rPr>
  </w:style>
  <w:style w:type="paragraph" w:customStyle="1" w:styleId="167">
    <w:name w:val="万澈 正文"/>
    <w:basedOn w:val="1"/>
    <w:qFormat/>
    <w:uiPriority w:val="0"/>
    <w:pPr>
      <w:widowControl w:val="0"/>
      <w:ind w:firstLine="480"/>
      <w:jc w:val="both"/>
    </w:pPr>
    <w:rPr>
      <w:rFonts w:ascii="Times New Roman" w:hAnsi="Times New Roman" w:cs="Times New Roman"/>
      <w:kern w:val="2"/>
    </w:rPr>
  </w:style>
  <w:style w:type="character" w:customStyle="1" w:styleId="168">
    <w:name w:val="tajicy Char"/>
    <w:link w:val="169"/>
    <w:uiPriority w:val="0"/>
    <w:rPr>
      <w:color w:val="008000"/>
      <w:kern w:val="2"/>
      <w:sz w:val="24"/>
      <w:lang w:val="en-GB"/>
    </w:rPr>
  </w:style>
  <w:style w:type="paragraph" w:customStyle="1" w:styleId="169">
    <w:name w:val="tajicy"/>
    <w:basedOn w:val="1"/>
    <w:link w:val="168"/>
    <w:uiPriority w:val="0"/>
    <w:pPr>
      <w:widowControl w:val="0"/>
      <w:adjustRightInd w:val="0"/>
      <w:snapToGrid w:val="0"/>
      <w:ind w:firstLine="480"/>
    </w:pPr>
    <w:rPr>
      <w:rFonts w:ascii="Times New Roman" w:hAnsi="Times New Roman" w:cs="Times New Roman"/>
      <w:color w:val="008000"/>
      <w:kern w:val="2"/>
      <w:szCs w:val="20"/>
      <w:lang w:val="en-GB"/>
    </w:rPr>
  </w:style>
  <w:style w:type="character" w:customStyle="1" w:styleId="170">
    <w:name w:val="表格1 Char1"/>
    <w:link w:val="171"/>
    <w:uiPriority w:val="0"/>
    <w:rPr>
      <w:rFonts w:ascii="宋体" w:hAnsi="宋体"/>
      <w:bCs/>
      <w:snapToGrid w:val="0"/>
      <w:color w:val="000000"/>
      <w:sz w:val="24"/>
      <w:szCs w:val="9"/>
    </w:rPr>
  </w:style>
  <w:style w:type="paragraph" w:customStyle="1" w:styleId="171">
    <w:name w:val="表格1"/>
    <w:basedOn w:val="1"/>
    <w:next w:val="1"/>
    <w:link w:val="170"/>
    <w:uiPriority w:val="0"/>
    <w:pPr>
      <w:widowControl w:val="0"/>
      <w:adjustRightInd w:val="0"/>
      <w:snapToGrid w:val="0"/>
      <w:spacing w:beforeLines="25" w:afterLines="25"/>
      <w:ind w:left="-30" w:leftChars="-30" w:right="-30" w:rightChars="-30"/>
      <w:jc w:val="center"/>
    </w:pPr>
    <w:rPr>
      <w:rFonts w:ascii="宋体" w:hAnsi="宋体" w:cs="Times New Roman"/>
      <w:bCs/>
      <w:snapToGrid w:val="0"/>
      <w:color w:val="000000"/>
      <w:szCs w:val="9"/>
    </w:rPr>
  </w:style>
  <w:style w:type="paragraph" w:customStyle="1" w:styleId="172">
    <w:name w:val="表1表2"/>
    <w:basedOn w:val="1"/>
    <w:uiPriority w:val="0"/>
    <w:pPr>
      <w:widowControl w:val="0"/>
      <w:autoSpaceDE w:val="0"/>
      <w:autoSpaceDN w:val="0"/>
      <w:adjustRightInd w:val="0"/>
      <w:spacing w:line="240" w:lineRule="auto"/>
      <w:ind w:firstLine="0" w:firstLineChars="0"/>
      <w:jc w:val="center"/>
      <w:textAlignment w:val="center"/>
    </w:pPr>
    <w:rPr>
      <w:rFonts w:ascii="Times New Roman" w:hAnsi="Times New Roman" w:eastAsia="仿宋_GB2312" w:cs="Times New Roman"/>
      <w:spacing w:val="-2"/>
      <w:sz w:val="21"/>
      <w:szCs w:val="21"/>
    </w:rPr>
  </w:style>
  <w:style w:type="paragraph" w:customStyle="1" w:styleId="173">
    <w:name w:val="表格文字"/>
    <w:basedOn w:val="1"/>
    <w:qFormat/>
    <w:uiPriority w:val="0"/>
    <w:pPr>
      <w:widowControl w:val="0"/>
      <w:autoSpaceDE w:val="0"/>
      <w:autoSpaceDN w:val="0"/>
      <w:adjustRightInd w:val="0"/>
      <w:snapToGrid w:val="0"/>
      <w:spacing w:before="50" w:after="50" w:line="300" w:lineRule="auto"/>
      <w:jc w:val="center"/>
    </w:pPr>
    <w:rPr>
      <w:rFonts w:ascii="宋体" w:hAnsi="宋体" w:cs="Times New Roman"/>
      <w:spacing w:val="-2"/>
      <w:sz w:val="21"/>
      <w:szCs w:val="20"/>
    </w:rPr>
  </w:style>
  <w:style w:type="paragraph" w:styleId="174">
    <w:name w:val="No Spacing"/>
    <w:link w:val="176"/>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75">
    <w:name w:val="样式二"/>
    <w:basedOn w:val="4"/>
    <w:uiPriority w:val="0"/>
    <w:pPr>
      <w:keepNext w:val="0"/>
      <w:keepLines w:val="0"/>
      <w:widowControl w:val="0"/>
      <w:numPr>
        <w:ilvl w:val="0"/>
        <w:numId w:val="0"/>
      </w:numPr>
      <w:tabs>
        <w:tab w:val="left" w:pos="2058"/>
        <w:tab w:val="clear" w:pos="0"/>
      </w:tabs>
      <w:adjustRightInd w:val="0"/>
      <w:snapToGrid w:val="0"/>
      <w:spacing w:before="160" w:after="160" w:line="416" w:lineRule="atLeast"/>
    </w:pPr>
    <w:rPr>
      <w:rFonts w:ascii="Times New Roman" w:hAnsi="Times New Roman" w:eastAsia="黑体"/>
      <w:spacing w:val="-2"/>
      <w:kern w:val="2"/>
      <w:sz w:val="32"/>
      <w:szCs w:val="20"/>
    </w:rPr>
  </w:style>
  <w:style w:type="character" w:customStyle="1" w:styleId="176">
    <w:name w:val="无间隔 字符"/>
    <w:link w:val="174"/>
    <w:qFormat/>
    <w:uiPriority w:val="0"/>
    <w:rPr>
      <w:kern w:val="2"/>
      <w:sz w:val="21"/>
      <w:szCs w:val="24"/>
    </w:rPr>
  </w:style>
  <w:style w:type="paragraph" w:customStyle="1" w:styleId="177">
    <w:name w:val="表 内容"/>
    <w:basedOn w:val="1"/>
    <w:qFormat/>
    <w:uiPriority w:val="0"/>
    <w:pPr>
      <w:widowControl w:val="0"/>
      <w:adjustRightInd w:val="0"/>
      <w:snapToGrid w:val="0"/>
      <w:spacing w:beforeLines="15" w:afterLines="15" w:line="240" w:lineRule="auto"/>
      <w:ind w:firstLine="0" w:firstLineChars="0"/>
      <w:jc w:val="center"/>
    </w:pPr>
    <w:rPr>
      <w:rFonts w:ascii="Times New Roman" w:hAnsi="Times New Roman" w:cs="Times New Roman"/>
      <w:kern w:val="2"/>
      <w:sz w:val="21"/>
      <w:szCs w:val="21"/>
      <w:lang w:val="en-GB" w:eastAsia="zh-TW"/>
    </w:rPr>
  </w:style>
  <w:style w:type="paragraph" w:customStyle="1" w:styleId="178">
    <w:name w:val="表格题名"/>
    <w:basedOn w:val="1"/>
    <w:qFormat/>
    <w:uiPriority w:val="0"/>
    <w:pPr>
      <w:widowControl w:val="0"/>
      <w:spacing w:line="240" w:lineRule="auto"/>
      <w:ind w:firstLine="0" w:firstLineChars="0"/>
      <w:jc w:val="center"/>
      <w:textAlignment w:val="baseline"/>
    </w:pPr>
    <w:rPr>
      <w:rFonts w:ascii="Times New Roman" w:hAnsi="Times New Roman" w:cs="Times New Roman"/>
      <w:b/>
      <w:sz w:val="21"/>
      <w:szCs w:val="20"/>
      <w:lang w:val="en-GB" w:eastAsia="zh-TW"/>
    </w:rPr>
  </w:style>
  <w:style w:type="character" w:customStyle="1" w:styleId="179">
    <w:name w:val="表格 Char"/>
    <w:link w:val="180"/>
    <w:uiPriority w:val="0"/>
    <w:rPr>
      <w:rFonts w:cs="宋体"/>
      <w:snapToGrid w:val="0"/>
      <w:sz w:val="21"/>
    </w:rPr>
  </w:style>
  <w:style w:type="paragraph" w:customStyle="1" w:styleId="180">
    <w:name w:val="表格"/>
    <w:basedOn w:val="142"/>
    <w:link w:val="179"/>
    <w:uiPriority w:val="0"/>
    <w:pPr>
      <w:widowControl w:val="0"/>
      <w:tabs>
        <w:tab w:val="left" w:pos="945"/>
        <w:tab w:val="right" w:leader="dot" w:pos="1155"/>
        <w:tab w:val="left" w:pos="8715"/>
      </w:tabs>
      <w:spacing w:before="0" w:beforeLines="15" w:after="0"/>
      <w:ind w:left="0" w:leftChars="0" w:right="0" w:rightChars="0" w:firstLine="420" w:firstLineChars="200"/>
    </w:pPr>
    <w:rPr>
      <w:rFonts w:cs="宋体"/>
      <w:color w:val="auto"/>
      <w:sz w:val="21"/>
      <w:szCs w:val="20"/>
    </w:rPr>
  </w:style>
  <w:style w:type="paragraph" w:customStyle="1" w:styleId="181">
    <w:name w:val="样式 表格 32 + 首行缩进:  2 字符"/>
    <w:basedOn w:val="1"/>
    <w:uiPriority w:val="0"/>
    <w:pPr>
      <w:autoSpaceDE w:val="0"/>
      <w:autoSpaceDN w:val="0"/>
      <w:adjustRightInd w:val="0"/>
      <w:spacing w:line="0" w:lineRule="atLeast"/>
      <w:ind w:firstLine="0" w:firstLineChars="0"/>
      <w:jc w:val="center"/>
      <w:textAlignment w:val="baseline"/>
    </w:pPr>
    <w:rPr>
      <w:rFonts w:ascii="Times New Roman" w:hAnsi="Times New Roman" w:cs="Times New Roman"/>
      <w:spacing w:val="-2"/>
      <w:sz w:val="21"/>
      <w:szCs w:val="21"/>
    </w:rPr>
  </w:style>
  <w:style w:type="character" w:customStyle="1" w:styleId="182">
    <w:name w:val="报告书正文（林） Char"/>
    <w:link w:val="165"/>
    <w:qFormat/>
    <w:uiPriority w:val="0"/>
    <w:rPr>
      <w:color w:val="000000"/>
      <w:kern w:val="2"/>
      <w:sz w:val="24"/>
      <w:szCs w:val="24"/>
    </w:rPr>
  </w:style>
  <w:style w:type="paragraph" w:customStyle="1" w:styleId="183">
    <w:name w:val="报告书表格文（林）"/>
    <w:basedOn w:val="1"/>
    <w:uiPriority w:val="0"/>
    <w:pPr>
      <w:widowControl w:val="0"/>
      <w:spacing w:line="280" w:lineRule="exact"/>
      <w:ind w:firstLine="0" w:firstLineChars="0"/>
      <w:jc w:val="center"/>
    </w:pPr>
    <w:rPr>
      <w:rFonts w:ascii="Times New Roman" w:hAnsi="Times New Roman" w:cs="Times New Roman"/>
      <w:kern w:val="2"/>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60.png"/><Relationship Id="rId98" Type="http://schemas.openxmlformats.org/officeDocument/2006/relationships/image" Target="media/image59.png"/><Relationship Id="rId97" Type="http://schemas.openxmlformats.org/officeDocument/2006/relationships/image" Target="media/image58.png"/><Relationship Id="rId96" Type="http://schemas.openxmlformats.org/officeDocument/2006/relationships/image" Target="media/image57.png"/><Relationship Id="rId95" Type="http://schemas.openxmlformats.org/officeDocument/2006/relationships/image" Target="media/image56.png"/><Relationship Id="rId94" Type="http://schemas.openxmlformats.org/officeDocument/2006/relationships/image" Target="media/image55.png"/><Relationship Id="rId93" Type="http://schemas.openxmlformats.org/officeDocument/2006/relationships/image" Target="media/image54.png"/><Relationship Id="rId92" Type="http://schemas.openxmlformats.org/officeDocument/2006/relationships/image" Target="media/image53.png"/><Relationship Id="rId91" Type="http://schemas.openxmlformats.org/officeDocument/2006/relationships/image" Target="media/image52.wmf"/><Relationship Id="rId90" Type="http://schemas.openxmlformats.org/officeDocument/2006/relationships/oleObject" Target="embeddings/oleObject11.bin"/><Relationship Id="rId9" Type="http://schemas.openxmlformats.org/officeDocument/2006/relationships/footer" Target="footer4.xml"/><Relationship Id="rId89" Type="http://schemas.openxmlformats.org/officeDocument/2006/relationships/image" Target="media/image51.wmf"/><Relationship Id="rId88" Type="http://schemas.openxmlformats.org/officeDocument/2006/relationships/oleObject" Target="embeddings/oleObject10.bin"/><Relationship Id="rId87" Type="http://schemas.openxmlformats.org/officeDocument/2006/relationships/image" Target="media/image50.wmf"/><Relationship Id="rId86" Type="http://schemas.openxmlformats.org/officeDocument/2006/relationships/oleObject" Target="embeddings/oleObject9.bin"/><Relationship Id="rId85" Type="http://schemas.openxmlformats.org/officeDocument/2006/relationships/image" Target="media/image49.wmf"/><Relationship Id="rId84" Type="http://schemas.openxmlformats.org/officeDocument/2006/relationships/image" Target="media/image48.wmf"/><Relationship Id="rId83" Type="http://schemas.openxmlformats.org/officeDocument/2006/relationships/image" Target="media/image47.wmf"/><Relationship Id="rId82" Type="http://schemas.openxmlformats.org/officeDocument/2006/relationships/image" Target="media/image46.png"/><Relationship Id="rId81" Type="http://schemas.openxmlformats.org/officeDocument/2006/relationships/image" Target="media/image45.wmf"/><Relationship Id="rId80" Type="http://schemas.openxmlformats.org/officeDocument/2006/relationships/image" Target="media/image44.emf"/><Relationship Id="rId8" Type="http://schemas.openxmlformats.org/officeDocument/2006/relationships/footer" Target="footer3.xml"/><Relationship Id="rId79" Type="http://schemas.openxmlformats.org/officeDocument/2006/relationships/image" Target="media/image43.emf"/><Relationship Id="rId78" Type="http://schemas.openxmlformats.org/officeDocument/2006/relationships/image" Target="media/image42.emf"/><Relationship Id="rId77" Type="http://schemas.openxmlformats.org/officeDocument/2006/relationships/chart" Target="charts/chart3.xml"/><Relationship Id="rId76" Type="http://schemas.openxmlformats.org/officeDocument/2006/relationships/chart" Target="charts/chart2.xml"/><Relationship Id="rId75" Type="http://schemas.openxmlformats.org/officeDocument/2006/relationships/chart" Target="charts/chart1.xml"/><Relationship Id="rId74" Type="http://schemas.openxmlformats.org/officeDocument/2006/relationships/image" Target="media/image41.emf"/><Relationship Id="rId73" Type="http://schemas.openxmlformats.org/officeDocument/2006/relationships/image" Target="media/image40.wmf"/><Relationship Id="rId72" Type="http://schemas.openxmlformats.org/officeDocument/2006/relationships/oleObject" Target="embeddings/oleObject8.bin"/><Relationship Id="rId71" Type="http://schemas.openxmlformats.org/officeDocument/2006/relationships/image" Target="media/image39.png"/><Relationship Id="rId70" Type="http://schemas.openxmlformats.org/officeDocument/2006/relationships/oleObject" Target="embeddings/oleObject7.bin"/><Relationship Id="rId7" Type="http://schemas.openxmlformats.org/officeDocument/2006/relationships/footer" Target="footer2.xml"/><Relationship Id="rId69" Type="http://schemas.openxmlformats.org/officeDocument/2006/relationships/oleObject" Target="embeddings/oleObject6.bin"/><Relationship Id="rId68" Type="http://schemas.openxmlformats.org/officeDocument/2006/relationships/image" Target="media/image38.wmf"/><Relationship Id="rId67" Type="http://schemas.openxmlformats.org/officeDocument/2006/relationships/oleObject" Target="embeddings/oleObject5.bin"/><Relationship Id="rId66" Type="http://schemas.openxmlformats.org/officeDocument/2006/relationships/image" Target="media/image37.wmf"/><Relationship Id="rId65" Type="http://schemas.openxmlformats.org/officeDocument/2006/relationships/oleObject" Target="embeddings/oleObject4.bin"/><Relationship Id="rId64" Type="http://schemas.openxmlformats.org/officeDocument/2006/relationships/image" Target="media/image36.wmf"/><Relationship Id="rId63" Type="http://schemas.openxmlformats.org/officeDocument/2006/relationships/image" Target="media/image35.wmf"/><Relationship Id="rId62" Type="http://schemas.openxmlformats.org/officeDocument/2006/relationships/oleObject" Target="embeddings/oleObject3.bin"/><Relationship Id="rId61" Type="http://schemas.openxmlformats.org/officeDocument/2006/relationships/image" Target="media/image34.wmf"/><Relationship Id="rId60" Type="http://schemas.openxmlformats.org/officeDocument/2006/relationships/oleObject" Target="embeddings/oleObject2.bin"/><Relationship Id="rId6" Type="http://schemas.openxmlformats.org/officeDocument/2006/relationships/footer" Target="footer1.xml"/><Relationship Id="rId59" Type="http://schemas.openxmlformats.org/officeDocument/2006/relationships/image" Target="media/image33.wmf"/><Relationship Id="rId58" Type="http://schemas.openxmlformats.org/officeDocument/2006/relationships/oleObject" Target="embeddings/oleObject1.bin"/><Relationship Id="rId57" Type="http://schemas.openxmlformats.org/officeDocument/2006/relationships/image" Target="media/image32.png"/><Relationship Id="rId56" Type="http://schemas.openxmlformats.org/officeDocument/2006/relationships/image" Target="media/image31.png"/><Relationship Id="rId55" Type="http://schemas.openxmlformats.org/officeDocument/2006/relationships/image" Target="media/image30.jpeg"/><Relationship Id="rId54" Type="http://schemas.openxmlformats.org/officeDocument/2006/relationships/image" Target="media/image29.emf"/><Relationship Id="rId53" Type="http://schemas.openxmlformats.org/officeDocument/2006/relationships/image" Target="media/image28.png"/><Relationship Id="rId52" Type="http://schemas.openxmlformats.org/officeDocument/2006/relationships/image" Target="media/image27.png"/><Relationship Id="rId51" Type="http://schemas.openxmlformats.org/officeDocument/2006/relationships/image" Target="media/image26.png"/><Relationship Id="rId50" Type="http://schemas.openxmlformats.org/officeDocument/2006/relationships/image" Target="media/image25.png"/><Relationship Id="rId5" Type="http://schemas.openxmlformats.org/officeDocument/2006/relationships/header" Target="header3.xml"/><Relationship Id="rId49" Type="http://schemas.openxmlformats.org/officeDocument/2006/relationships/image" Target="media/image24.png"/><Relationship Id="rId48" Type="http://schemas.openxmlformats.org/officeDocument/2006/relationships/image" Target="media/image23.png"/><Relationship Id="rId47" Type="http://schemas.openxmlformats.org/officeDocument/2006/relationships/image" Target="media/image22.png"/><Relationship Id="rId46" Type="http://schemas.openxmlformats.org/officeDocument/2006/relationships/image" Target="media/image21.jpeg"/><Relationship Id="rId45" Type="http://schemas.openxmlformats.org/officeDocument/2006/relationships/image" Target="media/image20.jpeg"/><Relationship Id="rId44" Type="http://schemas.openxmlformats.org/officeDocument/2006/relationships/image" Target="media/image19.jpeg"/><Relationship Id="rId43" Type="http://schemas.openxmlformats.org/officeDocument/2006/relationships/image" Target="media/image18.jpeg"/><Relationship Id="rId42" Type="http://schemas.openxmlformats.org/officeDocument/2006/relationships/image" Target="media/image17.jpeg"/><Relationship Id="rId41" Type="http://schemas.openxmlformats.org/officeDocument/2006/relationships/image" Target="media/image16.jpeg"/><Relationship Id="rId40" Type="http://schemas.openxmlformats.org/officeDocument/2006/relationships/image" Target="media/image15.png"/><Relationship Id="rId4" Type="http://schemas.openxmlformats.org/officeDocument/2006/relationships/header" Target="header2.xml"/><Relationship Id="rId39" Type="http://schemas.openxmlformats.org/officeDocument/2006/relationships/image" Target="media/image14.png"/><Relationship Id="rId38" Type="http://schemas.openxmlformats.org/officeDocument/2006/relationships/image" Target="media/image13.png"/><Relationship Id="rId37" Type="http://schemas.openxmlformats.org/officeDocument/2006/relationships/image" Target="media/image12.png"/><Relationship Id="rId36" Type="http://schemas.openxmlformats.org/officeDocument/2006/relationships/image" Target="media/image11.jpeg"/><Relationship Id="rId35" Type="http://schemas.openxmlformats.org/officeDocument/2006/relationships/image" Target="media/image10.jpeg"/><Relationship Id="rId34" Type="http://schemas.openxmlformats.org/officeDocument/2006/relationships/image" Target="media/image9.jpeg"/><Relationship Id="rId33" Type="http://schemas.openxmlformats.org/officeDocument/2006/relationships/image" Target="media/image8.jpeg"/><Relationship Id="rId32" Type="http://schemas.openxmlformats.org/officeDocument/2006/relationships/image" Target="media/image7.jpeg"/><Relationship Id="rId31" Type="http://schemas.openxmlformats.org/officeDocument/2006/relationships/image" Target="media/image6.png"/><Relationship Id="rId30" Type="http://schemas.openxmlformats.org/officeDocument/2006/relationships/image" Target="media/image5.jpeg"/><Relationship Id="rId3" Type="http://schemas.openxmlformats.org/officeDocument/2006/relationships/header" Target="header1.xml"/><Relationship Id="rId29" Type="http://schemas.openxmlformats.org/officeDocument/2006/relationships/image" Target="media/image4.png"/><Relationship Id="rId28" Type="http://schemas.openxmlformats.org/officeDocument/2006/relationships/image" Target="media/image3.png"/><Relationship Id="rId27" Type="http://schemas.openxmlformats.org/officeDocument/2006/relationships/image" Target="media/image2.jpeg"/><Relationship Id="rId26" Type="http://schemas.openxmlformats.org/officeDocument/2006/relationships/image" Target="media/image1.png"/><Relationship Id="rId25" Type="http://schemas.openxmlformats.org/officeDocument/2006/relationships/theme" Target="theme/theme1.xml"/><Relationship Id="rId24" Type="http://schemas.openxmlformats.org/officeDocument/2006/relationships/footer" Target="footer16.xml"/><Relationship Id="rId23" Type="http://schemas.openxmlformats.org/officeDocument/2006/relationships/footer" Target="footer15.xml"/><Relationship Id="rId22" Type="http://schemas.openxmlformats.org/officeDocument/2006/relationships/footer" Target="footer14.xml"/><Relationship Id="rId21" Type="http://schemas.openxmlformats.org/officeDocument/2006/relationships/footer" Target="footer13.xml"/><Relationship Id="rId20" Type="http://schemas.openxmlformats.org/officeDocument/2006/relationships/footer" Target="footer12.xml"/><Relationship Id="rId2" Type="http://schemas.openxmlformats.org/officeDocument/2006/relationships/settings" Target="settings.xml"/><Relationship Id="rId19" Type="http://schemas.openxmlformats.org/officeDocument/2006/relationships/header" Target="header6.xml"/><Relationship Id="rId18" Type="http://schemas.openxmlformats.org/officeDocument/2006/relationships/header" Target="header5.xml"/><Relationship Id="rId17" Type="http://schemas.openxmlformats.org/officeDocument/2006/relationships/footer" Target="footer11.xml"/><Relationship Id="rId16" Type="http://schemas.openxmlformats.org/officeDocument/2006/relationships/footer" Target="footer10.xml"/><Relationship Id="rId15" Type="http://schemas.openxmlformats.org/officeDocument/2006/relationships/footer" Target="footer9.xml"/><Relationship Id="rId14" Type="http://schemas.openxmlformats.org/officeDocument/2006/relationships/footer" Target="footer8.xml"/><Relationship Id="rId13" Type="http://schemas.openxmlformats.org/officeDocument/2006/relationships/footer" Target="footer7.xml"/><Relationship Id="rId122" Type="http://schemas.openxmlformats.org/officeDocument/2006/relationships/fontTable" Target="fontTable.xml"/><Relationship Id="rId121" Type="http://schemas.openxmlformats.org/officeDocument/2006/relationships/customXml" Target="../customXml/item2.xml"/><Relationship Id="rId120" Type="http://schemas.openxmlformats.org/officeDocument/2006/relationships/numbering" Target="numbering.xml"/><Relationship Id="rId12" Type="http://schemas.openxmlformats.org/officeDocument/2006/relationships/header" Target="header4.xml"/><Relationship Id="rId119" Type="http://schemas.openxmlformats.org/officeDocument/2006/relationships/customXml" Target="../customXml/item1.xml"/><Relationship Id="rId118" Type="http://schemas.openxmlformats.org/officeDocument/2006/relationships/image" Target="media/image79.png"/><Relationship Id="rId117" Type="http://schemas.openxmlformats.org/officeDocument/2006/relationships/image" Target="media/image78.png"/><Relationship Id="rId116" Type="http://schemas.openxmlformats.org/officeDocument/2006/relationships/image" Target="media/image77.png"/><Relationship Id="rId115" Type="http://schemas.openxmlformats.org/officeDocument/2006/relationships/image" Target="media/image76.png"/><Relationship Id="rId114" Type="http://schemas.openxmlformats.org/officeDocument/2006/relationships/image" Target="media/image75.png"/><Relationship Id="rId113" Type="http://schemas.openxmlformats.org/officeDocument/2006/relationships/image" Target="media/image74.png"/><Relationship Id="rId112" Type="http://schemas.openxmlformats.org/officeDocument/2006/relationships/image" Target="media/image73.png"/><Relationship Id="rId111" Type="http://schemas.openxmlformats.org/officeDocument/2006/relationships/image" Target="media/image72.png"/><Relationship Id="rId110" Type="http://schemas.openxmlformats.org/officeDocument/2006/relationships/image" Target="media/image71.png"/><Relationship Id="rId11" Type="http://schemas.openxmlformats.org/officeDocument/2006/relationships/footer" Target="footer6.xml"/><Relationship Id="rId109" Type="http://schemas.openxmlformats.org/officeDocument/2006/relationships/image" Target="media/image70.png"/><Relationship Id="rId108" Type="http://schemas.openxmlformats.org/officeDocument/2006/relationships/image" Target="media/image69.png"/><Relationship Id="rId107" Type="http://schemas.openxmlformats.org/officeDocument/2006/relationships/image" Target="media/image68.png"/><Relationship Id="rId106" Type="http://schemas.openxmlformats.org/officeDocument/2006/relationships/image" Target="media/image67.png"/><Relationship Id="rId105" Type="http://schemas.openxmlformats.org/officeDocument/2006/relationships/image" Target="media/image66.png"/><Relationship Id="rId104" Type="http://schemas.openxmlformats.org/officeDocument/2006/relationships/image" Target="media/image65.png"/><Relationship Id="rId103" Type="http://schemas.openxmlformats.org/officeDocument/2006/relationships/image" Target="media/image64.png"/><Relationship Id="rId102" Type="http://schemas.openxmlformats.org/officeDocument/2006/relationships/image" Target="media/image63.png"/><Relationship Id="rId101" Type="http://schemas.openxmlformats.org/officeDocument/2006/relationships/image" Target="media/image62.png"/><Relationship Id="rId100" Type="http://schemas.openxmlformats.org/officeDocument/2006/relationships/image" Target="media/image61.png"/><Relationship Id="rId10" Type="http://schemas.openxmlformats.org/officeDocument/2006/relationships/footer" Target="footer5.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E:\&#27668;&#35937;&#36164;&#26009;\2017&#24180;\&#24320;&#24179;\&#38468;&#34920;&#21644;&#22270;&#20214;.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27668;&#35937;&#36164;&#26009;\2017&#24180;\&#24320;&#24179;\&#38468;&#34920;&#21644;&#22270;&#20214;.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27668;&#35937;&#36164;&#26009;\2017&#24180;\&#24320;&#24179;\&#38468;&#34920;&#21644;&#22270;&#20214;.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9344448194758"/>
          <c:y val="0.213523131672598"/>
          <c:w val="0.800547516099295"/>
          <c:h val="0.619217081850534"/>
        </c:manualLayout>
      </c:layout>
      <c:lineChart>
        <c:grouping val="standard"/>
        <c:varyColors val="0"/>
        <c:ser>
          <c:idx val="0"/>
          <c:order val="0"/>
          <c:tx>
            <c:strRef>
              <c:f>数据!$A$3</c:f>
              <c:strCache>
                <c:ptCount val="1"/>
                <c:pt idx="0">
                  <c:v>  温度(℃)  </c:v>
                </c:pt>
              </c:strCache>
            </c:strRef>
          </c:tx>
          <c:spPr>
            <a:ln w="12700" cap="rnd" cmpd="sng" algn="ctr">
              <a:solidFill>
                <a:srgbClr val="000080"/>
              </a:solidFill>
              <a:prstDash val="solid"/>
              <a:round/>
            </a:ln>
          </c:spPr>
          <c:marker>
            <c:symbol val="diamond"/>
            <c:size val="5"/>
            <c:spPr>
              <a:solidFill>
                <a:srgbClr val="000080"/>
              </a:solidFill>
              <a:ln w="9525" cap="flat" cmpd="sng" algn="ctr">
                <a:solidFill>
                  <a:srgbClr val="000080"/>
                </a:solidFill>
                <a:prstDash val="solid"/>
                <a:round/>
              </a:ln>
            </c:spPr>
          </c:marker>
          <c:dLbls>
            <c:delete val="1"/>
          </c:dLbls>
          <c:cat>
            <c:strRef>
              <c:f>数据!$B$2:$M$2</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数据!$B$3:$M$3</c:f>
              <c:numCache>
                <c:formatCode>0.00_ </c:formatCode>
                <c:ptCount val="12"/>
                <c:pt idx="0">
                  <c:v>14.2600002288818</c:v>
                </c:pt>
                <c:pt idx="1">
                  <c:v>13.6499996185303</c:v>
                </c:pt>
                <c:pt idx="2">
                  <c:v>17.6000003814697</c:v>
                </c:pt>
                <c:pt idx="3">
                  <c:v>24.4400005340576</c:v>
                </c:pt>
                <c:pt idx="4">
                  <c:v>26.8600006103516</c:v>
                </c:pt>
                <c:pt idx="5">
                  <c:v>28.9300003051758</c:v>
                </c:pt>
                <c:pt idx="6">
                  <c:v>29.3799991607666</c:v>
                </c:pt>
                <c:pt idx="7">
                  <c:v>28.7000007629395</c:v>
                </c:pt>
                <c:pt idx="8">
                  <c:v>27.8299999237061</c:v>
                </c:pt>
                <c:pt idx="9">
                  <c:v>26.2000007629395</c:v>
                </c:pt>
                <c:pt idx="10">
                  <c:v>20.3899993896484</c:v>
                </c:pt>
                <c:pt idx="11">
                  <c:v>17.9300003051758</c:v>
                </c:pt>
              </c:numCache>
            </c:numRef>
          </c:val>
          <c:smooth val="0"/>
        </c:ser>
        <c:dLbls>
          <c:showLegendKey val="0"/>
          <c:showVal val="0"/>
          <c:showCatName val="0"/>
          <c:showSerName val="0"/>
          <c:showPercent val="0"/>
          <c:showBubbleSize val="0"/>
        </c:dLbls>
        <c:marker val="1"/>
        <c:smooth val="0"/>
        <c:axId val="418852224"/>
        <c:axId val="418898304"/>
      </c:lineChart>
      <c:catAx>
        <c:axId val="418852224"/>
        <c:scaling>
          <c:orientation val="minMax"/>
        </c:scaling>
        <c:delete val="0"/>
        <c:axPos val="b"/>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418898304"/>
        <c:crosses val="autoZero"/>
        <c:auto val="1"/>
        <c:lblAlgn val="ctr"/>
        <c:lblOffset val="100"/>
        <c:tickLblSkip val="1"/>
        <c:noMultiLvlLbl val="0"/>
      </c:catAx>
      <c:valAx>
        <c:axId val="418898304"/>
        <c:scaling>
          <c:orientation val="minMax"/>
        </c:scaling>
        <c:delete val="0"/>
        <c:axPos val="l"/>
        <c:majorGridlines>
          <c:spPr>
            <a:ln w="3175" cap="flat" cmpd="sng" algn="ctr">
              <a:solidFill>
                <a:srgbClr val="000000"/>
              </a:solidFill>
              <a:prstDash val="solid"/>
              <a:round/>
            </a:ln>
          </c:spPr>
        </c:majorGridlines>
        <c:title>
          <c:tx>
            <c:rich>
              <a:bodyPr rot="-54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温度</a:t>
                </a:r>
                <a:r>
                  <a:rPr lang="en-US" altLang="zh-CN"/>
                  <a:t>(℃) </a:t>
                </a:r>
                <a:endParaRPr lang="en-US" altLang="zh-CN"/>
              </a:p>
            </c:rich>
          </c:tx>
          <c:layout>
            <c:manualLayout>
              <c:xMode val="edge"/>
              <c:yMode val="edge"/>
              <c:x val="0.0101895271874389"/>
              <c:y val="0.362750438700287"/>
            </c:manualLayout>
          </c:layout>
          <c:overlay val="0"/>
          <c:spPr>
            <a:noFill/>
            <a:ln w="25400">
              <a:noFill/>
            </a:ln>
          </c:spPr>
        </c:title>
        <c:numFmt formatCode="0.00_ "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418852224"/>
        <c:crosses val="autoZero"/>
        <c:crossBetween val="between"/>
      </c:valAx>
      <c:spPr>
        <a:solidFill>
          <a:srgbClr val="C0C0C0"/>
        </a:solidFill>
        <a:ln w="12700">
          <a:solidFill>
            <a:srgbClr val="808080"/>
          </a:solidFill>
          <a:prstDash val="solid"/>
        </a:ln>
      </c:spPr>
    </c:plotArea>
    <c:plotVisOnly val="1"/>
    <c:dispBlanksAs val="gap"/>
    <c:showDLblsOverMax val="0"/>
  </c:chart>
  <c:spPr>
    <a:solidFill>
      <a:srgbClr val="FFFFFF"/>
    </a:solidFill>
    <a:ln w="3175" cap="flat" cmpd="sng" algn="ctr">
      <a:solidFill>
        <a:srgbClr val="000000"/>
      </a:solidFill>
      <a:prstDash val="solid"/>
      <a:round/>
    </a:ln>
  </c:spPr>
  <c:txPr>
    <a:bodyPr/>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397345487308"/>
          <c:y val="0.213523131672598"/>
          <c:w val="0.820548494052664"/>
          <c:h val="0.619217081850534"/>
        </c:manualLayout>
      </c:layout>
      <c:lineChart>
        <c:grouping val="standard"/>
        <c:varyColors val="0"/>
        <c:ser>
          <c:idx val="0"/>
          <c:order val="0"/>
          <c:tx>
            <c:strRef>
              <c:f>数据!$A$7</c:f>
              <c:strCache>
                <c:ptCount val="1"/>
                <c:pt idx="0">
                  <c:v> 风速(m/s)  </c:v>
                </c:pt>
              </c:strCache>
            </c:strRef>
          </c:tx>
          <c:spPr>
            <a:ln w="12700" cap="rnd" cmpd="sng" algn="ctr">
              <a:solidFill>
                <a:srgbClr val="000080"/>
              </a:solidFill>
              <a:prstDash val="solid"/>
              <a:round/>
            </a:ln>
          </c:spPr>
          <c:marker>
            <c:symbol val="diamond"/>
            <c:size val="5"/>
            <c:spPr>
              <a:solidFill>
                <a:srgbClr val="000080"/>
              </a:solidFill>
              <a:ln w="9525" cap="flat" cmpd="sng" algn="ctr">
                <a:solidFill>
                  <a:srgbClr val="000080"/>
                </a:solidFill>
                <a:prstDash val="solid"/>
                <a:round/>
              </a:ln>
            </c:spPr>
          </c:marker>
          <c:dLbls>
            <c:delete val="1"/>
          </c:dLbls>
          <c:cat>
            <c:strRef>
              <c:f>数据!$B$6:$M$6</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数据!$B$7:$M$7</c:f>
              <c:numCache>
                <c:formatCode>0.00_ </c:formatCode>
                <c:ptCount val="12"/>
                <c:pt idx="0">
                  <c:v>2.13000011444092</c:v>
                </c:pt>
                <c:pt idx="1">
                  <c:v>2.26999998092651</c:v>
                </c:pt>
                <c:pt idx="2">
                  <c:v>1.8400000333786</c:v>
                </c:pt>
                <c:pt idx="3">
                  <c:v>2.17000007629395</c:v>
                </c:pt>
                <c:pt idx="4">
                  <c:v>2.29999995231628</c:v>
                </c:pt>
                <c:pt idx="5">
                  <c:v>1.97000002861023</c:v>
                </c:pt>
                <c:pt idx="6">
                  <c:v>2.07999992370605</c:v>
                </c:pt>
                <c:pt idx="7">
                  <c:v>2.03999996185303</c:v>
                </c:pt>
                <c:pt idx="8">
                  <c:v>1.95000004768372</c:v>
                </c:pt>
                <c:pt idx="9">
                  <c:v>2.24000000953674</c:v>
                </c:pt>
                <c:pt idx="10">
                  <c:v>1.97000002861023</c:v>
                </c:pt>
                <c:pt idx="11">
                  <c:v>2</c:v>
                </c:pt>
              </c:numCache>
            </c:numRef>
          </c:val>
          <c:smooth val="0"/>
        </c:ser>
        <c:dLbls>
          <c:showLegendKey val="0"/>
          <c:showVal val="0"/>
          <c:showCatName val="0"/>
          <c:showSerName val="0"/>
          <c:showPercent val="0"/>
          <c:showBubbleSize val="0"/>
        </c:dLbls>
        <c:marker val="1"/>
        <c:smooth val="0"/>
        <c:axId val="422604160"/>
        <c:axId val="422611200"/>
      </c:lineChart>
      <c:catAx>
        <c:axId val="422604160"/>
        <c:scaling>
          <c:orientation val="minMax"/>
        </c:scaling>
        <c:delete val="0"/>
        <c:axPos val="b"/>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422611200"/>
        <c:crosses val="autoZero"/>
        <c:auto val="1"/>
        <c:lblAlgn val="ctr"/>
        <c:lblOffset val="100"/>
        <c:tickLblSkip val="1"/>
        <c:noMultiLvlLbl val="0"/>
      </c:catAx>
      <c:valAx>
        <c:axId val="422611200"/>
        <c:scaling>
          <c:orientation val="minMax"/>
        </c:scaling>
        <c:delete val="0"/>
        <c:axPos val="l"/>
        <c:majorGridlines>
          <c:spPr>
            <a:ln w="3175" cap="flat" cmpd="sng" algn="ctr">
              <a:solidFill>
                <a:srgbClr val="000000"/>
              </a:solidFill>
              <a:prstDash val="solid"/>
              <a:round/>
            </a:ln>
          </c:spPr>
        </c:majorGridlines>
        <c:title>
          <c:tx>
            <c:rich>
              <a:bodyPr rot="-54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风速</a:t>
                </a:r>
                <a:r>
                  <a:rPr lang="en-US" altLang="zh-CN"/>
                  <a:t>(</a:t>
                </a:r>
                <a:r>
                  <a:rPr lang="en-US" altLang="en-US"/>
                  <a:t>m/s) </a:t>
                </a:r>
                <a:endParaRPr lang="en-US" altLang="en-US"/>
              </a:p>
            </c:rich>
          </c:tx>
          <c:layout>
            <c:manualLayout>
              <c:xMode val="edge"/>
              <c:yMode val="edge"/>
              <c:x val="0.0069726905165441"/>
              <c:y val="0.312848900826731"/>
            </c:manualLayout>
          </c:layout>
          <c:overlay val="0"/>
          <c:spPr>
            <a:noFill/>
            <a:ln w="25400">
              <a:noFill/>
            </a:ln>
          </c:spPr>
        </c:title>
        <c:numFmt formatCode="0.00_ " sourceLinked="0"/>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422604160"/>
        <c:crosses val="autoZero"/>
        <c:crossBetween val="between"/>
      </c:valAx>
      <c:spPr>
        <a:solidFill>
          <a:srgbClr val="C0C0C0"/>
        </a:solidFill>
        <a:ln w="12700">
          <a:solidFill>
            <a:srgbClr val="808080"/>
          </a:solidFill>
          <a:prstDash val="solid"/>
        </a:ln>
      </c:spPr>
    </c:plotArea>
    <c:plotVisOnly val="1"/>
    <c:dispBlanksAs val="gap"/>
    <c:showDLblsOverMax val="0"/>
  </c:chart>
  <c:spPr>
    <a:solidFill>
      <a:srgbClr val="FFFFFF"/>
    </a:solidFill>
    <a:ln w="3175" cap="flat" cmpd="sng" algn="ctr">
      <a:solidFill>
        <a:srgbClr val="000000"/>
      </a:solidFill>
      <a:prstDash val="solid"/>
      <a:round/>
    </a:ln>
  </c:spPr>
  <c:txPr>
    <a:bodyPr/>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854993160055"/>
          <c:y val="0.154098360655738"/>
          <c:w val="0.719562243502052"/>
          <c:h val="0.691803278688525"/>
        </c:manualLayout>
      </c:layout>
      <c:lineChart>
        <c:grouping val="standard"/>
        <c:varyColors val="0"/>
        <c:ser>
          <c:idx val="0"/>
          <c:order val="0"/>
          <c:tx>
            <c:strRef>
              <c:f>图形!$A$167</c:f>
              <c:strCache>
                <c:ptCount val="1"/>
                <c:pt idx="0">
                  <c:v>春季                </c:v>
                </c:pt>
              </c:strCache>
            </c:strRef>
          </c:tx>
          <c:spPr>
            <a:ln w="12700" cap="rnd" cmpd="sng" algn="ctr">
              <a:solidFill>
                <a:srgbClr val="000080"/>
              </a:solidFill>
              <a:prstDash val="solid"/>
              <a:round/>
            </a:ln>
          </c:spPr>
          <c:marker>
            <c:symbol val="diamond"/>
            <c:size val="5"/>
            <c:spPr>
              <a:solidFill>
                <a:srgbClr val="000080"/>
              </a:solidFill>
              <a:ln w="9525" cap="flat" cmpd="sng" algn="ctr">
                <a:solidFill>
                  <a:srgbClr val="000080"/>
                </a:solidFill>
                <a:prstDash val="solid"/>
                <a:round/>
              </a:ln>
            </c:spPr>
          </c:marker>
          <c:dLbls>
            <c:delete val="1"/>
          </c:dLbls>
          <c:val>
            <c:numRef>
              <c:f>图形!$B$167:$Y$167</c:f>
              <c:numCache>
                <c:formatCode>General</c:formatCode>
                <c:ptCount val="24"/>
                <c:pt idx="0">
                  <c:v>1.66999995708466</c:v>
                </c:pt>
                <c:pt idx="1">
                  <c:v>1.54999995231628</c:v>
                </c:pt>
                <c:pt idx="2">
                  <c:v>1.60000002384186</c:v>
                </c:pt>
                <c:pt idx="3">
                  <c:v>1.6599999666214</c:v>
                </c:pt>
                <c:pt idx="4">
                  <c:v>1.52999997138977</c:v>
                </c:pt>
                <c:pt idx="5">
                  <c:v>1.53999996185303</c:v>
                </c:pt>
                <c:pt idx="6">
                  <c:v>1.57000005245209</c:v>
                </c:pt>
                <c:pt idx="7">
                  <c:v>1.71000003814697</c:v>
                </c:pt>
                <c:pt idx="8">
                  <c:v>1.98000001907349</c:v>
                </c:pt>
                <c:pt idx="9">
                  <c:v>2.28999996185303</c:v>
                </c:pt>
                <c:pt idx="10">
                  <c:v>2.55999994277954</c:v>
                </c:pt>
                <c:pt idx="11">
                  <c:v>2.51999998092651</c:v>
                </c:pt>
                <c:pt idx="12">
                  <c:v>2.73000001907349</c:v>
                </c:pt>
                <c:pt idx="13">
                  <c:v>2.77999997138977</c:v>
                </c:pt>
                <c:pt idx="14">
                  <c:v>2.77999997138977</c:v>
                </c:pt>
                <c:pt idx="15">
                  <c:v>2.84999990463257</c:v>
                </c:pt>
                <c:pt idx="16">
                  <c:v>2.73000001907349</c:v>
                </c:pt>
                <c:pt idx="17">
                  <c:v>2.52999997138977</c:v>
                </c:pt>
                <c:pt idx="18">
                  <c:v>2.38000011444092</c:v>
                </c:pt>
                <c:pt idx="19">
                  <c:v>2.07999992370605</c:v>
                </c:pt>
                <c:pt idx="20">
                  <c:v>2.08999991416931</c:v>
                </c:pt>
                <c:pt idx="21">
                  <c:v>1.83000004291534</c:v>
                </c:pt>
                <c:pt idx="22">
                  <c:v>1.83000004291534</c:v>
                </c:pt>
                <c:pt idx="23">
                  <c:v>1.66999995708466</c:v>
                </c:pt>
              </c:numCache>
            </c:numRef>
          </c:val>
          <c:smooth val="0"/>
        </c:ser>
        <c:ser>
          <c:idx val="1"/>
          <c:order val="1"/>
          <c:tx>
            <c:strRef>
              <c:f>图形!$A$168</c:f>
              <c:strCache>
                <c:ptCount val="1"/>
                <c:pt idx="0">
                  <c:v>夏季                </c:v>
                </c:pt>
              </c:strCache>
            </c:strRef>
          </c:tx>
          <c:spPr>
            <a:ln w="12700" cap="rnd" cmpd="sng" algn="ctr">
              <a:solidFill>
                <a:srgbClr val="FF00FF"/>
              </a:solidFill>
              <a:prstDash val="solid"/>
              <a:round/>
            </a:ln>
          </c:spPr>
          <c:marker>
            <c:symbol val="square"/>
            <c:size val="5"/>
            <c:spPr>
              <a:solidFill>
                <a:srgbClr val="FF00FF"/>
              </a:solidFill>
              <a:ln w="9525" cap="flat" cmpd="sng" algn="ctr">
                <a:solidFill>
                  <a:srgbClr val="FF00FF"/>
                </a:solidFill>
                <a:prstDash val="solid"/>
                <a:round/>
              </a:ln>
            </c:spPr>
          </c:marker>
          <c:dLbls>
            <c:delete val="1"/>
          </c:dLbls>
          <c:val>
            <c:numRef>
              <c:f>图形!$B$168:$Y$168</c:f>
              <c:numCache>
                <c:formatCode>General</c:formatCode>
                <c:ptCount val="24"/>
                <c:pt idx="0">
                  <c:v>1.35000002384186</c:v>
                </c:pt>
                <c:pt idx="1">
                  <c:v>1.27999997138977</c:v>
                </c:pt>
                <c:pt idx="2">
                  <c:v>1.42999994754791</c:v>
                </c:pt>
                <c:pt idx="3">
                  <c:v>1.47000002861023</c:v>
                </c:pt>
                <c:pt idx="4">
                  <c:v>1.44000005722046</c:v>
                </c:pt>
                <c:pt idx="5">
                  <c:v>1.45000004768372</c:v>
                </c:pt>
                <c:pt idx="6">
                  <c:v>1.39999997615814</c:v>
                </c:pt>
                <c:pt idx="7">
                  <c:v>1.75</c:v>
                </c:pt>
                <c:pt idx="8">
                  <c:v>2.05999994277954</c:v>
                </c:pt>
                <c:pt idx="9">
                  <c:v>2.38000011444092</c:v>
                </c:pt>
                <c:pt idx="10">
                  <c:v>2.50999999046326</c:v>
                </c:pt>
                <c:pt idx="11">
                  <c:v>2.64000010490417</c:v>
                </c:pt>
                <c:pt idx="12">
                  <c:v>2.72000002861023</c:v>
                </c:pt>
                <c:pt idx="13">
                  <c:v>2.73000001907349</c:v>
                </c:pt>
                <c:pt idx="14">
                  <c:v>2.71000003814697</c:v>
                </c:pt>
                <c:pt idx="15">
                  <c:v>2.76999998092651</c:v>
                </c:pt>
                <c:pt idx="16">
                  <c:v>2.6800000667572</c:v>
                </c:pt>
                <c:pt idx="17">
                  <c:v>2.36999988555908</c:v>
                </c:pt>
                <c:pt idx="18">
                  <c:v>2.50999999046326</c:v>
                </c:pt>
                <c:pt idx="19">
                  <c:v>2.20000004768372</c:v>
                </c:pt>
                <c:pt idx="20">
                  <c:v>2.03999996185303</c:v>
                </c:pt>
                <c:pt idx="21">
                  <c:v>1.75</c:v>
                </c:pt>
                <c:pt idx="22">
                  <c:v>1.61000001430511</c:v>
                </c:pt>
                <c:pt idx="23">
                  <c:v>1.52999997138977</c:v>
                </c:pt>
              </c:numCache>
            </c:numRef>
          </c:val>
          <c:smooth val="0"/>
        </c:ser>
        <c:ser>
          <c:idx val="2"/>
          <c:order val="2"/>
          <c:tx>
            <c:strRef>
              <c:f>图形!$A$169</c:f>
              <c:strCache>
                <c:ptCount val="1"/>
                <c:pt idx="0">
                  <c:v>秋季                </c:v>
                </c:pt>
              </c:strCache>
            </c:strRef>
          </c:tx>
          <c:spPr>
            <a:ln w="12700" cap="rnd" cmpd="sng" algn="ctr">
              <a:solidFill>
                <a:srgbClr val="FFFF00"/>
              </a:solidFill>
              <a:prstDash val="solid"/>
              <a:round/>
            </a:ln>
          </c:spPr>
          <c:marker>
            <c:symbol val="triangle"/>
            <c:size val="5"/>
            <c:spPr>
              <a:solidFill>
                <a:srgbClr val="FFFF00"/>
              </a:solidFill>
              <a:ln w="9525" cap="flat" cmpd="sng" algn="ctr">
                <a:solidFill>
                  <a:srgbClr val="FFFF00"/>
                </a:solidFill>
                <a:prstDash val="solid"/>
                <a:round/>
              </a:ln>
            </c:spPr>
          </c:marker>
          <c:dLbls>
            <c:delete val="1"/>
          </c:dLbls>
          <c:val>
            <c:numRef>
              <c:f>图形!$B$169:$Y$169</c:f>
              <c:numCache>
                <c:formatCode>General</c:formatCode>
                <c:ptCount val="24"/>
                <c:pt idx="0">
                  <c:v>1.61000001430511</c:v>
                </c:pt>
                <c:pt idx="1">
                  <c:v>1.66999995708466</c:v>
                </c:pt>
                <c:pt idx="2">
                  <c:v>1.64999997615814</c:v>
                </c:pt>
                <c:pt idx="3">
                  <c:v>1.74000000953674</c:v>
                </c:pt>
                <c:pt idx="4">
                  <c:v>1.71000003814697</c:v>
                </c:pt>
                <c:pt idx="5">
                  <c:v>1.64999997615814</c:v>
                </c:pt>
                <c:pt idx="6">
                  <c:v>1.55999994277954</c:v>
                </c:pt>
                <c:pt idx="7">
                  <c:v>1.86000001430511</c:v>
                </c:pt>
                <c:pt idx="8">
                  <c:v>2.25999999046326</c:v>
                </c:pt>
                <c:pt idx="9">
                  <c:v>2.69000005722046</c:v>
                </c:pt>
                <c:pt idx="10">
                  <c:v>2.77999997138977</c:v>
                </c:pt>
                <c:pt idx="11">
                  <c:v>2.6800000667572</c:v>
                </c:pt>
                <c:pt idx="12">
                  <c:v>2.78999996185303</c:v>
                </c:pt>
                <c:pt idx="13">
                  <c:v>2.8199999332428</c:v>
                </c:pt>
                <c:pt idx="14">
                  <c:v>2.50999999046326</c:v>
                </c:pt>
                <c:pt idx="15">
                  <c:v>2.44000005722046</c:v>
                </c:pt>
                <c:pt idx="16">
                  <c:v>2.38000011444092</c:v>
                </c:pt>
                <c:pt idx="17">
                  <c:v>2.11999988555908</c:v>
                </c:pt>
                <c:pt idx="18">
                  <c:v>1.91999995708466</c:v>
                </c:pt>
                <c:pt idx="19">
                  <c:v>1.79999995231628</c:v>
                </c:pt>
                <c:pt idx="20">
                  <c:v>1.66999995708466</c:v>
                </c:pt>
                <c:pt idx="21">
                  <c:v>1.64999997615814</c:v>
                </c:pt>
                <c:pt idx="22">
                  <c:v>1.62000000476837</c:v>
                </c:pt>
                <c:pt idx="23">
                  <c:v>1.69000005722046</c:v>
                </c:pt>
              </c:numCache>
            </c:numRef>
          </c:val>
          <c:smooth val="0"/>
        </c:ser>
        <c:ser>
          <c:idx val="3"/>
          <c:order val="3"/>
          <c:tx>
            <c:strRef>
              <c:f>图形!$A$170</c:f>
              <c:strCache>
                <c:ptCount val="1"/>
                <c:pt idx="0">
                  <c:v>冬季                </c:v>
                </c:pt>
              </c:strCache>
            </c:strRef>
          </c:tx>
          <c:spPr>
            <a:ln w="12700" cap="rnd" cmpd="sng" algn="ctr">
              <a:solidFill>
                <a:srgbClr val="00FFFF"/>
              </a:solidFill>
              <a:prstDash val="solid"/>
              <a:round/>
            </a:ln>
          </c:spPr>
          <c:marker>
            <c:symbol val="x"/>
            <c:size val="5"/>
            <c:spPr>
              <a:noFill/>
              <a:ln w="9525" cap="flat" cmpd="sng" algn="ctr">
                <a:solidFill>
                  <a:srgbClr val="00FFFF"/>
                </a:solidFill>
                <a:prstDash val="solid"/>
                <a:round/>
              </a:ln>
            </c:spPr>
          </c:marker>
          <c:dLbls>
            <c:delete val="1"/>
          </c:dLbls>
          <c:val>
            <c:numRef>
              <c:f>图形!$B$170:$Y$170</c:f>
              <c:numCache>
                <c:formatCode>General</c:formatCode>
                <c:ptCount val="24"/>
                <c:pt idx="0">
                  <c:v>1.82000005245209</c:v>
                </c:pt>
                <c:pt idx="1">
                  <c:v>1.73000001907349</c:v>
                </c:pt>
                <c:pt idx="2">
                  <c:v>1.86000001430511</c:v>
                </c:pt>
                <c:pt idx="3">
                  <c:v>1.85000002384186</c:v>
                </c:pt>
                <c:pt idx="4">
                  <c:v>1.76999998092651</c:v>
                </c:pt>
                <c:pt idx="5">
                  <c:v>1.78999996185303</c:v>
                </c:pt>
                <c:pt idx="6">
                  <c:v>1.63999998569489</c:v>
                </c:pt>
                <c:pt idx="7">
                  <c:v>1.75</c:v>
                </c:pt>
                <c:pt idx="8">
                  <c:v>2.01999998092651</c:v>
                </c:pt>
                <c:pt idx="9">
                  <c:v>2.40000009536743</c:v>
                </c:pt>
                <c:pt idx="10">
                  <c:v>2.82999992370605</c:v>
                </c:pt>
                <c:pt idx="11">
                  <c:v>2.96000003814697</c:v>
                </c:pt>
                <c:pt idx="12">
                  <c:v>2.89000010490417</c:v>
                </c:pt>
                <c:pt idx="13">
                  <c:v>2.9300000667572</c:v>
                </c:pt>
                <c:pt idx="14">
                  <c:v>2.6800000667572</c:v>
                </c:pt>
                <c:pt idx="15">
                  <c:v>2.65000009536743</c:v>
                </c:pt>
                <c:pt idx="16">
                  <c:v>2.4300000667572</c:v>
                </c:pt>
                <c:pt idx="17">
                  <c:v>2.28999996185303</c:v>
                </c:pt>
                <c:pt idx="18">
                  <c:v>2</c:v>
                </c:pt>
                <c:pt idx="19">
                  <c:v>1.91999995708466</c:v>
                </c:pt>
                <c:pt idx="20">
                  <c:v>1.75</c:v>
                </c:pt>
                <c:pt idx="21">
                  <c:v>1.70000004768372</c:v>
                </c:pt>
                <c:pt idx="22">
                  <c:v>1.6599999666214</c:v>
                </c:pt>
                <c:pt idx="23">
                  <c:v>1.74000000953674</c:v>
                </c:pt>
              </c:numCache>
            </c:numRef>
          </c:val>
          <c:smooth val="0"/>
        </c:ser>
        <c:dLbls>
          <c:showLegendKey val="0"/>
          <c:showVal val="0"/>
          <c:showCatName val="0"/>
          <c:showSerName val="0"/>
          <c:showPercent val="0"/>
          <c:showBubbleSize val="0"/>
        </c:dLbls>
        <c:marker val="1"/>
        <c:smooth val="0"/>
        <c:axId val="439164288"/>
        <c:axId val="441927552"/>
      </c:lineChart>
      <c:catAx>
        <c:axId val="439164288"/>
        <c:scaling>
          <c:orientation val="minMax"/>
        </c:scaling>
        <c:delete val="0"/>
        <c:axPos val="b"/>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441927552"/>
        <c:crosses val="autoZero"/>
        <c:auto val="1"/>
        <c:lblAlgn val="ctr"/>
        <c:lblOffset val="100"/>
        <c:tickLblSkip val="1"/>
        <c:noMultiLvlLbl val="0"/>
      </c:catAx>
      <c:valAx>
        <c:axId val="441927552"/>
        <c:scaling>
          <c:orientation val="minMax"/>
        </c:scaling>
        <c:delete val="0"/>
        <c:axPos val="l"/>
        <c:majorGridlines>
          <c:spPr>
            <a:ln w="3175" cap="flat" cmpd="sng" algn="ctr">
              <a:solidFill>
                <a:srgbClr val="000000"/>
              </a:solidFill>
              <a:prstDash val="solid"/>
              <a:round/>
            </a:ln>
          </c:spPr>
        </c:majorGridlines>
        <c:title>
          <c:tx>
            <c:rich>
              <a:bodyPr rot="-54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风速</a:t>
                </a:r>
                <a:r>
                  <a:rPr lang="en-US" altLang="zh-CN"/>
                  <a:t>(</a:t>
                </a:r>
                <a:r>
                  <a:rPr lang="en-US" altLang="en-US"/>
                  <a:t>m/s)</a:t>
                </a:r>
                <a:endParaRPr lang="en-US" altLang="en-US"/>
              </a:p>
            </c:rich>
          </c:tx>
          <c:layout>
            <c:manualLayout>
              <c:xMode val="edge"/>
              <c:yMode val="edge"/>
              <c:x val="0.00968429526823359"/>
              <c:y val="0.378099496132283"/>
            </c:manualLayout>
          </c:layout>
          <c:overlay val="0"/>
          <c:spPr>
            <a:noFill/>
            <a:ln w="25400">
              <a:noFill/>
            </a:ln>
          </c:spPr>
        </c:title>
        <c:numFmt formatCode="0.00_ " sourceLinked="0"/>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439164288"/>
        <c:crosses val="autoZero"/>
        <c:crossBetween val="between"/>
      </c:valAx>
      <c:spPr>
        <a:solidFill>
          <a:srgbClr val="C0C0C0"/>
        </a:solidFill>
        <a:ln w="12700">
          <a:solidFill>
            <a:srgbClr val="808080"/>
          </a:solidFill>
          <a:prstDash val="solid"/>
        </a:ln>
      </c:spPr>
    </c:plotArea>
    <c:legend>
      <c:legendPos val="r"/>
      <c:layout>
        <c:manualLayout>
          <c:xMode val="edge"/>
          <c:yMode val="edge"/>
          <c:x val="0.856361149110807"/>
          <c:y val="0.19672131147541"/>
          <c:w val="0.125854993160055"/>
          <c:h val="0.511475409836066"/>
        </c:manualLayout>
      </c:layout>
      <c:overlay val="0"/>
      <c:spPr>
        <a:solidFill>
          <a:srgbClr val="FFFFFF"/>
        </a:solidFill>
        <a:ln w="3175">
          <a:solidFill>
            <a:srgbClr val="000000"/>
          </a:solidFill>
          <a:prstDash val="solid"/>
        </a:ln>
      </c:spPr>
      <c:txPr>
        <a:bodyPr rot="0" spcFirstLastPara="0" vertOverflow="ellipsis" vert="horz" wrap="square" anchor="ctr" anchorCtr="1"/>
        <a:lstStyle/>
        <a:p>
          <a:pPr>
            <a:defRPr lang="zh-CN" sz="11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legend>
    <c:plotVisOnly val="1"/>
    <c:dispBlanksAs val="gap"/>
    <c:showDLblsOverMax val="0"/>
  </c:chart>
  <c:spPr>
    <a:solidFill>
      <a:srgbClr val="FFFFFF"/>
    </a:solidFill>
    <a:ln w="3175" cap="flat" cmpd="sng" algn="ctr">
      <a:solidFill>
        <a:srgbClr val="000000"/>
      </a:solidFill>
      <a:prstDash val="solid"/>
      <a:round/>
    </a:ln>
  </c:spPr>
  <c:txPr>
    <a:bodyPr/>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报告书暂用主题">
      <a:majorFont>
        <a:latin typeface="Times New Roman"/>
        <a:ea typeface="宋体"/>
        <a:cs typeface=""/>
      </a:majorFont>
      <a:minorFont>
        <a:latin typeface="Times New Roman"/>
        <a:ea typeface="宋体"/>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B353C3D-9A93-4C74-B877-2BE33DB53A45}">
  <ds:schemaRefs/>
</ds:datastoreItem>
</file>

<file path=docProps/app.xml><?xml version="1.0" encoding="utf-8"?>
<Properties xmlns="http://schemas.openxmlformats.org/officeDocument/2006/extended-properties" xmlns:vt="http://schemas.openxmlformats.org/officeDocument/2006/docPropsVTypes">
  <Template>Normal</Template>
  <Company>SkyUN.Org</Company>
  <Pages>279</Pages>
  <Words>31283</Words>
  <Characters>178314</Characters>
  <Lines>1485</Lines>
  <Paragraphs>418</Paragraphs>
  <TotalTime>1</TotalTime>
  <ScaleCrop>false</ScaleCrop>
  <LinksUpToDate>false</LinksUpToDate>
  <CharactersWithSpaces>209179</CharactersWithSpaces>
  <Application>WPS Office_11.1.0.8765_F1E327BC-269C-435d-A152-05C5408002CA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2019-06-05T14:31:00Z</dcterms:created>
  <dc:creator>xsy</dc:creator>
  <cp:lastModifiedBy>Administrator</cp:lastModifiedBy>
  <cp:lastPrinted>2018-11-05T11:27:00Z</cp:lastPrinted>
  <dcterms:modified xsi:type="dcterms:W3CDTF">2019-06-24T07:03:26Z</dcterms:modified>
  <cp:revision>874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2052-11.1.0.8765</vt:lpwstr>
  </property>
  <property fmtid="{D5CDD505-2E9C-101B-9397-08002B2CF9AE}" pid="3" name="_DocHome">
    <vt:i4>-2017855814</vt:i4>
  </property>
</Properties>
</file>